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3E63" w14:textId="6A13B61A" w:rsidR="00AD5C59" w:rsidRPr="00D416BE" w:rsidRDefault="00AD5C59" w:rsidP="00AD5C59">
      <w:pPr>
        <w:pStyle w:val="Title"/>
        <w:rPr>
          <w:sz w:val="48"/>
          <w:szCs w:val="48"/>
        </w:rPr>
      </w:pPr>
      <w:bookmarkStart w:id="0" w:name="_Hlk162707251"/>
      <w:r w:rsidRPr="00D416BE">
        <w:rPr>
          <w:sz w:val="48"/>
          <w:szCs w:val="48"/>
        </w:rPr>
        <w:t>Victoria</w:t>
      </w:r>
    </w:p>
    <w:p w14:paraId="072F1FDB" w14:textId="77777777" w:rsidR="00AD5C59" w:rsidRPr="00BE249A" w:rsidRDefault="00AD5C59" w:rsidP="00AD5C59">
      <w:pPr>
        <w:pStyle w:val="Subtitle"/>
      </w:pPr>
      <w:r>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99"/>
        <w:gridCol w:w="8130"/>
      </w:tblGrid>
      <w:tr w:rsidR="00AD5C59" w:rsidRPr="00F00A18" w14:paraId="48B9AFA7" w14:textId="77777777" w:rsidTr="52877A36">
        <w:tc>
          <w:tcPr>
            <w:tcW w:w="9629" w:type="dxa"/>
            <w:gridSpan w:val="2"/>
            <w:shd w:val="clear" w:color="auto" w:fill="DEEAF6" w:themeFill="accent1" w:themeFillTint="33"/>
          </w:tcPr>
          <w:p w14:paraId="35E5B767" w14:textId="77777777" w:rsidR="00AD5C59" w:rsidRPr="00F00A18" w:rsidRDefault="00AD5C59" w:rsidP="00014894">
            <w:pPr>
              <w:pStyle w:val="Tableformat"/>
              <w:rPr>
                <w:b/>
                <w:color w:val="auto"/>
              </w:rPr>
            </w:pPr>
            <w:r w:rsidRPr="00F00A18">
              <w:rPr>
                <w:b/>
                <w:color w:val="auto"/>
              </w:rPr>
              <w:t>Table 1: Formalities and operation of schedule</w:t>
            </w:r>
          </w:p>
        </w:tc>
      </w:tr>
      <w:tr w:rsidR="00AD5C59" w:rsidRPr="00F00A18" w14:paraId="786CBC1B" w14:textId="77777777" w:rsidTr="52877A36">
        <w:tc>
          <w:tcPr>
            <w:tcW w:w="1499" w:type="dxa"/>
            <w:shd w:val="clear" w:color="auto" w:fill="auto"/>
          </w:tcPr>
          <w:p w14:paraId="16946D37" w14:textId="77777777" w:rsidR="00AD5C59" w:rsidRPr="00F00A18" w:rsidRDefault="00AD5C59" w:rsidP="00014894">
            <w:pPr>
              <w:pStyle w:val="Tableformat"/>
              <w:rPr>
                <w:color w:val="auto"/>
              </w:rPr>
            </w:pPr>
            <w:r w:rsidRPr="00F00A18">
              <w:rPr>
                <w:color w:val="auto"/>
              </w:rPr>
              <w:t>Parties</w:t>
            </w:r>
          </w:p>
        </w:tc>
        <w:tc>
          <w:tcPr>
            <w:tcW w:w="8130" w:type="dxa"/>
            <w:shd w:val="clear" w:color="auto" w:fill="auto"/>
          </w:tcPr>
          <w:p w14:paraId="572E9EC3" w14:textId="77777777" w:rsidR="00AD5C59" w:rsidRPr="00F00A18" w:rsidRDefault="00AD5C59" w:rsidP="00014894">
            <w:pPr>
              <w:pStyle w:val="Tableformat"/>
              <w:rPr>
                <w:color w:val="auto"/>
              </w:rPr>
            </w:pPr>
            <w:r w:rsidRPr="00F00A18">
              <w:rPr>
                <w:color w:val="auto"/>
              </w:rPr>
              <w:t>Commonwealth</w:t>
            </w:r>
          </w:p>
          <w:p w14:paraId="328D7921" w14:textId="77777777" w:rsidR="00AD5C59" w:rsidRPr="00F00A18" w:rsidRDefault="00AD5C59" w:rsidP="00014894">
            <w:pPr>
              <w:pStyle w:val="Tableformat"/>
              <w:rPr>
                <w:color w:val="auto"/>
              </w:rPr>
            </w:pPr>
            <w:r>
              <w:rPr>
                <w:color w:val="auto"/>
              </w:rPr>
              <w:t>Victoria</w:t>
            </w:r>
          </w:p>
        </w:tc>
      </w:tr>
      <w:tr w:rsidR="00AD5C59" w:rsidRPr="00F00A18" w14:paraId="35E9C2EA" w14:textId="77777777" w:rsidTr="52877A36">
        <w:tc>
          <w:tcPr>
            <w:tcW w:w="1499" w:type="dxa"/>
            <w:shd w:val="clear" w:color="auto" w:fill="auto"/>
          </w:tcPr>
          <w:p w14:paraId="7E793ED5" w14:textId="77777777" w:rsidR="00AD5C59" w:rsidRPr="00F00A18" w:rsidRDefault="00AD5C59" w:rsidP="00014894">
            <w:pPr>
              <w:pStyle w:val="Tableformat"/>
              <w:rPr>
                <w:color w:val="auto"/>
              </w:rPr>
            </w:pPr>
            <w:r w:rsidRPr="00F00A18">
              <w:rPr>
                <w:color w:val="auto"/>
              </w:rPr>
              <w:t>Duration</w:t>
            </w:r>
          </w:p>
        </w:tc>
        <w:tc>
          <w:tcPr>
            <w:tcW w:w="8130" w:type="dxa"/>
            <w:shd w:val="clear" w:color="auto" w:fill="auto"/>
          </w:tcPr>
          <w:p w14:paraId="0C6C684B" w14:textId="77777777" w:rsidR="00AD5C59" w:rsidRPr="00F00A18" w:rsidRDefault="00AD5C59" w:rsidP="00014894">
            <w:pPr>
              <w:pStyle w:val="Tableformat"/>
              <w:rPr>
                <w:color w:val="auto"/>
                <w:lang w:val="en-AU"/>
              </w:rPr>
            </w:pPr>
            <w:r w:rsidRPr="395CE405">
              <w:rPr>
                <w:color w:val="auto"/>
                <w:lang w:val="en-AU"/>
              </w:rPr>
              <w:t>This Schedule will commence when the Commonwealth and Victoria sign the schedule, and is expected to expire on 30 June 2029. It will be reviewed by 30 June 2026. It can also be changed at any time with the agreement of both parties.</w:t>
            </w:r>
          </w:p>
        </w:tc>
      </w:tr>
      <w:tr w:rsidR="00AD5C59" w:rsidRPr="00F00A18" w14:paraId="7E88F6EA" w14:textId="77777777" w:rsidTr="52877A36">
        <w:tc>
          <w:tcPr>
            <w:tcW w:w="1499" w:type="dxa"/>
            <w:shd w:val="clear" w:color="auto" w:fill="auto"/>
          </w:tcPr>
          <w:p w14:paraId="63E7514A" w14:textId="77777777" w:rsidR="00AD5C59" w:rsidRPr="00F00A18" w:rsidRDefault="00AD5C59" w:rsidP="00014894">
            <w:pPr>
              <w:pStyle w:val="Tableformat"/>
              <w:rPr>
                <w:color w:val="auto"/>
              </w:rPr>
            </w:pPr>
            <w:r w:rsidRPr="00F00A18">
              <w:rPr>
                <w:color w:val="auto"/>
              </w:rPr>
              <w:t>Purpose</w:t>
            </w:r>
          </w:p>
        </w:tc>
        <w:tc>
          <w:tcPr>
            <w:tcW w:w="8130" w:type="dxa"/>
            <w:shd w:val="clear" w:color="auto" w:fill="auto"/>
          </w:tcPr>
          <w:p w14:paraId="3C266C42" w14:textId="77777777" w:rsidR="00AD5C59" w:rsidRPr="00235FC3" w:rsidRDefault="00AD5C59" w:rsidP="00014894">
            <w:pPr>
              <w:pStyle w:val="Tableformat"/>
              <w:rPr>
                <w:color w:val="auto"/>
              </w:rPr>
            </w:pPr>
            <w:r w:rsidRPr="00235FC3">
              <w:rPr>
                <w:color w:val="auto"/>
              </w:rPr>
              <w:t xml:space="preserve">This Schedule will </w:t>
            </w:r>
            <w:r>
              <w:rPr>
                <w:color w:val="auto"/>
              </w:rPr>
              <w:t xml:space="preserve">help </w:t>
            </w:r>
            <w:r w:rsidRPr="00235FC3">
              <w:rPr>
                <w:color w:val="auto"/>
              </w:rPr>
              <w:t>people who are experiencing or at risk of homelessness</w:t>
            </w:r>
            <w:r>
              <w:rPr>
                <w:color w:val="auto"/>
              </w:rPr>
              <w:t xml:space="preserve"> and</w:t>
            </w:r>
            <w:r w:rsidRPr="00235FC3">
              <w:rPr>
                <w:color w:val="auto"/>
              </w:rPr>
              <w:t xml:space="preserve"> support the effective operation of </w:t>
            </w:r>
            <w:r>
              <w:rPr>
                <w:color w:val="auto"/>
              </w:rPr>
              <w:t>Victoria</w:t>
            </w:r>
            <w:r w:rsidRPr="00235FC3">
              <w:rPr>
                <w:color w:val="auto"/>
              </w:rPr>
              <w:t>’s</w:t>
            </w:r>
            <w:r w:rsidRPr="00235FC3">
              <w:t xml:space="preserve"> </w:t>
            </w:r>
            <w:r w:rsidRPr="00235FC3">
              <w:rPr>
                <w:color w:val="auto"/>
              </w:rPr>
              <w:t xml:space="preserve">social housing and homelessness services sectors. </w:t>
            </w:r>
          </w:p>
          <w:p w14:paraId="2913FACB" w14:textId="77777777" w:rsidR="00AD5C59" w:rsidRPr="00F00A18" w:rsidRDefault="00AD5C59" w:rsidP="00014894">
            <w:pPr>
              <w:pStyle w:val="Tableformat"/>
              <w:rPr>
                <w:color w:val="auto"/>
                <w:lang w:val="en-AU"/>
              </w:rPr>
            </w:pPr>
            <w:r w:rsidRPr="395CE405">
              <w:rPr>
                <w:color w:val="auto"/>
                <w:lang w:val="en-AU"/>
              </w:rPr>
              <w:t>In committing to this Schedule, the Parties acknowledge their mutual interest in addressing homelessness and improving social housing in Victoria, with particular regard to people experiencing disproportionate housing inequality and disadvantage.</w:t>
            </w:r>
          </w:p>
        </w:tc>
      </w:tr>
      <w:tr w:rsidR="00AD5C59" w:rsidRPr="00F00A18" w14:paraId="43F708DD" w14:textId="77777777" w:rsidTr="52877A36">
        <w:trPr>
          <w:trHeight w:val="5126"/>
        </w:trPr>
        <w:tc>
          <w:tcPr>
            <w:tcW w:w="1499" w:type="dxa"/>
            <w:shd w:val="clear" w:color="auto" w:fill="auto"/>
          </w:tcPr>
          <w:p w14:paraId="3A27345D" w14:textId="77777777" w:rsidR="00AD5C59" w:rsidRDefault="00AD5C59" w:rsidP="00014894">
            <w:pPr>
              <w:pStyle w:val="Tableformat"/>
              <w:rPr>
                <w:color w:val="auto"/>
              </w:rPr>
            </w:pPr>
            <w:r w:rsidRPr="00F00A18">
              <w:rPr>
                <w:color w:val="auto"/>
              </w:rPr>
              <w:t>Estimated financial contributions</w:t>
            </w:r>
          </w:p>
          <w:p w14:paraId="524F36E7" w14:textId="77777777" w:rsidR="00ED0838" w:rsidRDefault="00ED0838" w:rsidP="00014894">
            <w:pPr>
              <w:pStyle w:val="Tableformat"/>
              <w:rPr>
                <w:color w:val="auto"/>
              </w:rPr>
            </w:pPr>
          </w:p>
          <w:p w14:paraId="6C49C356" w14:textId="77777777" w:rsidR="00ED0838" w:rsidRDefault="00ED0838" w:rsidP="00014894">
            <w:pPr>
              <w:pStyle w:val="Tableformat"/>
              <w:rPr>
                <w:color w:val="auto"/>
              </w:rPr>
            </w:pPr>
          </w:p>
          <w:p w14:paraId="40219B4E" w14:textId="77777777" w:rsidR="00ED0838" w:rsidRDefault="00ED0838" w:rsidP="00014894">
            <w:pPr>
              <w:pStyle w:val="Tableformat"/>
              <w:rPr>
                <w:color w:val="auto"/>
              </w:rPr>
            </w:pPr>
          </w:p>
          <w:p w14:paraId="6396A42F" w14:textId="77777777" w:rsidR="00ED0838" w:rsidRDefault="00ED0838" w:rsidP="00014894">
            <w:pPr>
              <w:pStyle w:val="Tableformat"/>
              <w:rPr>
                <w:color w:val="auto"/>
              </w:rPr>
            </w:pPr>
          </w:p>
          <w:p w14:paraId="2EA7209D" w14:textId="77777777" w:rsidR="00ED0838" w:rsidRDefault="00ED0838" w:rsidP="00014894">
            <w:pPr>
              <w:pStyle w:val="Tableformat"/>
              <w:rPr>
                <w:color w:val="auto"/>
              </w:rPr>
            </w:pPr>
          </w:p>
          <w:p w14:paraId="40161337" w14:textId="77777777" w:rsidR="00ED0838" w:rsidRDefault="00ED0838" w:rsidP="00014894">
            <w:pPr>
              <w:pStyle w:val="Tableformat"/>
              <w:rPr>
                <w:color w:val="auto"/>
              </w:rPr>
            </w:pPr>
          </w:p>
          <w:p w14:paraId="5A4016A1" w14:textId="77777777" w:rsidR="00ED0838" w:rsidRDefault="00ED0838" w:rsidP="00014894">
            <w:pPr>
              <w:pStyle w:val="Tableformat"/>
              <w:rPr>
                <w:color w:val="auto"/>
              </w:rPr>
            </w:pPr>
          </w:p>
          <w:p w14:paraId="0BD19914" w14:textId="77777777" w:rsidR="00ED0838" w:rsidRDefault="00ED0838" w:rsidP="00014894">
            <w:pPr>
              <w:pStyle w:val="Tableformat"/>
              <w:rPr>
                <w:color w:val="auto"/>
              </w:rPr>
            </w:pPr>
          </w:p>
          <w:p w14:paraId="7144F064" w14:textId="77777777" w:rsidR="00ED0838" w:rsidRDefault="00ED0838" w:rsidP="00014894">
            <w:pPr>
              <w:pStyle w:val="Tableformat"/>
              <w:rPr>
                <w:color w:val="auto"/>
              </w:rPr>
            </w:pPr>
          </w:p>
          <w:p w14:paraId="67755F8C" w14:textId="77777777" w:rsidR="00ED0838" w:rsidRPr="00F00A18" w:rsidRDefault="00ED0838" w:rsidP="00014894">
            <w:pPr>
              <w:pStyle w:val="Tableformat"/>
              <w:rPr>
                <w:color w:val="auto"/>
              </w:rPr>
            </w:pPr>
          </w:p>
        </w:tc>
        <w:tc>
          <w:tcPr>
            <w:tcW w:w="8130" w:type="dxa"/>
            <w:shd w:val="clear" w:color="auto" w:fill="auto"/>
          </w:tcPr>
          <w:p w14:paraId="1CDF7778" w14:textId="77777777" w:rsidR="00AD5C59" w:rsidRPr="00235FC3" w:rsidRDefault="00AD5C59" w:rsidP="52877A36">
            <w:pPr>
              <w:pStyle w:val="Tableformat"/>
              <w:rPr>
                <w:color w:val="auto"/>
              </w:rPr>
            </w:pPr>
            <w:r w:rsidRPr="00235FC3">
              <w:rPr>
                <w:noProof/>
                <w:color w:val="auto"/>
                <w:lang w:val="en-AU"/>
              </w:rPr>
              <mc:AlternateContent>
                <mc:Choice Requires="wps">
                  <w:drawing>
                    <wp:anchor distT="45720" distB="45720" distL="114300" distR="114300" simplePos="0" relativeHeight="251658240" behindDoc="0" locked="0" layoutInCell="1" allowOverlap="1" wp14:anchorId="0621E6B9" wp14:editId="2FA15358">
                      <wp:simplePos x="0" y="0"/>
                      <wp:positionH relativeFrom="column">
                        <wp:posOffset>-62230</wp:posOffset>
                      </wp:positionH>
                      <wp:positionV relativeFrom="paragraph">
                        <wp:posOffset>561340</wp:posOffset>
                      </wp:positionV>
                      <wp:extent cx="5019675" cy="2750820"/>
                      <wp:effectExtent l="0" t="0" r="9525"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750820"/>
                              </a:xfrm>
                              <a:prstGeom prst="rect">
                                <a:avLst/>
                              </a:prstGeom>
                              <a:solidFill>
                                <a:srgbClr val="FFFFFF"/>
                              </a:solidFill>
                              <a:ln w="9525">
                                <a:noFill/>
                                <a:miter lim="800000"/>
                                <a:headEnd/>
                                <a:tailEnd/>
                              </a:ln>
                            </wps:spPr>
                            <wps:txbx>
                              <w:txbxContent>
                                <w:tbl>
                                  <w:tblPr>
                                    <w:tblW w:w="7722" w:type="dxa"/>
                                    <w:tblLook w:val="01E0" w:firstRow="1" w:lastRow="1" w:firstColumn="1" w:lastColumn="1" w:noHBand="0" w:noVBand="0"/>
                                  </w:tblPr>
                                  <w:tblGrid>
                                    <w:gridCol w:w="1961"/>
                                    <w:gridCol w:w="912"/>
                                    <w:gridCol w:w="1046"/>
                                    <w:gridCol w:w="912"/>
                                    <w:gridCol w:w="913"/>
                                    <w:gridCol w:w="982"/>
                                    <w:gridCol w:w="996"/>
                                  </w:tblGrid>
                                  <w:tr w:rsidR="00AD5C59" w:rsidRPr="00101AB3" w14:paraId="2CD969A4" w14:textId="77777777" w:rsidTr="00123321">
                                    <w:trPr>
                                      <w:cantSplit/>
                                    </w:trPr>
                                    <w:tc>
                                      <w:tcPr>
                                        <w:tcW w:w="1961" w:type="dxa"/>
                                        <w:tcBorders>
                                          <w:top w:val="single" w:sz="4" w:space="0" w:color="000080"/>
                                          <w:bottom w:val="single" w:sz="4" w:space="0" w:color="000080"/>
                                        </w:tcBorders>
                                      </w:tcPr>
                                      <w:p w14:paraId="22460CC3" w14:textId="77777777" w:rsidR="00AD5C59" w:rsidRDefault="00AD5C59">
                                        <w:pPr>
                                          <w:keepNext/>
                                          <w:keepLines/>
                                          <w:spacing w:before="40" w:after="40"/>
                                          <w:ind w:left="-111"/>
                                          <w:rPr>
                                            <w:b/>
                                            <w:sz w:val="21"/>
                                            <w:szCs w:val="21"/>
                                          </w:rPr>
                                        </w:pPr>
                                        <w:r>
                                          <w:rPr>
                                            <w:b/>
                                            <w:sz w:val="21"/>
                                            <w:szCs w:val="21"/>
                                          </w:rPr>
                                          <w:t>Table 1</w:t>
                                        </w:r>
                                      </w:p>
                                      <w:p w14:paraId="74646BC0" w14:textId="77777777" w:rsidR="00AD5C59" w:rsidRPr="005D39DD" w:rsidRDefault="00AD5C59">
                                        <w:pPr>
                                          <w:keepNext/>
                                          <w:keepLines/>
                                          <w:spacing w:before="40" w:after="40"/>
                                          <w:ind w:left="-111"/>
                                          <w:rPr>
                                            <w:b/>
                                            <w:sz w:val="21"/>
                                            <w:szCs w:val="21"/>
                                          </w:rPr>
                                        </w:pPr>
                                        <w:r w:rsidRPr="005D39DD">
                                          <w:rPr>
                                            <w:b/>
                                            <w:sz w:val="21"/>
                                            <w:szCs w:val="21"/>
                                          </w:rPr>
                                          <w:t>($ million)</w:t>
                                        </w:r>
                                      </w:p>
                                    </w:tc>
                                    <w:tc>
                                      <w:tcPr>
                                        <w:tcW w:w="912" w:type="dxa"/>
                                        <w:tcBorders>
                                          <w:top w:val="single" w:sz="4" w:space="0" w:color="000080"/>
                                          <w:bottom w:val="single" w:sz="4" w:space="0" w:color="000080"/>
                                        </w:tcBorders>
                                        <w:vAlign w:val="center"/>
                                      </w:tcPr>
                                      <w:p w14:paraId="4B8691EC" w14:textId="77777777" w:rsidR="00AD5C59" w:rsidRPr="00123321" w:rsidRDefault="00AD5C59" w:rsidP="00123321">
                                        <w:pPr>
                                          <w:keepNext/>
                                          <w:keepLines/>
                                          <w:spacing w:before="40" w:after="40"/>
                                          <w:jc w:val="right"/>
                                          <w:rPr>
                                            <w:b/>
                                            <w:i/>
                                            <w:sz w:val="20"/>
                                            <w:szCs w:val="20"/>
                                          </w:rPr>
                                        </w:pPr>
                                        <w:r w:rsidRPr="00123321">
                                          <w:rPr>
                                            <w:b/>
                                            <w:i/>
                                            <w:sz w:val="20"/>
                                            <w:szCs w:val="20"/>
                                          </w:rPr>
                                          <w:t>2024-25</w:t>
                                        </w:r>
                                      </w:p>
                                    </w:tc>
                                    <w:tc>
                                      <w:tcPr>
                                        <w:tcW w:w="1046" w:type="dxa"/>
                                        <w:tcBorders>
                                          <w:top w:val="single" w:sz="4" w:space="0" w:color="000080"/>
                                          <w:bottom w:val="single" w:sz="4" w:space="0" w:color="000080"/>
                                        </w:tcBorders>
                                        <w:vAlign w:val="center"/>
                                      </w:tcPr>
                                      <w:p w14:paraId="0498D73D" w14:textId="77777777" w:rsidR="00AD5C59" w:rsidRPr="00123321" w:rsidRDefault="00AD5C59" w:rsidP="00123321">
                                        <w:pPr>
                                          <w:keepNext/>
                                          <w:keepLines/>
                                          <w:spacing w:before="40" w:after="40"/>
                                          <w:jc w:val="right"/>
                                          <w:rPr>
                                            <w:b/>
                                            <w:i/>
                                            <w:sz w:val="20"/>
                                            <w:szCs w:val="20"/>
                                          </w:rPr>
                                        </w:pPr>
                                        <w:r w:rsidRPr="00123321">
                                          <w:rPr>
                                            <w:b/>
                                            <w:i/>
                                            <w:sz w:val="20"/>
                                            <w:szCs w:val="20"/>
                                          </w:rPr>
                                          <w:t>2025-26</w:t>
                                        </w:r>
                                      </w:p>
                                    </w:tc>
                                    <w:tc>
                                      <w:tcPr>
                                        <w:tcW w:w="912" w:type="dxa"/>
                                        <w:tcBorders>
                                          <w:top w:val="single" w:sz="4" w:space="0" w:color="000080"/>
                                          <w:bottom w:val="single" w:sz="4" w:space="0" w:color="000080"/>
                                        </w:tcBorders>
                                        <w:vAlign w:val="center"/>
                                      </w:tcPr>
                                      <w:p w14:paraId="76860417" w14:textId="77777777" w:rsidR="00AD5C59" w:rsidRPr="00123321" w:rsidRDefault="00AD5C59" w:rsidP="00123321">
                                        <w:pPr>
                                          <w:keepNext/>
                                          <w:keepLines/>
                                          <w:spacing w:before="40" w:after="40"/>
                                          <w:jc w:val="right"/>
                                          <w:rPr>
                                            <w:b/>
                                            <w:i/>
                                            <w:sz w:val="20"/>
                                            <w:szCs w:val="20"/>
                                          </w:rPr>
                                        </w:pPr>
                                        <w:r w:rsidRPr="00123321">
                                          <w:rPr>
                                            <w:b/>
                                            <w:i/>
                                            <w:sz w:val="20"/>
                                            <w:szCs w:val="20"/>
                                          </w:rPr>
                                          <w:t>2026-27</w:t>
                                        </w:r>
                                      </w:p>
                                    </w:tc>
                                    <w:tc>
                                      <w:tcPr>
                                        <w:tcW w:w="913" w:type="dxa"/>
                                        <w:tcBorders>
                                          <w:top w:val="single" w:sz="4" w:space="0" w:color="000080"/>
                                          <w:bottom w:val="single" w:sz="4" w:space="0" w:color="000080"/>
                                        </w:tcBorders>
                                        <w:vAlign w:val="center"/>
                                      </w:tcPr>
                                      <w:p w14:paraId="0E57EAC2" w14:textId="77777777" w:rsidR="00AD5C59" w:rsidRPr="00123321" w:rsidRDefault="00AD5C59" w:rsidP="00123321">
                                        <w:pPr>
                                          <w:keepNext/>
                                          <w:keepLines/>
                                          <w:spacing w:before="40" w:after="40"/>
                                          <w:jc w:val="right"/>
                                          <w:rPr>
                                            <w:b/>
                                            <w:i/>
                                            <w:sz w:val="20"/>
                                            <w:szCs w:val="20"/>
                                          </w:rPr>
                                        </w:pPr>
                                        <w:r w:rsidRPr="00123321">
                                          <w:rPr>
                                            <w:b/>
                                            <w:i/>
                                            <w:sz w:val="20"/>
                                            <w:szCs w:val="20"/>
                                          </w:rPr>
                                          <w:t>2027-28</w:t>
                                        </w:r>
                                      </w:p>
                                    </w:tc>
                                    <w:tc>
                                      <w:tcPr>
                                        <w:tcW w:w="982" w:type="dxa"/>
                                        <w:tcBorders>
                                          <w:top w:val="single" w:sz="4" w:space="0" w:color="000080"/>
                                          <w:bottom w:val="single" w:sz="4" w:space="0" w:color="000080"/>
                                        </w:tcBorders>
                                        <w:vAlign w:val="center"/>
                                      </w:tcPr>
                                      <w:p w14:paraId="5DD5C674" w14:textId="77777777" w:rsidR="00AD5C59" w:rsidRPr="00123321" w:rsidRDefault="00AD5C59" w:rsidP="00123321">
                                        <w:pPr>
                                          <w:keepNext/>
                                          <w:keepLines/>
                                          <w:spacing w:before="40" w:after="40"/>
                                          <w:jc w:val="right"/>
                                          <w:rPr>
                                            <w:b/>
                                            <w:i/>
                                            <w:sz w:val="20"/>
                                            <w:szCs w:val="20"/>
                                          </w:rPr>
                                        </w:pPr>
                                        <w:r w:rsidRPr="00123321">
                                          <w:rPr>
                                            <w:b/>
                                            <w:i/>
                                            <w:sz w:val="20"/>
                                            <w:szCs w:val="20"/>
                                          </w:rPr>
                                          <w:t>2028-29</w:t>
                                        </w:r>
                                      </w:p>
                                    </w:tc>
                                    <w:tc>
                                      <w:tcPr>
                                        <w:tcW w:w="996" w:type="dxa"/>
                                        <w:tcBorders>
                                          <w:top w:val="single" w:sz="4" w:space="0" w:color="000080"/>
                                          <w:bottom w:val="single" w:sz="4" w:space="0" w:color="000080"/>
                                        </w:tcBorders>
                                        <w:vAlign w:val="center"/>
                                      </w:tcPr>
                                      <w:p w14:paraId="6D2B2FE6" w14:textId="77777777" w:rsidR="00AD5C59" w:rsidRPr="002328CB" w:rsidRDefault="00AD5C59" w:rsidP="00123321">
                                        <w:pPr>
                                          <w:keepNext/>
                                          <w:keepLines/>
                                          <w:spacing w:before="40" w:after="40"/>
                                          <w:jc w:val="right"/>
                                          <w:rPr>
                                            <w:b/>
                                            <w:i/>
                                            <w:sz w:val="21"/>
                                            <w:szCs w:val="21"/>
                                          </w:rPr>
                                        </w:pPr>
                                        <w:r w:rsidRPr="002328CB">
                                          <w:rPr>
                                            <w:b/>
                                            <w:i/>
                                            <w:sz w:val="21"/>
                                            <w:szCs w:val="21"/>
                                          </w:rPr>
                                          <w:t>Total</w:t>
                                        </w:r>
                                      </w:p>
                                    </w:tc>
                                  </w:tr>
                                  <w:tr w:rsidR="00AD5C59" w:rsidRPr="00101AB3" w14:paraId="260BA2B8" w14:textId="77777777" w:rsidTr="00EA40EB">
                                    <w:trPr>
                                      <w:cantSplit/>
                                    </w:trPr>
                                    <w:tc>
                                      <w:tcPr>
                                        <w:tcW w:w="1961" w:type="dxa"/>
                                        <w:tcBorders>
                                          <w:top w:val="single" w:sz="4" w:space="0" w:color="000080"/>
                                        </w:tcBorders>
                                      </w:tcPr>
                                      <w:p w14:paraId="2BB67F63" w14:textId="77777777" w:rsidR="00AD5C59" w:rsidRPr="005D39DD" w:rsidRDefault="00AD5C59">
                                        <w:pPr>
                                          <w:keepNext/>
                                          <w:keepLines/>
                                          <w:spacing w:before="60" w:after="60"/>
                                          <w:ind w:left="-111"/>
                                          <w:rPr>
                                            <w:b/>
                                            <w:sz w:val="21"/>
                                            <w:szCs w:val="21"/>
                                          </w:rPr>
                                        </w:pPr>
                                      </w:p>
                                    </w:tc>
                                    <w:tc>
                                      <w:tcPr>
                                        <w:tcW w:w="912" w:type="dxa"/>
                                        <w:tcBorders>
                                          <w:top w:val="single" w:sz="4" w:space="0" w:color="000080"/>
                                        </w:tcBorders>
                                      </w:tcPr>
                                      <w:p w14:paraId="1341C565" w14:textId="77777777" w:rsidR="00AD5C59" w:rsidRPr="005D39DD" w:rsidRDefault="00AD5C59">
                                        <w:pPr>
                                          <w:keepNext/>
                                          <w:keepLines/>
                                          <w:spacing w:before="40" w:after="40"/>
                                          <w:jc w:val="right"/>
                                          <w:rPr>
                                            <w:b/>
                                            <w:sz w:val="21"/>
                                            <w:szCs w:val="21"/>
                                          </w:rPr>
                                        </w:pPr>
                                      </w:p>
                                    </w:tc>
                                    <w:tc>
                                      <w:tcPr>
                                        <w:tcW w:w="1046" w:type="dxa"/>
                                        <w:tcBorders>
                                          <w:top w:val="single" w:sz="4" w:space="0" w:color="000080"/>
                                        </w:tcBorders>
                                      </w:tcPr>
                                      <w:p w14:paraId="5D3E71A8" w14:textId="77777777" w:rsidR="00AD5C59" w:rsidRPr="005D39DD" w:rsidRDefault="00AD5C59">
                                        <w:pPr>
                                          <w:keepNext/>
                                          <w:keepLines/>
                                          <w:spacing w:before="40" w:after="40"/>
                                          <w:jc w:val="right"/>
                                          <w:rPr>
                                            <w:b/>
                                            <w:sz w:val="21"/>
                                            <w:szCs w:val="21"/>
                                          </w:rPr>
                                        </w:pPr>
                                      </w:p>
                                    </w:tc>
                                    <w:tc>
                                      <w:tcPr>
                                        <w:tcW w:w="912" w:type="dxa"/>
                                        <w:tcBorders>
                                          <w:top w:val="single" w:sz="4" w:space="0" w:color="000080"/>
                                        </w:tcBorders>
                                      </w:tcPr>
                                      <w:p w14:paraId="3F9B1C30" w14:textId="77777777" w:rsidR="00AD5C59" w:rsidRPr="005D39DD" w:rsidRDefault="00AD5C59">
                                        <w:pPr>
                                          <w:keepNext/>
                                          <w:keepLines/>
                                          <w:spacing w:before="40" w:after="40"/>
                                          <w:jc w:val="right"/>
                                          <w:rPr>
                                            <w:b/>
                                            <w:sz w:val="21"/>
                                            <w:szCs w:val="21"/>
                                          </w:rPr>
                                        </w:pPr>
                                      </w:p>
                                    </w:tc>
                                    <w:tc>
                                      <w:tcPr>
                                        <w:tcW w:w="913" w:type="dxa"/>
                                        <w:tcBorders>
                                          <w:top w:val="single" w:sz="4" w:space="0" w:color="000080"/>
                                        </w:tcBorders>
                                      </w:tcPr>
                                      <w:p w14:paraId="3C953554" w14:textId="77777777" w:rsidR="00AD5C59" w:rsidRPr="005D39DD" w:rsidRDefault="00AD5C59">
                                        <w:pPr>
                                          <w:keepNext/>
                                          <w:keepLines/>
                                          <w:spacing w:before="40" w:after="40"/>
                                          <w:jc w:val="right"/>
                                          <w:rPr>
                                            <w:b/>
                                            <w:sz w:val="21"/>
                                            <w:szCs w:val="21"/>
                                          </w:rPr>
                                        </w:pPr>
                                      </w:p>
                                    </w:tc>
                                    <w:tc>
                                      <w:tcPr>
                                        <w:tcW w:w="982" w:type="dxa"/>
                                        <w:tcBorders>
                                          <w:top w:val="single" w:sz="4" w:space="0" w:color="000080"/>
                                        </w:tcBorders>
                                      </w:tcPr>
                                      <w:p w14:paraId="432BB3D4" w14:textId="77777777" w:rsidR="00AD5C59" w:rsidRPr="005D39DD" w:rsidRDefault="00AD5C59">
                                        <w:pPr>
                                          <w:keepNext/>
                                          <w:keepLines/>
                                          <w:spacing w:before="40" w:after="40"/>
                                          <w:jc w:val="right"/>
                                          <w:rPr>
                                            <w:b/>
                                            <w:sz w:val="21"/>
                                            <w:szCs w:val="21"/>
                                          </w:rPr>
                                        </w:pPr>
                                      </w:p>
                                    </w:tc>
                                    <w:tc>
                                      <w:tcPr>
                                        <w:tcW w:w="996" w:type="dxa"/>
                                        <w:tcBorders>
                                          <w:top w:val="single" w:sz="4" w:space="0" w:color="000080"/>
                                        </w:tcBorders>
                                      </w:tcPr>
                                      <w:p w14:paraId="7E9E9D76" w14:textId="77777777" w:rsidR="00AD5C59" w:rsidRPr="005D39DD" w:rsidRDefault="00AD5C59">
                                        <w:pPr>
                                          <w:keepNext/>
                                          <w:keepLines/>
                                          <w:spacing w:before="40" w:after="40"/>
                                          <w:jc w:val="right"/>
                                          <w:rPr>
                                            <w:b/>
                                            <w:sz w:val="21"/>
                                            <w:szCs w:val="21"/>
                                          </w:rPr>
                                        </w:pPr>
                                      </w:p>
                                    </w:tc>
                                  </w:tr>
                                  <w:tr w:rsidR="00AD5C59" w:rsidRPr="00101AB3" w14:paraId="61AE3D48" w14:textId="77777777" w:rsidTr="00EA40EB">
                                    <w:trPr>
                                      <w:cantSplit/>
                                    </w:trPr>
                                    <w:tc>
                                      <w:tcPr>
                                        <w:tcW w:w="1961" w:type="dxa"/>
                                      </w:tcPr>
                                      <w:p w14:paraId="276E2138" w14:textId="77777777" w:rsidR="00AD5C59" w:rsidRPr="008C6B79" w:rsidRDefault="00AD5C59" w:rsidP="0070055F">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2" w:type="dxa"/>
                                      </w:tcPr>
                                      <w:p w14:paraId="46FD39E9" w14:textId="77777777" w:rsidR="00AD5C59" w:rsidRPr="005D39DD" w:rsidRDefault="00AD5C59" w:rsidP="0070055F">
                                        <w:pPr>
                                          <w:keepNext/>
                                          <w:keepLines/>
                                          <w:spacing w:before="40" w:after="40"/>
                                          <w:jc w:val="right"/>
                                          <w:rPr>
                                            <w:sz w:val="21"/>
                                            <w:szCs w:val="21"/>
                                          </w:rPr>
                                        </w:pPr>
                                        <w:r w:rsidRPr="004313C8">
                                          <w:t xml:space="preserve"> 350.91 </w:t>
                                        </w:r>
                                      </w:p>
                                    </w:tc>
                                    <w:tc>
                                      <w:tcPr>
                                        <w:tcW w:w="1046" w:type="dxa"/>
                                      </w:tcPr>
                                      <w:p w14:paraId="7BA36DF1" w14:textId="77777777" w:rsidR="00AD5C59" w:rsidRPr="005D39DD" w:rsidRDefault="00AD5C59" w:rsidP="0070055F">
                                        <w:pPr>
                                          <w:keepNext/>
                                          <w:keepLines/>
                                          <w:spacing w:before="40" w:after="40"/>
                                          <w:jc w:val="right"/>
                                          <w:rPr>
                                            <w:sz w:val="21"/>
                                            <w:szCs w:val="21"/>
                                          </w:rPr>
                                        </w:pPr>
                                        <w:r w:rsidRPr="004313C8">
                                          <w:t xml:space="preserve"> 358.98 </w:t>
                                        </w:r>
                                      </w:p>
                                    </w:tc>
                                    <w:tc>
                                      <w:tcPr>
                                        <w:tcW w:w="912" w:type="dxa"/>
                                      </w:tcPr>
                                      <w:p w14:paraId="47BDAFA2" w14:textId="77777777" w:rsidR="00AD5C59" w:rsidRPr="005D39DD" w:rsidRDefault="00AD5C59" w:rsidP="0070055F">
                                        <w:pPr>
                                          <w:keepNext/>
                                          <w:keepLines/>
                                          <w:spacing w:before="40" w:after="40"/>
                                          <w:jc w:val="right"/>
                                          <w:rPr>
                                            <w:sz w:val="21"/>
                                            <w:szCs w:val="21"/>
                                          </w:rPr>
                                        </w:pPr>
                                        <w:r w:rsidRPr="004313C8">
                                          <w:t xml:space="preserve"> 366.88 </w:t>
                                        </w:r>
                                      </w:p>
                                    </w:tc>
                                    <w:tc>
                                      <w:tcPr>
                                        <w:tcW w:w="913" w:type="dxa"/>
                                      </w:tcPr>
                                      <w:p w14:paraId="5307C812" w14:textId="77777777" w:rsidR="00AD5C59" w:rsidRPr="005D39DD" w:rsidRDefault="00AD5C59" w:rsidP="0070055F">
                                        <w:pPr>
                                          <w:keepNext/>
                                          <w:keepLines/>
                                          <w:spacing w:before="40" w:after="40"/>
                                          <w:jc w:val="right"/>
                                          <w:rPr>
                                            <w:sz w:val="21"/>
                                            <w:szCs w:val="21"/>
                                          </w:rPr>
                                        </w:pPr>
                                        <w:r w:rsidRPr="004313C8">
                                          <w:t xml:space="preserve"> 374.22 </w:t>
                                        </w:r>
                                      </w:p>
                                    </w:tc>
                                    <w:tc>
                                      <w:tcPr>
                                        <w:tcW w:w="982" w:type="dxa"/>
                                      </w:tcPr>
                                      <w:p w14:paraId="6C933BCB" w14:textId="77777777" w:rsidR="00AD5C59" w:rsidRPr="005D39DD" w:rsidRDefault="00AD5C59" w:rsidP="0070055F">
                                        <w:pPr>
                                          <w:keepNext/>
                                          <w:keepLines/>
                                          <w:spacing w:before="40" w:after="40"/>
                                          <w:jc w:val="right"/>
                                          <w:rPr>
                                            <w:sz w:val="21"/>
                                            <w:szCs w:val="21"/>
                                          </w:rPr>
                                        </w:pPr>
                                        <w:r w:rsidRPr="004313C8">
                                          <w:t xml:space="preserve"> 381.70 </w:t>
                                        </w:r>
                                      </w:p>
                                    </w:tc>
                                    <w:tc>
                                      <w:tcPr>
                                        <w:tcW w:w="996" w:type="dxa"/>
                                      </w:tcPr>
                                      <w:p w14:paraId="6769D21B" w14:textId="77777777" w:rsidR="00AD5C59" w:rsidRPr="005D39DD" w:rsidRDefault="00AD5C59" w:rsidP="0070055F">
                                        <w:pPr>
                                          <w:keepNext/>
                                          <w:keepLines/>
                                          <w:spacing w:before="40" w:after="40"/>
                                          <w:jc w:val="right"/>
                                          <w:rPr>
                                            <w:sz w:val="21"/>
                                            <w:szCs w:val="21"/>
                                          </w:rPr>
                                        </w:pPr>
                                        <w:r w:rsidRPr="004313C8">
                                          <w:t xml:space="preserve">1,832.71 </w:t>
                                        </w:r>
                                      </w:p>
                                    </w:tc>
                                  </w:tr>
                                  <w:tr w:rsidR="00AD5C59" w:rsidRPr="00FE00A2" w14:paraId="1D64E63C" w14:textId="77777777" w:rsidTr="00EA40EB">
                                    <w:trPr>
                                      <w:cantSplit/>
                                    </w:trPr>
                                    <w:tc>
                                      <w:tcPr>
                                        <w:tcW w:w="1961" w:type="dxa"/>
                                      </w:tcPr>
                                      <w:p w14:paraId="7471ED70" w14:textId="77777777" w:rsidR="00AD5C59" w:rsidRPr="00FE00A2" w:rsidRDefault="00AD5C59" w:rsidP="00EA40EB">
                                        <w:pPr>
                                          <w:pStyle w:val="ListParagraph"/>
                                          <w:keepNext/>
                                          <w:keepLines/>
                                          <w:widowControl/>
                                          <w:numPr>
                                            <w:ilvl w:val="0"/>
                                            <w:numId w:val="2"/>
                                          </w:numPr>
                                          <w:spacing w:before="60" w:after="60"/>
                                          <w:rPr>
                                            <w:rFonts w:ascii="Corbel" w:hAnsi="Corbel"/>
                                            <w:sz w:val="21"/>
                                            <w:szCs w:val="21"/>
                                          </w:rPr>
                                        </w:pPr>
                                        <w:r w:rsidRPr="00FE00A2">
                                          <w:rPr>
                                            <w:rFonts w:ascii="Corbel" w:hAnsi="Corbel"/>
                                            <w:sz w:val="21"/>
                                            <w:szCs w:val="21"/>
                                          </w:rPr>
                                          <w:t>Specified Homelessness Funding</w:t>
                                        </w:r>
                                      </w:p>
                                    </w:tc>
                                    <w:tc>
                                      <w:tcPr>
                                        <w:tcW w:w="912" w:type="dxa"/>
                                      </w:tcPr>
                                      <w:p w14:paraId="51AECC4F" w14:textId="77777777" w:rsidR="00AD5C59" w:rsidRPr="00FE00A2" w:rsidRDefault="00AD5C59" w:rsidP="00EA40EB">
                                        <w:pPr>
                                          <w:keepNext/>
                                          <w:keepLines/>
                                          <w:spacing w:before="40" w:after="40"/>
                                          <w:jc w:val="right"/>
                                        </w:pPr>
                                        <w:r w:rsidRPr="00FE00A2">
                                          <w:t xml:space="preserve">100.12 </w:t>
                                        </w:r>
                                      </w:p>
                                    </w:tc>
                                    <w:tc>
                                      <w:tcPr>
                                        <w:tcW w:w="1046" w:type="dxa"/>
                                      </w:tcPr>
                                      <w:p w14:paraId="39E0DED2" w14:textId="77777777" w:rsidR="00AD5C59" w:rsidRPr="00FE00A2" w:rsidRDefault="00AD5C59" w:rsidP="00EA40EB">
                                        <w:pPr>
                                          <w:keepNext/>
                                          <w:keepLines/>
                                          <w:spacing w:before="40" w:after="40"/>
                                          <w:jc w:val="right"/>
                                          <w:rPr>
                                            <w:sz w:val="21"/>
                                            <w:szCs w:val="21"/>
                                          </w:rPr>
                                        </w:pPr>
                                        <w:r w:rsidRPr="00FE00A2">
                                          <w:t xml:space="preserve">102.43 </w:t>
                                        </w:r>
                                      </w:p>
                                    </w:tc>
                                    <w:tc>
                                      <w:tcPr>
                                        <w:tcW w:w="912" w:type="dxa"/>
                                      </w:tcPr>
                                      <w:p w14:paraId="02D0FC41" w14:textId="77777777" w:rsidR="00AD5C59" w:rsidRPr="00FE00A2" w:rsidRDefault="00AD5C59" w:rsidP="00EA40EB">
                                        <w:pPr>
                                          <w:keepNext/>
                                          <w:keepLines/>
                                          <w:spacing w:before="40" w:after="40"/>
                                          <w:jc w:val="right"/>
                                        </w:pPr>
                                        <w:r w:rsidRPr="00FE00A2">
                                          <w:t xml:space="preserve">104.68 </w:t>
                                        </w:r>
                                      </w:p>
                                    </w:tc>
                                    <w:tc>
                                      <w:tcPr>
                                        <w:tcW w:w="913" w:type="dxa"/>
                                      </w:tcPr>
                                      <w:p w14:paraId="2669F48D" w14:textId="77777777" w:rsidR="00AD5C59" w:rsidRPr="00FE00A2" w:rsidRDefault="00AD5C59" w:rsidP="00EA40EB">
                                        <w:pPr>
                                          <w:keepNext/>
                                          <w:keepLines/>
                                          <w:spacing w:before="40" w:after="40"/>
                                          <w:jc w:val="right"/>
                                        </w:pPr>
                                        <w:r w:rsidRPr="00FE00A2">
                                          <w:t xml:space="preserve">106.77 </w:t>
                                        </w:r>
                                      </w:p>
                                    </w:tc>
                                    <w:tc>
                                      <w:tcPr>
                                        <w:tcW w:w="982" w:type="dxa"/>
                                      </w:tcPr>
                                      <w:p w14:paraId="49D77BC6" w14:textId="77777777" w:rsidR="00AD5C59" w:rsidRPr="00FE00A2" w:rsidRDefault="00AD5C59" w:rsidP="00EA40EB">
                                        <w:pPr>
                                          <w:keepNext/>
                                          <w:keepLines/>
                                          <w:spacing w:before="40" w:after="40"/>
                                          <w:jc w:val="right"/>
                                        </w:pPr>
                                        <w:r w:rsidRPr="00FE00A2">
                                          <w:t xml:space="preserve">108.91 </w:t>
                                        </w:r>
                                      </w:p>
                                    </w:tc>
                                    <w:tc>
                                      <w:tcPr>
                                        <w:tcW w:w="996" w:type="dxa"/>
                                      </w:tcPr>
                                      <w:p w14:paraId="6AB42E66" w14:textId="77777777" w:rsidR="00AD5C59" w:rsidRPr="00FE00A2" w:rsidRDefault="00AD5C59" w:rsidP="00EA40EB">
                                        <w:pPr>
                                          <w:keepNext/>
                                          <w:keepLines/>
                                          <w:spacing w:before="40" w:after="40"/>
                                          <w:jc w:val="right"/>
                                        </w:pPr>
                                        <w:r w:rsidRPr="00FE00A2">
                                          <w:t xml:space="preserve">522.92 </w:t>
                                        </w:r>
                                      </w:p>
                                    </w:tc>
                                  </w:tr>
                                  <w:tr w:rsidR="00AD5C59" w:rsidRPr="00FE00A2" w14:paraId="17F97CAA" w14:textId="77777777" w:rsidTr="00EA40EB">
                                    <w:trPr>
                                      <w:cantSplit/>
                                    </w:trPr>
                                    <w:tc>
                                      <w:tcPr>
                                        <w:tcW w:w="1961" w:type="dxa"/>
                                      </w:tcPr>
                                      <w:p w14:paraId="42E143D8" w14:textId="77777777" w:rsidR="00AD5C59" w:rsidRPr="00FE00A2" w:rsidRDefault="00AD5C59" w:rsidP="00750D10">
                                        <w:pPr>
                                          <w:keepNext/>
                                          <w:keepLines/>
                                          <w:widowControl/>
                                          <w:spacing w:before="60" w:after="60"/>
                                          <w:rPr>
                                            <w:rFonts w:ascii="Corbel" w:hAnsi="Corbel"/>
                                            <w:b/>
                                            <w:bCs/>
                                            <w:sz w:val="21"/>
                                            <w:szCs w:val="21"/>
                                          </w:rPr>
                                        </w:pPr>
                                        <w:r w:rsidRPr="00FE00A2">
                                          <w:rPr>
                                            <w:rFonts w:ascii="Corbel" w:hAnsi="Corbel"/>
                                            <w:b/>
                                            <w:bCs/>
                                            <w:sz w:val="21"/>
                                            <w:szCs w:val="21"/>
                                          </w:rPr>
                                          <w:t>Total NASHH</w:t>
                                        </w:r>
                                      </w:p>
                                    </w:tc>
                                    <w:tc>
                                      <w:tcPr>
                                        <w:tcW w:w="912" w:type="dxa"/>
                                      </w:tcPr>
                                      <w:p w14:paraId="56F48A36" w14:textId="77777777" w:rsidR="00AD5C59" w:rsidRPr="00FE00A2" w:rsidRDefault="00AD5C59">
                                        <w:pPr>
                                          <w:keepNext/>
                                          <w:keepLines/>
                                          <w:spacing w:before="40" w:after="40"/>
                                          <w:jc w:val="right"/>
                                          <w:rPr>
                                            <w:b/>
                                            <w:bCs/>
                                            <w:sz w:val="21"/>
                                            <w:szCs w:val="21"/>
                                          </w:rPr>
                                        </w:pPr>
                                        <w:r w:rsidRPr="00FE00A2">
                                          <w:rPr>
                                            <w:b/>
                                            <w:bCs/>
                                            <w:sz w:val="21"/>
                                            <w:szCs w:val="21"/>
                                          </w:rPr>
                                          <w:t>451.03</w:t>
                                        </w:r>
                                      </w:p>
                                    </w:tc>
                                    <w:tc>
                                      <w:tcPr>
                                        <w:tcW w:w="1046" w:type="dxa"/>
                                      </w:tcPr>
                                      <w:p w14:paraId="7E672429" w14:textId="77777777" w:rsidR="00AD5C59" w:rsidRPr="00FE00A2" w:rsidRDefault="00AD5C59">
                                        <w:pPr>
                                          <w:keepNext/>
                                          <w:keepLines/>
                                          <w:spacing w:before="40" w:after="40"/>
                                          <w:jc w:val="right"/>
                                          <w:rPr>
                                            <w:b/>
                                            <w:bCs/>
                                            <w:sz w:val="21"/>
                                            <w:szCs w:val="21"/>
                                          </w:rPr>
                                        </w:pPr>
                                        <w:r w:rsidRPr="00FE00A2">
                                          <w:rPr>
                                            <w:b/>
                                            <w:bCs/>
                                            <w:sz w:val="21"/>
                                            <w:szCs w:val="21"/>
                                          </w:rPr>
                                          <w:t>461.41</w:t>
                                        </w:r>
                                      </w:p>
                                    </w:tc>
                                    <w:tc>
                                      <w:tcPr>
                                        <w:tcW w:w="912" w:type="dxa"/>
                                      </w:tcPr>
                                      <w:p w14:paraId="55E34456" w14:textId="77777777" w:rsidR="00AD5C59" w:rsidRPr="00FE00A2" w:rsidRDefault="00AD5C59">
                                        <w:pPr>
                                          <w:keepNext/>
                                          <w:keepLines/>
                                          <w:spacing w:before="40" w:after="40"/>
                                          <w:jc w:val="right"/>
                                          <w:rPr>
                                            <w:b/>
                                            <w:bCs/>
                                            <w:sz w:val="21"/>
                                            <w:szCs w:val="21"/>
                                          </w:rPr>
                                        </w:pPr>
                                        <w:r w:rsidRPr="00FE00A2">
                                          <w:rPr>
                                            <w:b/>
                                            <w:bCs/>
                                            <w:sz w:val="21"/>
                                            <w:szCs w:val="21"/>
                                          </w:rPr>
                                          <w:t>471.56</w:t>
                                        </w:r>
                                      </w:p>
                                    </w:tc>
                                    <w:tc>
                                      <w:tcPr>
                                        <w:tcW w:w="913" w:type="dxa"/>
                                      </w:tcPr>
                                      <w:p w14:paraId="0AC1726F" w14:textId="77777777" w:rsidR="00AD5C59" w:rsidRPr="00FE00A2" w:rsidRDefault="00AD5C59">
                                        <w:pPr>
                                          <w:keepNext/>
                                          <w:keepLines/>
                                          <w:spacing w:before="40" w:after="40"/>
                                          <w:jc w:val="right"/>
                                          <w:rPr>
                                            <w:b/>
                                            <w:bCs/>
                                            <w:sz w:val="21"/>
                                            <w:szCs w:val="21"/>
                                          </w:rPr>
                                        </w:pPr>
                                        <w:r w:rsidRPr="00FE00A2">
                                          <w:rPr>
                                            <w:b/>
                                            <w:bCs/>
                                            <w:sz w:val="21"/>
                                            <w:szCs w:val="21"/>
                                          </w:rPr>
                                          <w:t>480.99</w:t>
                                        </w:r>
                                      </w:p>
                                    </w:tc>
                                    <w:tc>
                                      <w:tcPr>
                                        <w:tcW w:w="982" w:type="dxa"/>
                                      </w:tcPr>
                                      <w:p w14:paraId="3A4FC1F9" w14:textId="77777777" w:rsidR="00AD5C59" w:rsidRPr="00FE00A2" w:rsidRDefault="00AD5C59">
                                        <w:pPr>
                                          <w:keepNext/>
                                          <w:keepLines/>
                                          <w:spacing w:before="40" w:after="40"/>
                                          <w:jc w:val="right"/>
                                          <w:rPr>
                                            <w:b/>
                                            <w:bCs/>
                                            <w:sz w:val="21"/>
                                            <w:szCs w:val="21"/>
                                          </w:rPr>
                                        </w:pPr>
                                        <w:r w:rsidRPr="00FE00A2">
                                          <w:rPr>
                                            <w:b/>
                                            <w:bCs/>
                                            <w:sz w:val="21"/>
                                            <w:szCs w:val="21"/>
                                          </w:rPr>
                                          <w:t>490.61</w:t>
                                        </w:r>
                                      </w:p>
                                    </w:tc>
                                    <w:tc>
                                      <w:tcPr>
                                        <w:tcW w:w="996" w:type="dxa"/>
                                      </w:tcPr>
                                      <w:p w14:paraId="20D14965" w14:textId="77777777" w:rsidR="00AD5C59" w:rsidRPr="00FE00A2" w:rsidRDefault="00AD5C59">
                                        <w:pPr>
                                          <w:keepNext/>
                                          <w:keepLines/>
                                          <w:spacing w:before="40" w:after="40"/>
                                          <w:jc w:val="right"/>
                                          <w:rPr>
                                            <w:b/>
                                            <w:bCs/>
                                            <w:sz w:val="21"/>
                                            <w:szCs w:val="21"/>
                                          </w:rPr>
                                        </w:pPr>
                                        <w:r w:rsidRPr="00FE00A2">
                                          <w:rPr>
                                            <w:b/>
                                            <w:bCs/>
                                            <w:sz w:val="21"/>
                                            <w:szCs w:val="21"/>
                                          </w:rPr>
                                          <w:t>2,355.63</w:t>
                                        </w:r>
                                      </w:p>
                                    </w:tc>
                                  </w:tr>
                                  <w:tr w:rsidR="00AD5C59" w:rsidRPr="00FE00A2" w14:paraId="57F1A218" w14:textId="77777777" w:rsidTr="00EA40EB">
                                    <w:trPr>
                                      <w:cantSplit/>
                                    </w:trPr>
                                    <w:tc>
                                      <w:tcPr>
                                        <w:tcW w:w="1961" w:type="dxa"/>
                                        <w:tcBorders>
                                          <w:bottom w:val="single" w:sz="4" w:space="0" w:color="000080"/>
                                        </w:tcBorders>
                                      </w:tcPr>
                                      <w:p w14:paraId="5930387C" w14:textId="77777777" w:rsidR="00AD5C59" w:rsidRPr="00FE00A2" w:rsidRDefault="00AD5C59" w:rsidP="00EA40EB">
                                        <w:pPr>
                                          <w:keepNext/>
                                          <w:keepLines/>
                                          <w:spacing w:before="40" w:after="40"/>
                                          <w:ind w:left="-111"/>
                                          <w:rPr>
                                            <w:i/>
                                            <w:iCs/>
                                            <w:sz w:val="21"/>
                                            <w:szCs w:val="21"/>
                                          </w:rPr>
                                        </w:pPr>
                                        <w:r w:rsidRPr="00FE00A2">
                                          <w:rPr>
                                            <w:i/>
                                            <w:iCs/>
                                            <w:sz w:val="21"/>
                                            <w:szCs w:val="21"/>
                                          </w:rPr>
                                          <w:t>Victorian matched homelessness funding</w:t>
                                        </w:r>
                                      </w:p>
                                    </w:tc>
                                    <w:tc>
                                      <w:tcPr>
                                        <w:tcW w:w="912" w:type="dxa"/>
                                        <w:tcBorders>
                                          <w:bottom w:val="single" w:sz="4" w:space="0" w:color="000080"/>
                                        </w:tcBorders>
                                      </w:tcPr>
                                      <w:p w14:paraId="29F3C5C3" w14:textId="77777777" w:rsidR="00AD5C59" w:rsidRPr="00FE00A2" w:rsidRDefault="00AD5C59" w:rsidP="00EA40EB">
                                        <w:pPr>
                                          <w:keepNext/>
                                          <w:keepLines/>
                                          <w:spacing w:before="40" w:after="40"/>
                                          <w:jc w:val="right"/>
                                          <w:rPr>
                                            <w:i/>
                                            <w:iCs/>
                                            <w:sz w:val="21"/>
                                            <w:szCs w:val="21"/>
                                          </w:rPr>
                                        </w:pPr>
                                        <w:r w:rsidRPr="00FE00A2">
                                          <w:rPr>
                                            <w:i/>
                                            <w:iCs/>
                                          </w:rPr>
                                          <w:t>100.12</w:t>
                                        </w:r>
                                      </w:p>
                                    </w:tc>
                                    <w:tc>
                                      <w:tcPr>
                                        <w:tcW w:w="1046" w:type="dxa"/>
                                        <w:tcBorders>
                                          <w:bottom w:val="single" w:sz="4" w:space="0" w:color="000080"/>
                                        </w:tcBorders>
                                      </w:tcPr>
                                      <w:p w14:paraId="07F6A615" w14:textId="77777777" w:rsidR="00AD5C59" w:rsidRPr="00FE00A2" w:rsidRDefault="00AD5C59" w:rsidP="00EA40EB">
                                        <w:pPr>
                                          <w:keepNext/>
                                          <w:keepLines/>
                                          <w:spacing w:before="40" w:after="40"/>
                                          <w:jc w:val="right"/>
                                          <w:rPr>
                                            <w:i/>
                                            <w:iCs/>
                                            <w:sz w:val="21"/>
                                            <w:szCs w:val="21"/>
                                          </w:rPr>
                                        </w:pPr>
                                        <w:r w:rsidRPr="00FE00A2">
                                          <w:rPr>
                                            <w:i/>
                                            <w:iCs/>
                                          </w:rPr>
                                          <w:t>102.43</w:t>
                                        </w:r>
                                      </w:p>
                                    </w:tc>
                                    <w:tc>
                                      <w:tcPr>
                                        <w:tcW w:w="912" w:type="dxa"/>
                                        <w:tcBorders>
                                          <w:bottom w:val="single" w:sz="4" w:space="0" w:color="000080"/>
                                        </w:tcBorders>
                                      </w:tcPr>
                                      <w:p w14:paraId="1C4E17BF" w14:textId="77777777" w:rsidR="00AD5C59" w:rsidRPr="00FE00A2" w:rsidRDefault="00AD5C59" w:rsidP="00EA40EB">
                                        <w:pPr>
                                          <w:keepNext/>
                                          <w:keepLines/>
                                          <w:spacing w:before="40" w:after="40"/>
                                          <w:jc w:val="right"/>
                                          <w:rPr>
                                            <w:i/>
                                            <w:iCs/>
                                            <w:sz w:val="21"/>
                                            <w:szCs w:val="21"/>
                                          </w:rPr>
                                        </w:pPr>
                                        <w:r w:rsidRPr="00FE00A2">
                                          <w:rPr>
                                            <w:i/>
                                            <w:iCs/>
                                          </w:rPr>
                                          <w:t>104.68</w:t>
                                        </w:r>
                                      </w:p>
                                    </w:tc>
                                    <w:tc>
                                      <w:tcPr>
                                        <w:tcW w:w="913" w:type="dxa"/>
                                        <w:tcBorders>
                                          <w:bottom w:val="single" w:sz="4" w:space="0" w:color="000080"/>
                                        </w:tcBorders>
                                      </w:tcPr>
                                      <w:p w14:paraId="7AF1C2FD" w14:textId="77777777" w:rsidR="00AD5C59" w:rsidRPr="00FE00A2" w:rsidRDefault="00AD5C59" w:rsidP="00EA40EB">
                                        <w:pPr>
                                          <w:keepNext/>
                                          <w:keepLines/>
                                          <w:spacing w:before="40" w:after="40"/>
                                          <w:jc w:val="right"/>
                                          <w:rPr>
                                            <w:i/>
                                            <w:iCs/>
                                            <w:sz w:val="21"/>
                                            <w:szCs w:val="21"/>
                                          </w:rPr>
                                        </w:pPr>
                                        <w:r w:rsidRPr="00FE00A2">
                                          <w:rPr>
                                            <w:i/>
                                            <w:iCs/>
                                          </w:rPr>
                                          <w:t>106.77</w:t>
                                        </w:r>
                                      </w:p>
                                    </w:tc>
                                    <w:tc>
                                      <w:tcPr>
                                        <w:tcW w:w="982" w:type="dxa"/>
                                        <w:tcBorders>
                                          <w:bottom w:val="single" w:sz="4" w:space="0" w:color="000080"/>
                                        </w:tcBorders>
                                      </w:tcPr>
                                      <w:p w14:paraId="27D2647D" w14:textId="77777777" w:rsidR="00AD5C59" w:rsidRPr="00FE00A2" w:rsidRDefault="00AD5C59" w:rsidP="00EA40EB">
                                        <w:pPr>
                                          <w:keepNext/>
                                          <w:keepLines/>
                                          <w:spacing w:before="40" w:after="40"/>
                                          <w:jc w:val="right"/>
                                          <w:rPr>
                                            <w:i/>
                                            <w:iCs/>
                                            <w:sz w:val="21"/>
                                            <w:szCs w:val="21"/>
                                          </w:rPr>
                                        </w:pPr>
                                        <w:r w:rsidRPr="00FE00A2">
                                          <w:rPr>
                                            <w:i/>
                                            <w:iCs/>
                                          </w:rPr>
                                          <w:t>108.91</w:t>
                                        </w:r>
                                      </w:p>
                                    </w:tc>
                                    <w:tc>
                                      <w:tcPr>
                                        <w:tcW w:w="996" w:type="dxa"/>
                                        <w:tcBorders>
                                          <w:bottom w:val="single" w:sz="4" w:space="0" w:color="000080"/>
                                        </w:tcBorders>
                                      </w:tcPr>
                                      <w:p w14:paraId="4D65DD8F" w14:textId="77777777" w:rsidR="00AD5C59" w:rsidRPr="00FE00A2" w:rsidRDefault="00AD5C59" w:rsidP="00EA40EB">
                                        <w:pPr>
                                          <w:keepNext/>
                                          <w:keepLines/>
                                          <w:spacing w:before="40" w:after="40"/>
                                          <w:jc w:val="right"/>
                                          <w:rPr>
                                            <w:i/>
                                            <w:iCs/>
                                            <w:sz w:val="21"/>
                                            <w:szCs w:val="21"/>
                                          </w:rPr>
                                        </w:pPr>
                                        <w:r w:rsidRPr="00FE00A2">
                                          <w:rPr>
                                            <w:i/>
                                            <w:iCs/>
                                          </w:rPr>
                                          <w:t>522.92</w:t>
                                        </w:r>
                                      </w:p>
                                    </w:tc>
                                  </w:tr>
                                </w:tbl>
                                <w:p w14:paraId="6BE4692E" w14:textId="77777777" w:rsidR="00AD5C59" w:rsidRPr="00101AB3" w:rsidRDefault="00AD5C59" w:rsidP="00AD5C59">
                                  <w:pPr>
                                    <w:rPr>
                                      <w:sz w:val="18"/>
                                      <w:szCs w:val="18"/>
                                    </w:rPr>
                                  </w:pPr>
                                  <w:r w:rsidRPr="00FE00A2">
                                    <w:rPr>
                                      <w:sz w:val="18"/>
                                      <w:szCs w:val="18"/>
                                    </w:rPr>
                                    <w:t>Note: Estimated financial contributions are based on 2024-25 Commonwealth Budget and are subject to adjustment in accordance with Part 5 of this National Agreement of Social Housing and Homelessness.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1E6B9" id="_x0000_t202" coordsize="21600,21600" o:spt="202" path="m,l,21600r21600,l21600,xe">
                      <v:stroke joinstyle="miter"/>
                      <v:path gradientshapeok="t" o:connecttype="rect"/>
                    </v:shapetype>
                    <v:shape id="Text Box 2" o:spid="_x0000_s1026" type="#_x0000_t202" style="position:absolute;margin-left:-4.9pt;margin-top:44.2pt;width:395.25pt;height:21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" stroked="f">
                      <v:textbox>
                        <w:txbxContent>
                          <w:tbl>
                            <w:tblPr>
                              <w:tblW w:w="7722" w:type="dxa"/>
                              <w:tblLook w:val="01E0" w:firstRow="1" w:lastRow="1" w:firstColumn="1" w:lastColumn="1" w:noHBand="0" w:noVBand="0"/>
                            </w:tblPr>
                            <w:tblGrid>
                              <w:gridCol w:w="1961"/>
                              <w:gridCol w:w="912"/>
                              <w:gridCol w:w="1046"/>
                              <w:gridCol w:w="912"/>
                              <w:gridCol w:w="913"/>
                              <w:gridCol w:w="982"/>
                              <w:gridCol w:w="996"/>
                            </w:tblGrid>
                            <w:tr w:rsidR="00AD5C59" w:rsidRPr="00101AB3" w14:paraId="2CD969A4" w14:textId="77777777" w:rsidTr="00123321">
                              <w:trPr>
                                <w:cantSplit/>
                              </w:trPr>
                              <w:tc>
                                <w:tcPr>
                                  <w:tcW w:w="1961" w:type="dxa"/>
                                  <w:tcBorders>
                                    <w:top w:val="single" w:sz="4" w:space="0" w:color="000080"/>
                                    <w:bottom w:val="single" w:sz="4" w:space="0" w:color="000080"/>
                                  </w:tcBorders>
                                </w:tcPr>
                                <w:p w14:paraId="22460CC3" w14:textId="77777777" w:rsidR="00AD5C59" w:rsidRDefault="00AD5C59">
                                  <w:pPr>
                                    <w:keepNext/>
                                    <w:keepLines/>
                                    <w:spacing w:before="40" w:after="40"/>
                                    <w:ind w:left="-111"/>
                                    <w:rPr>
                                      <w:b/>
                                      <w:sz w:val="21"/>
                                      <w:szCs w:val="21"/>
                                    </w:rPr>
                                  </w:pPr>
                                  <w:r>
                                    <w:rPr>
                                      <w:b/>
                                      <w:sz w:val="21"/>
                                      <w:szCs w:val="21"/>
                                    </w:rPr>
                                    <w:t>Table 1</w:t>
                                  </w:r>
                                </w:p>
                                <w:p w14:paraId="74646BC0" w14:textId="77777777" w:rsidR="00AD5C59" w:rsidRPr="005D39DD" w:rsidRDefault="00AD5C59">
                                  <w:pPr>
                                    <w:keepNext/>
                                    <w:keepLines/>
                                    <w:spacing w:before="40" w:after="40"/>
                                    <w:ind w:left="-111"/>
                                    <w:rPr>
                                      <w:b/>
                                      <w:sz w:val="21"/>
                                      <w:szCs w:val="21"/>
                                    </w:rPr>
                                  </w:pPr>
                                  <w:r w:rsidRPr="005D39DD">
                                    <w:rPr>
                                      <w:b/>
                                      <w:sz w:val="21"/>
                                      <w:szCs w:val="21"/>
                                    </w:rPr>
                                    <w:t>($ million)</w:t>
                                  </w:r>
                                </w:p>
                              </w:tc>
                              <w:tc>
                                <w:tcPr>
                                  <w:tcW w:w="912" w:type="dxa"/>
                                  <w:tcBorders>
                                    <w:top w:val="single" w:sz="4" w:space="0" w:color="000080"/>
                                    <w:bottom w:val="single" w:sz="4" w:space="0" w:color="000080"/>
                                  </w:tcBorders>
                                  <w:vAlign w:val="center"/>
                                </w:tcPr>
                                <w:p w14:paraId="4B8691EC" w14:textId="77777777" w:rsidR="00AD5C59" w:rsidRPr="00123321" w:rsidRDefault="00AD5C59" w:rsidP="00123321">
                                  <w:pPr>
                                    <w:keepNext/>
                                    <w:keepLines/>
                                    <w:spacing w:before="40" w:after="40"/>
                                    <w:jc w:val="right"/>
                                    <w:rPr>
                                      <w:b/>
                                      <w:i/>
                                      <w:sz w:val="20"/>
                                      <w:szCs w:val="20"/>
                                    </w:rPr>
                                  </w:pPr>
                                  <w:r w:rsidRPr="00123321">
                                    <w:rPr>
                                      <w:b/>
                                      <w:i/>
                                      <w:sz w:val="20"/>
                                      <w:szCs w:val="20"/>
                                    </w:rPr>
                                    <w:t>2024-25</w:t>
                                  </w:r>
                                </w:p>
                              </w:tc>
                              <w:tc>
                                <w:tcPr>
                                  <w:tcW w:w="1046" w:type="dxa"/>
                                  <w:tcBorders>
                                    <w:top w:val="single" w:sz="4" w:space="0" w:color="000080"/>
                                    <w:bottom w:val="single" w:sz="4" w:space="0" w:color="000080"/>
                                  </w:tcBorders>
                                  <w:vAlign w:val="center"/>
                                </w:tcPr>
                                <w:p w14:paraId="0498D73D" w14:textId="77777777" w:rsidR="00AD5C59" w:rsidRPr="00123321" w:rsidRDefault="00AD5C59" w:rsidP="00123321">
                                  <w:pPr>
                                    <w:keepNext/>
                                    <w:keepLines/>
                                    <w:spacing w:before="40" w:after="40"/>
                                    <w:jc w:val="right"/>
                                    <w:rPr>
                                      <w:b/>
                                      <w:i/>
                                      <w:sz w:val="20"/>
                                      <w:szCs w:val="20"/>
                                    </w:rPr>
                                  </w:pPr>
                                  <w:r w:rsidRPr="00123321">
                                    <w:rPr>
                                      <w:b/>
                                      <w:i/>
                                      <w:sz w:val="20"/>
                                      <w:szCs w:val="20"/>
                                    </w:rPr>
                                    <w:t>2025-26</w:t>
                                  </w:r>
                                </w:p>
                              </w:tc>
                              <w:tc>
                                <w:tcPr>
                                  <w:tcW w:w="912" w:type="dxa"/>
                                  <w:tcBorders>
                                    <w:top w:val="single" w:sz="4" w:space="0" w:color="000080"/>
                                    <w:bottom w:val="single" w:sz="4" w:space="0" w:color="000080"/>
                                  </w:tcBorders>
                                  <w:vAlign w:val="center"/>
                                </w:tcPr>
                                <w:p w14:paraId="76860417" w14:textId="77777777" w:rsidR="00AD5C59" w:rsidRPr="00123321" w:rsidRDefault="00AD5C59" w:rsidP="00123321">
                                  <w:pPr>
                                    <w:keepNext/>
                                    <w:keepLines/>
                                    <w:spacing w:before="40" w:after="40"/>
                                    <w:jc w:val="right"/>
                                    <w:rPr>
                                      <w:b/>
                                      <w:i/>
                                      <w:sz w:val="20"/>
                                      <w:szCs w:val="20"/>
                                    </w:rPr>
                                  </w:pPr>
                                  <w:r w:rsidRPr="00123321">
                                    <w:rPr>
                                      <w:b/>
                                      <w:i/>
                                      <w:sz w:val="20"/>
                                      <w:szCs w:val="20"/>
                                    </w:rPr>
                                    <w:t>2026-27</w:t>
                                  </w:r>
                                </w:p>
                              </w:tc>
                              <w:tc>
                                <w:tcPr>
                                  <w:tcW w:w="913" w:type="dxa"/>
                                  <w:tcBorders>
                                    <w:top w:val="single" w:sz="4" w:space="0" w:color="000080"/>
                                    <w:bottom w:val="single" w:sz="4" w:space="0" w:color="000080"/>
                                  </w:tcBorders>
                                  <w:vAlign w:val="center"/>
                                </w:tcPr>
                                <w:p w14:paraId="0E57EAC2" w14:textId="77777777" w:rsidR="00AD5C59" w:rsidRPr="00123321" w:rsidRDefault="00AD5C59" w:rsidP="00123321">
                                  <w:pPr>
                                    <w:keepNext/>
                                    <w:keepLines/>
                                    <w:spacing w:before="40" w:after="40"/>
                                    <w:jc w:val="right"/>
                                    <w:rPr>
                                      <w:b/>
                                      <w:i/>
                                      <w:sz w:val="20"/>
                                      <w:szCs w:val="20"/>
                                    </w:rPr>
                                  </w:pPr>
                                  <w:r w:rsidRPr="00123321">
                                    <w:rPr>
                                      <w:b/>
                                      <w:i/>
                                      <w:sz w:val="20"/>
                                      <w:szCs w:val="20"/>
                                    </w:rPr>
                                    <w:t>2027-28</w:t>
                                  </w:r>
                                </w:p>
                              </w:tc>
                              <w:tc>
                                <w:tcPr>
                                  <w:tcW w:w="982" w:type="dxa"/>
                                  <w:tcBorders>
                                    <w:top w:val="single" w:sz="4" w:space="0" w:color="000080"/>
                                    <w:bottom w:val="single" w:sz="4" w:space="0" w:color="000080"/>
                                  </w:tcBorders>
                                  <w:vAlign w:val="center"/>
                                </w:tcPr>
                                <w:p w14:paraId="5DD5C674" w14:textId="77777777" w:rsidR="00AD5C59" w:rsidRPr="00123321" w:rsidRDefault="00AD5C59" w:rsidP="00123321">
                                  <w:pPr>
                                    <w:keepNext/>
                                    <w:keepLines/>
                                    <w:spacing w:before="40" w:after="40"/>
                                    <w:jc w:val="right"/>
                                    <w:rPr>
                                      <w:b/>
                                      <w:i/>
                                      <w:sz w:val="20"/>
                                      <w:szCs w:val="20"/>
                                    </w:rPr>
                                  </w:pPr>
                                  <w:r w:rsidRPr="00123321">
                                    <w:rPr>
                                      <w:b/>
                                      <w:i/>
                                      <w:sz w:val="20"/>
                                      <w:szCs w:val="20"/>
                                    </w:rPr>
                                    <w:t>2028-29</w:t>
                                  </w:r>
                                </w:p>
                              </w:tc>
                              <w:tc>
                                <w:tcPr>
                                  <w:tcW w:w="996" w:type="dxa"/>
                                  <w:tcBorders>
                                    <w:top w:val="single" w:sz="4" w:space="0" w:color="000080"/>
                                    <w:bottom w:val="single" w:sz="4" w:space="0" w:color="000080"/>
                                  </w:tcBorders>
                                  <w:vAlign w:val="center"/>
                                </w:tcPr>
                                <w:p w14:paraId="6D2B2FE6" w14:textId="77777777" w:rsidR="00AD5C59" w:rsidRPr="002328CB" w:rsidRDefault="00AD5C59" w:rsidP="00123321">
                                  <w:pPr>
                                    <w:keepNext/>
                                    <w:keepLines/>
                                    <w:spacing w:before="40" w:after="40"/>
                                    <w:jc w:val="right"/>
                                    <w:rPr>
                                      <w:b/>
                                      <w:i/>
                                      <w:sz w:val="21"/>
                                      <w:szCs w:val="21"/>
                                    </w:rPr>
                                  </w:pPr>
                                  <w:r w:rsidRPr="002328CB">
                                    <w:rPr>
                                      <w:b/>
                                      <w:i/>
                                      <w:sz w:val="21"/>
                                      <w:szCs w:val="21"/>
                                    </w:rPr>
                                    <w:t>Total</w:t>
                                  </w:r>
                                </w:p>
                              </w:tc>
                            </w:tr>
                            <w:tr w:rsidR="00AD5C59" w:rsidRPr="00101AB3" w14:paraId="260BA2B8" w14:textId="77777777" w:rsidTr="00EA40EB">
                              <w:trPr>
                                <w:cantSplit/>
                              </w:trPr>
                              <w:tc>
                                <w:tcPr>
                                  <w:tcW w:w="1961" w:type="dxa"/>
                                  <w:tcBorders>
                                    <w:top w:val="single" w:sz="4" w:space="0" w:color="000080"/>
                                  </w:tcBorders>
                                </w:tcPr>
                                <w:p w14:paraId="2BB67F63" w14:textId="77777777" w:rsidR="00AD5C59" w:rsidRPr="005D39DD" w:rsidRDefault="00AD5C59">
                                  <w:pPr>
                                    <w:keepNext/>
                                    <w:keepLines/>
                                    <w:spacing w:before="60" w:after="60"/>
                                    <w:ind w:left="-111"/>
                                    <w:rPr>
                                      <w:b/>
                                      <w:sz w:val="21"/>
                                      <w:szCs w:val="21"/>
                                    </w:rPr>
                                  </w:pPr>
                                </w:p>
                              </w:tc>
                              <w:tc>
                                <w:tcPr>
                                  <w:tcW w:w="912" w:type="dxa"/>
                                  <w:tcBorders>
                                    <w:top w:val="single" w:sz="4" w:space="0" w:color="000080"/>
                                  </w:tcBorders>
                                </w:tcPr>
                                <w:p w14:paraId="1341C565" w14:textId="77777777" w:rsidR="00AD5C59" w:rsidRPr="005D39DD" w:rsidRDefault="00AD5C59">
                                  <w:pPr>
                                    <w:keepNext/>
                                    <w:keepLines/>
                                    <w:spacing w:before="40" w:after="40"/>
                                    <w:jc w:val="right"/>
                                    <w:rPr>
                                      <w:b/>
                                      <w:sz w:val="21"/>
                                      <w:szCs w:val="21"/>
                                    </w:rPr>
                                  </w:pPr>
                                </w:p>
                              </w:tc>
                              <w:tc>
                                <w:tcPr>
                                  <w:tcW w:w="1046" w:type="dxa"/>
                                  <w:tcBorders>
                                    <w:top w:val="single" w:sz="4" w:space="0" w:color="000080"/>
                                  </w:tcBorders>
                                </w:tcPr>
                                <w:p w14:paraId="5D3E71A8" w14:textId="77777777" w:rsidR="00AD5C59" w:rsidRPr="005D39DD" w:rsidRDefault="00AD5C59">
                                  <w:pPr>
                                    <w:keepNext/>
                                    <w:keepLines/>
                                    <w:spacing w:before="40" w:after="40"/>
                                    <w:jc w:val="right"/>
                                    <w:rPr>
                                      <w:b/>
                                      <w:sz w:val="21"/>
                                      <w:szCs w:val="21"/>
                                    </w:rPr>
                                  </w:pPr>
                                </w:p>
                              </w:tc>
                              <w:tc>
                                <w:tcPr>
                                  <w:tcW w:w="912" w:type="dxa"/>
                                  <w:tcBorders>
                                    <w:top w:val="single" w:sz="4" w:space="0" w:color="000080"/>
                                  </w:tcBorders>
                                </w:tcPr>
                                <w:p w14:paraId="3F9B1C30" w14:textId="77777777" w:rsidR="00AD5C59" w:rsidRPr="005D39DD" w:rsidRDefault="00AD5C59">
                                  <w:pPr>
                                    <w:keepNext/>
                                    <w:keepLines/>
                                    <w:spacing w:before="40" w:after="40"/>
                                    <w:jc w:val="right"/>
                                    <w:rPr>
                                      <w:b/>
                                      <w:sz w:val="21"/>
                                      <w:szCs w:val="21"/>
                                    </w:rPr>
                                  </w:pPr>
                                </w:p>
                              </w:tc>
                              <w:tc>
                                <w:tcPr>
                                  <w:tcW w:w="913" w:type="dxa"/>
                                  <w:tcBorders>
                                    <w:top w:val="single" w:sz="4" w:space="0" w:color="000080"/>
                                  </w:tcBorders>
                                </w:tcPr>
                                <w:p w14:paraId="3C953554" w14:textId="77777777" w:rsidR="00AD5C59" w:rsidRPr="005D39DD" w:rsidRDefault="00AD5C59">
                                  <w:pPr>
                                    <w:keepNext/>
                                    <w:keepLines/>
                                    <w:spacing w:before="40" w:after="40"/>
                                    <w:jc w:val="right"/>
                                    <w:rPr>
                                      <w:b/>
                                      <w:sz w:val="21"/>
                                      <w:szCs w:val="21"/>
                                    </w:rPr>
                                  </w:pPr>
                                </w:p>
                              </w:tc>
                              <w:tc>
                                <w:tcPr>
                                  <w:tcW w:w="982" w:type="dxa"/>
                                  <w:tcBorders>
                                    <w:top w:val="single" w:sz="4" w:space="0" w:color="000080"/>
                                  </w:tcBorders>
                                </w:tcPr>
                                <w:p w14:paraId="432BB3D4" w14:textId="77777777" w:rsidR="00AD5C59" w:rsidRPr="005D39DD" w:rsidRDefault="00AD5C59">
                                  <w:pPr>
                                    <w:keepNext/>
                                    <w:keepLines/>
                                    <w:spacing w:before="40" w:after="40"/>
                                    <w:jc w:val="right"/>
                                    <w:rPr>
                                      <w:b/>
                                      <w:sz w:val="21"/>
                                      <w:szCs w:val="21"/>
                                    </w:rPr>
                                  </w:pPr>
                                </w:p>
                              </w:tc>
                              <w:tc>
                                <w:tcPr>
                                  <w:tcW w:w="996" w:type="dxa"/>
                                  <w:tcBorders>
                                    <w:top w:val="single" w:sz="4" w:space="0" w:color="000080"/>
                                  </w:tcBorders>
                                </w:tcPr>
                                <w:p w14:paraId="7E9E9D76" w14:textId="77777777" w:rsidR="00AD5C59" w:rsidRPr="005D39DD" w:rsidRDefault="00AD5C59">
                                  <w:pPr>
                                    <w:keepNext/>
                                    <w:keepLines/>
                                    <w:spacing w:before="40" w:after="40"/>
                                    <w:jc w:val="right"/>
                                    <w:rPr>
                                      <w:b/>
                                      <w:sz w:val="21"/>
                                      <w:szCs w:val="21"/>
                                    </w:rPr>
                                  </w:pPr>
                                </w:p>
                              </w:tc>
                            </w:tr>
                            <w:tr w:rsidR="00AD5C59" w:rsidRPr="00101AB3" w14:paraId="61AE3D48" w14:textId="77777777" w:rsidTr="00EA40EB">
                              <w:trPr>
                                <w:cantSplit/>
                              </w:trPr>
                              <w:tc>
                                <w:tcPr>
                                  <w:tcW w:w="1961" w:type="dxa"/>
                                </w:tcPr>
                                <w:p w14:paraId="276E2138" w14:textId="77777777" w:rsidR="00AD5C59" w:rsidRPr="008C6B79" w:rsidRDefault="00AD5C59" w:rsidP="0070055F">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2" w:type="dxa"/>
                                </w:tcPr>
                                <w:p w14:paraId="46FD39E9" w14:textId="77777777" w:rsidR="00AD5C59" w:rsidRPr="005D39DD" w:rsidRDefault="00AD5C59" w:rsidP="0070055F">
                                  <w:pPr>
                                    <w:keepNext/>
                                    <w:keepLines/>
                                    <w:spacing w:before="40" w:after="40"/>
                                    <w:jc w:val="right"/>
                                    <w:rPr>
                                      <w:sz w:val="21"/>
                                      <w:szCs w:val="21"/>
                                    </w:rPr>
                                  </w:pPr>
                                  <w:r w:rsidRPr="004313C8">
                                    <w:t xml:space="preserve"> 350.91 </w:t>
                                  </w:r>
                                </w:p>
                              </w:tc>
                              <w:tc>
                                <w:tcPr>
                                  <w:tcW w:w="1046" w:type="dxa"/>
                                </w:tcPr>
                                <w:p w14:paraId="7BA36DF1" w14:textId="77777777" w:rsidR="00AD5C59" w:rsidRPr="005D39DD" w:rsidRDefault="00AD5C59" w:rsidP="0070055F">
                                  <w:pPr>
                                    <w:keepNext/>
                                    <w:keepLines/>
                                    <w:spacing w:before="40" w:after="40"/>
                                    <w:jc w:val="right"/>
                                    <w:rPr>
                                      <w:sz w:val="21"/>
                                      <w:szCs w:val="21"/>
                                    </w:rPr>
                                  </w:pPr>
                                  <w:r w:rsidRPr="004313C8">
                                    <w:t xml:space="preserve"> 358.98 </w:t>
                                  </w:r>
                                </w:p>
                              </w:tc>
                              <w:tc>
                                <w:tcPr>
                                  <w:tcW w:w="912" w:type="dxa"/>
                                </w:tcPr>
                                <w:p w14:paraId="47BDAFA2" w14:textId="77777777" w:rsidR="00AD5C59" w:rsidRPr="005D39DD" w:rsidRDefault="00AD5C59" w:rsidP="0070055F">
                                  <w:pPr>
                                    <w:keepNext/>
                                    <w:keepLines/>
                                    <w:spacing w:before="40" w:after="40"/>
                                    <w:jc w:val="right"/>
                                    <w:rPr>
                                      <w:sz w:val="21"/>
                                      <w:szCs w:val="21"/>
                                    </w:rPr>
                                  </w:pPr>
                                  <w:r w:rsidRPr="004313C8">
                                    <w:t xml:space="preserve"> 366.88 </w:t>
                                  </w:r>
                                </w:p>
                              </w:tc>
                              <w:tc>
                                <w:tcPr>
                                  <w:tcW w:w="913" w:type="dxa"/>
                                </w:tcPr>
                                <w:p w14:paraId="5307C812" w14:textId="77777777" w:rsidR="00AD5C59" w:rsidRPr="005D39DD" w:rsidRDefault="00AD5C59" w:rsidP="0070055F">
                                  <w:pPr>
                                    <w:keepNext/>
                                    <w:keepLines/>
                                    <w:spacing w:before="40" w:after="40"/>
                                    <w:jc w:val="right"/>
                                    <w:rPr>
                                      <w:sz w:val="21"/>
                                      <w:szCs w:val="21"/>
                                    </w:rPr>
                                  </w:pPr>
                                  <w:r w:rsidRPr="004313C8">
                                    <w:t xml:space="preserve"> 374.22 </w:t>
                                  </w:r>
                                </w:p>
                              </w:tc>
                              <w:tc>
                                <w:tcPr>
                                  <w:tcW w:w="982" w:type="dxa"/>
                                </w:tcPr>
                                <w:p w14:paraId="6C933BCB" w14:textId="77777777" w:rsidR="00AD5C59" w:rsidRPr="005D39DD" w:rsidRDefault="00AD5C59" w:rsidP="0070055F">
                                  <w:pPr>
                                    <w:keepNext/>
                                    <w:keepLines/>
                                    <w:spacing w:before="40" w:after="40"/>
                                    <w:jc w:val="right"/>
                                    <w:rPr>
                                      <w:sz w:val="21"/>
                                      <w:szCs w:val="21"/>
                                    </w:rPr>
                                  </w:pPr>
                                  <w:r w:rsidRPr="004313C8">
                                    <w:t xml:space="preserve"> 381.70 </w:t>
                                  </w:r>
                                </w:p>
                              </w:tc>
                              <w:tc>
                                <w:tcPr>
                                  <w:tcW w:w="996" w:type="dxa"/>
                                </w:tcPr>
                                <w:p w14:paraId="6769D21B" w14:textId="77777777" w:rsidR="00AD5C59" w:rsidRPr="005D39DD" w:rsidRDefault="00AD5C59" w:rsidP="0070055F">
                                  <w:pPr>
                                    <w:keepNext/>
                                    <w:keepLines/>
                                    <w:spacing w:before="40" w:after="40"/>
                                    <w:jc w:val="right"/>
                                    <w:rPr>
                                      <w:sz w:val="21"/>
                                      <w:szCs w:val="21"/>
                                    </w:rPr>
                                  </w:pPr>
                                  <w:r w:rsidRPr="004313C8">
                                    <w:t xml:space="preserve">1,832.71 </w:t>
                                  </w:r>
                                </w:p>
                              </w:tc>
                            </w:tr>
                            <w:tr w:rsidR="00AD5C59" w:rsidRPr="00FE00A2" w14:paraId="1D64E63C" w14:textId="77777777" w:rsidTr="00EA40EB">
                              <w:trPr>
                                <w:cantSplit/>
                              </w:trPr>
                              <w:tc>
                                <w:tcPr>
                                  <w:tcW w:w="1961" w:type="dxa"/>
                                </w:tcPr>
                                <w:p w14:paraId="7471ED70" w14:textId="77777777" w:rsidR="00AD5C59" w:rsidRPr="00FE00A2" w:rsidRDefault="00AD5C59" w:rsidP="00EA40EB">
                                  <w:pPr>
                                    <w:pStyle w:val="ListParagraph"/>
                                    <w:keepNext/>
                                    <w:keepLines/>
                                    <w:widowControl/>
                                    <w:numPr>
                                      <w:ilvl w:val="0"/>
                                      <w:numId w:val="2"/>
                                    </w:numPr>
                                    <w:spacing w:before="60" w:after="60"/>
                                    <w:rPr>
                                      <w:rFonts w:ascii="Corbel" w:hAnsi="Corbel"/>
                                      <w:sz w:val="21"/>
                                      <w:szCs w:val="21"/>
                                    </w:rPr>
                                  </w:pPr>
                                  <w:r w:rsidRPr="00FE00A2">
                                    <w:rPr>
                                      <w:rFonts w:ascii="Corbel" w:hAnsi="Corbel"/>
                                      <w:sz w:val="21"/>
                                      <w:szCs w:val="21"/>
                                    </w:rPr>
                                    <w:t>Specified Homelessness Funding</w:t>
                                  </w:r>
                                </w:p>
                              </w:tc>
                              <w:tc>
                                <w:tcPr>
                                  <w:tcW w:w="912" w:type="dxa"/>
                                </w:tcPr>
                                <w:p w14:paraId="51AECC4F" w14:textId="77777777" w:rsidR="00AD5C59" w:rsidRPr="00FE00A2" w:rsidRDefault="00AD5C59" w:rsidP="00EA40EB">
                                  <w:pPr>
                                    <w:keepNext/>
                                    <w:keepLines/>
                                    <w:spacing w:before="40" w:after="40"/>
                                    <w:jc w:val="right"/>
                                  </w:pPr>
                                  <w:r w:rsidRPr="00FE00A2">
                                    <w:t xml:space="preserve">100.12 </w:t>
                                  </w:r>
                                </w:p>
                              </w:tc>
                              <w:tc>
                                <w:tcPr>
                                  <w:tcW w:w="1046" w:type="dxa"/>
                                </w:tcPr>
                                <w:p w14:paraId="39E0DED2" w14:textId="77777777" w:rsidR="00AD5C59" w:rsidRPr="00FE00A2" w:rsidRDefault="00AD5C59" w:rsidP="00EA40EB">
                                  <w:pPr>
                                    <w:keepNext/>
                                    <w:keepLines/>
                                    <w:spacing w:before="40" w:after="40"/>
                                    <w:jc w:val="right"/>
                                    <w:rPr>
                                      <w:sz w:val="21"/>
                                      <w:szCs w:val="21"/>
                                    </w:rPr>
                                  </w:pPr>
                                  <w:r w:rsidRPr="00FE00A2">
                                    <w:t xml:space="preserve">102.43 </w:t>
                                  </w:r>
                                </w:p>
                              </w:tc>
                              <w:tc>
                                <w:tcPr>
                                  <w:tcW w:w="912" w:type="dxa"/>
                                </w:tcPr>
                                <w:p w14:paraId="02D0FC41" w14:textId="77777777" w:rsidR="00AD5C59" w:rsidRPr="00FE00A2" w:rsidRDefault="00AD5C59" w:rsidP="00EA40EB">
                                  <w:pPr>
                                    <w:keepNext/>
                                    <w:keepLines/>
                                    <w:spacing w:before="40" w:after="40"/>
                                    <w:jc w:val="right"/>
                                  </w:pPr>
                                  <w:r w:rsidRPr="00FE00A2">
                                    <w:t xml:space="preserve">104.68 </w:t>
                                  </w:r>
                                </w:p>
                              </w:tc>
                              <w:tc>
                                <w:tcPr>
                                  <w:tcW w:w="913" w:type="dxa"/>
                                </w:tcPr>
                                <w:p w14:paraId="2669F48D" w14:textId="77777777" w:rsidR="00AD5C59" w:rsidRPr="00FE00A2" w:rsidRDefault="00AD5C59" w:rsidP="00EA40EB">
                                  <w:pPr>
                                    <w:keepNext/>
                                    <w:keepLines/>
                                    <w:spacing w:before="40" w:after="40"/>
                                    <w:jc w:val="right"/>
                                  </w:pPr>
                                  <w:r w:rsidRPr="00FE00A2">
                                    <w:t xml:space="preserve">106.77 </w:t>
                                  </w:r>
                                </w:p>
                              </w:tc>
                              <w:tc>
                                <w:tcPr>
                                  <w:tcW w:w="982" w:type="dxa"/>
                                </w:tcPr>
                                <w:p w14:paraId="49D77BC6" w14:textId="77777777" w:rsidR="00AD5C59" w:rsidRPr="00FE00A2" w:rsidRDefault="00AD5C59" w:rsidP="00EA40EB">
                                  <w:pPr>
                                    <w:keepNext/>
                                    <w:keepLines/>
                                    <w:spacing w:before="40" w:after="40"/>
                                    <w:jc w:val="right"/>
                                  </w:pPr>
                                  <w:r w:rsidRPr="00FE00A2">
                                    <w:t xml:space="preserve">108.91 </w:t>
                                  </w:r>
                                </w:p>
                              </w:tc>
                              <w:tc>
                                <w:tcPr>
                                  <w:tcW w:w="996" w:type="dxa"/>
                                </w:tcPr>
                                <w:p w14:paraId="6AB42E66" w14:textId="77777777" w:rsidR="00AD5C59" w:rsidRPr="00FE00A2" w:rsidRDefault="00AD5C59" w:rsidP="00EA40EB">
                                  <w:pPr>
                                    <w:keepNext/>
                                    <w:keepLines/>
                                    <w:spacing w:before="40" w:after="40"/>
                                    <w:jc w:val="right"/>
                                  </w:pPr>
                                  <w:r w:rsidRPr="00FE00A2">
                                    <w:t xml:space="preserve">522.92 </w:t>
                                  </w:r>
                                </w:p>
                              </w:tc>
                            </w:tr>
                            <w:tr w:rsidR="00AD5C59" w:rsidRPr="00FE00A2" w14:paraId="17F97CAA" w14:textId="77777777" w:rsidTr="00EA40EB">
                              <w:trPr>
                                <w:cantSplit/>
                              </w:trPr>
                              <w:tc>
                                <w:tcPr>
                                  <w:tcW w:w="1961" w:type="dxa"/>
                                </w:tcPr>
                                <w:p w14:paraId="42E143D8" w14:textId="77777777" w:rsidR="00AD5C59" w:rsidRPr="00FE00A2" w:rsidRDefault="00AD5C59" w:rsidP="00750D10">
                                  <w:pPr>
                                    <w:keepNext/>
                                    <w:keepLines/>
                                    <w:widowControl/>
                                    <w:spacing w:before="60" w:after="60"/>
                                    <w:rPr>
                                      <w:rFonts w:ascii="Corbel" w:hAnsi="Corbel"/>
                                      <w:b/>
                                      <w:bCs/>
                                      <w:sz w:val="21"/>
                                      <w:szCs w:val="21"/>
                                    </w:rPr>
                                  </w:pPr>
                                  <w:r w:rsidRPr="00FE00A2">
                                    <w:rPr>
                                      <w:rFonts w:ascii="Corbel" w:hAnsi="Corbel"/>
                                      <w:b/>
                                      <w:bCs/>
                                      <w:sz w:val="21"/>
                                      <w:szCs w:val="21"/>
                                    </w:rPr>
                                    <w:t>Total NASHH</w:t>
                                  </w:r>
                                </w:p>
                              </w:tc>
                              <w:tc>
                                <w:tcPr>
                                  <w:tcW w:w="912" w:type="dxa"/>
                                </w:tcPr>
                                <w:p w14:paraId="56F48A36" w14:textId="77777777" w:rsidR="00AD5C59" w:rsidRPr="00FE00A2" w:rsidRDefault="00AD5C59">
                                  <w:pPr>
                                    <w:keepNext/>
                                    <w:keepLines/>
                                    <w:spacing w:before="40" w:after="40"/>
                                    <w:jc w:val="right"/>
                                    <w:rPr>
                                      <w:b/>
                                      <w:bCs/>
                                      <w:sz w:val="21"/>
                                      <w:szCs w:val="21"/>
                                    </w:rPr>
                                  </w:pPr>
                                  <w:r w:rsidRPr="00FE00A2">
                                    <w:rPr>
                                      <w:b/>
                                      <w:bCs/>
                                      <w:sz w:val="21"/>
                                      <w:szCs w:val="21"/>
                                    </w:rPr>
                                    <w:t>451.03</w:t>
                                  </w:r>
                                </w:p>
                              </w:tc>
                              <w:tc>
                                <w:tcPr>
                                  <w:tcW w:w="1046" w:type="dxa"/>
                                </w:tcPr>
                                <w:p w14:paraId="7E672429" w14:textId="77777777" w:rsidR="00AD5C59" w:rsidRPr="00FE00A2" w:rsidRDefault="00AD5C59">
                                  <w:pPr>
                                    <w:keepNext/>
                                    <w:keepLines/>
                                    <w:spacing w:before="40" w:after="40"/>
                                    <w:jc w:val="right"/>
                                    <w:rPr>
                                      <w:b/>
                                      <w:bCs/>
                                      <w:sz w:val="21"/>
                                      <w:szCs w:val="21"/>
                                    </w:rPr>
                                  </w:pPr>
                                  <w:r w:rsidRPr="00FE00A2">
                                    <w:rPr>
                                      <w:b/>
                                      <w:bCs/>
                                      <w:sz w:val="21"/>
                                      <w:szCs w:val="21"/>
                                    </w:rPr>
                                    <w:t>461.41</w:t>
                                  </w:r>
                                </w:p>
                              </w:tc>
                              <w:tc>
                                <w:tcPr>
                                  <w:tcW w:w="912" w:type="dxa"/>
                                </w:tcPr>
                                <w:p w14:paraId="55E34456" w14:textId="77777777" w:rsidR="00AD5C59" w:rsidRPr="00FE00A2" w:rsidRDefault="00AD5C59">
                                  <w:pPr>
                                    <w:keepNext/>
                                    <w:keepLines/>
                                    <w:spacing w:before="40" w:after="40"/>
                                    <w:jc w:val="right"/>
                                    <w:rPr>
                                      <w:b/>
                                      <w:bCs/>
                                      <w:sz w:val="21"/>
                                      <w:szCs w:val="21"/>
                                    </w:rPr>
                                  </w:pPr>
                                  <w:r w:rsidRPr="00FE00A2">
                                    <w:rPr>
                                      <w:b/>
                                      <w:bCs/>
                                      <w:sz w:val="21"/>
                                      <w:szCs w:val="21"/>
                                    </w:rPr>
                                    <w:t>471.56</w:t>
                                  </w:r>
                                </w:p>
                              </w:tc>
                              <w:tc>
                                <w:tcPr>
                                  <w:tcW w:w="913" w:type="dxa"/>
                                </w:tcPr>
                                <w:p w14:paraId="0AC1726F" w14:textId="77777777" w:rsidR="00AD5C59" w:rsidRPr="00FE00A2" w:rsidRDefault="00AD5C59">
                                  <w:pPr>
                                    <w:keepNext/>
                                    <w:keepLines/>
                                    <w:spacing w:before="40" w:after="40"/>
                                    <w:jc w:val="right"/>
                                    <w:rPr>
                                      <w:b/>
                                      <w:bCs/>
                                      <w:sz w:val="21"/>
                                      <w:szCs w:val="21"/>
                                    </w:rPr>
                                  </w:pPr>
                                  <w:r w:rsidRPr="00FE00A2">
                                    <w:rPr>
                                      <w:b/>
                                      <w:bCs/>
                                      <w:sz w:val="21"/>
                                      <w:szCs w:val="21"/>
                                    </w:rPr>
                                    <w:t>480.99</w:t>
                                  </w:r>
                                </w:p>
                              </w:tc>
                              <w:tc>
                                <w:tcPr>
                                  <w:tcW w:w="982" w:type="dxa"/>
                                </w:tcPr>
                                <w:p w14:paraId="3A4FC1F9" w14:textId="77777777" w:rsidR="00AD5C59" w:rsidRPr="00FE00A2" w:rsidRDefault="00AD5C59">
                                  <w:pPr>
                                    <w:keepNext/>
                                    <w:keepLines/>
                                    <w:spacing w:before="40" w:after="40"/>
                                    <w:jc w:val="right"/>
                                    <w:rPr>
                                      <w:b/>
                                      <w:bCs/>
                                      <w:sz w:val="21"/>
                                      <w:szCs w:val="21"/>
                                    </w:rPr>
                                  </w:pPr>
                                  <w:r w:rsidRPr="00FE00A2">
                                    <w:rPr>
                                      <w:b/>
                                      <w:bCs/>
                                      <w:sz w:val="21"/>
                                      <w:szCs w:val="21"/>
                                    </w:rPr>
                                    <w:t>490.61</w:t>
                                  </w:r>
                                </w:p>
                              </w:tc>
                              <w:tc>
                                <w:tcPr>
                                  <w:tcW w:w="996" w:type="dxa"/>
                                </w:tcPr>
                                <w:p w14:paraId="20D14965" w14:textId="77777777" w:rsidR="00AD5C59" w:rsidRPr="00FE00A2" w:rsidRDefault="00AD5C59">
                                  <w:pPr>
                                    <w:keepNext/>
                                    <w:keepLines/>
                                    <w:spacing w:before="40" w:after="40"/>
                                    <w:jc w:val="right"/>
                                    <w:rPr>
                                      <w:b/>
                                      <w:bCs/>
                                      <w:sz w:val="21"/>
                                      <w:szCs w:val="21"/>
                                    </w:rPr>
                                  </w:pPr>
                                  <w:r w:rsidRPr="00FE00A2">
                                    <w:rPr>
                                      <w:b/>
                                      <w:bCs/>
                                      <w:sz w:val="21"/>
                                      <w:szCs w:val="21"/>
                                    </w:rPr>
                                    <w:t>2,355.63</w:t>
                                  </w:r>
                                </w:p>
                              </w:tc>
                            </w:tr>
                            <w:tr w:rsidR="00AD5C59" w:rsidRPr="00FE00A2" w14:paraId="57F1A218" w14:textId="77777777" w:rsidTr="00EA40EB">
                              <w:trPr>
                                <w:cantSplit/>
                              </w:trPr>
                              <w:tc>
                                <w:tcPr>
                                  <w:tcW w:w="1961" w:type="dxa"/>
                                  <w:tcBorders>
                                    <w:bottom w:val="single" w:sz="4" w:space="0" w:color="000080"/>
                                  </w:tcBorders>
                                </w:tcPr>
                                <w:p w14:paraId="5930387C" w14:textId="77777777" w:rsidR="00AD5C59" w:rsidRPr="00FE00A2" w:rsidRDefault="00AD5C59" w:rsidP="00EA40EB">
                                  <w:pPr>
                                    <w:keepNext/>
                                    <w:keepLines/>
                                    <w:spacing w:before="40" w:after="40"/>
                                    <w:ind w:left="-111"/>
                                    <w:rPr>
                                      <w:i/>
                                      <w:iCs/>
                                      <w:sz w:val="21"/>
                                      <w:szCs w:val="21"/>
                                    </w:rPr>
                                  </w:pPr>
                                  <w:r w:rsidRPr="00FE00A2">
                                    <w:rPr>
                                      <w:i/>
                                      <w:iCs/>
                                      <w:sz w:val="21"/>
                                      <w:szCs w:val="21"/>
                                    </w:rPr>
                                    <w:t>Victorian matched homelessness funding</w:t>
                                  </w:r>
                                </w:p>
                              </w:tc>
                              <w:tc>
                                <w:tcPr>
                                  <w:tcW w:w="912" w:type="dxa"/>
                                  <w:tcBorders>
                                    <w:bottom w:val="single" w:sz="4" w:space="0" w:color="000080"/>
                                  </w:tcBorders>
                                </w:tcPr>
                                <w:p w14:paraId="29F3C5C3" w14:textId="77777777" w:rsidR="00AD5C59" w:rsidRPr="00FE00A2" w:rsidRDefault="00AD5C59" w:rsidP="00EA40EB">
                                  <w:pPr>
                                    <w:keepNext/>
                                    <w:keepLines/>
                                    <w:spacing w:before="40" w:after="40"/>
                                    <w:jc w:val="right"/>
                                    <w:rPr>
                                      <w:i/>
                                      <w:iCs/>
                                      <w:sz w:val="21"/>
                                      <w:szCs w:val="21"/>
                                    </w:rPr>
                                  </w:pPr>
                                  <w:r w:rsidRPr="00FE00A2">
                                    <w:rPr>
                                      <w:i/>
                                      <w:iCs/>
                                    </w:rPr>
                                    <w:t>100.12</w:t>
                                  </w:r>
                                </w:p>
                              </w:tc>
                              <w:tc>
                                <w:tcPr>
                                  <w:tcW w:w="1046" w:type="dxa"/>
                                  <w:tcBorders>
                                    <w:bottom w:val="single" w:sz="4" w:space="0" w:color="000080"/>
                                  </w:tcBorders>
                                </w:tcPr>
                                <w:p w14:paraId="07F6A615" w14:textId="77777777" w:rsidR="00AD5C59" w:rsidRPr="00FE00A2" w:rsidRDefault="00AD5C59" w:rsidP="00EA40EB">
                                  <w:pPr>
                                    <w:keepNext/>
                                    <w:keepLines/>
                                    <w:spacing w:before="40" w:after="40"/>
                                    <w:jc w:val="right"/>
                                    <w:rPr>
                                      <w:i/>
                                      <w:iCs/>
                                      <w:sz w:val="21"/>
                                      <w:szCs w:val="21"/>
                                    </w:rPr>
                                  </w:pPr>
                                  <w:r w:rsidRPr="00FE00A2">
                                    <w:rPr>
                                      <w:i/>
                                      <w:iCs/>
                                    </w:rPr>
                                    <w:t>102.43</w:t>
                                  </w:r>
                                </w:p>
                              </w:tc>
                              <w:tc>
                                <w:tcPr>
                                  <w:tcW w:w="912" w:type="dxa"/>
                                  <w:tcBorders>
                                    <w:bottom w:val="single" w:sz="4" w:space="0" w:color="000080"/>
                                  </w:tcBorders>
                                </w:tcPr>
                                <w:p w14:paraId="1C4E17BF" w14:textId="77777777" w:rsidR="00AD5C59" w:rsidRPr="00FE00A2" w:rsidRDefault="00AD5C59" w:rsidP="00EA40EB">
                                  <w:pPr>
                                    <w:keepNext/>
                                    <w:keepLines/>
                                    <w:spacing w:before="40" w:after="40"/>
                                    <w:jc w:val="right"/>
                                    <w:rPr>
                                      <w:i/>
                                      <w:iCs/>
                                      <w:sz w:val="21"/>
                                      <w:szCs w:val="21"/>
                                    </w:rPr>
                                  </w:pPr>
                                  <w:r w:rsidRPr="00FE00A2">
                                    <w:rPr>
                                      <w:i/>
                                      <w:iCs/>
                                    </w:rPr>
                                    <w:t>104.68</w:t>
                                  </w:r>
                                </w:p>
                              </w:tc>
                              <w:tc>
                                <w:tcPr>
                                  <w:tcW w:w="913" w:type="dxa"/>
                                  <w:tcBorders>
                                    <w:bottom w:val="single" w:sz="4" w:space="0" w:color="000080"/>
                                  </w:tcBorders>
                                </w:tcPr>
                                <w:p w14:paraId="7AF1C2FD" w14:textId="77777777" w:rsidR="00AD5C59" w:rsidRPr="00FE00A2" w:rsidRDefault="00AD5C59" w:rsidP="00EA40EB">
                                  <w:pPr>
                                    <w:keepNext/>
                                    <w:keepLines/>
                                    <w:spacing w:before="40" w:after="40"/>
                                    <w:jc w:val="right"/>
                                    <w:rPr>
                                      <w:i/>
                                      <w:iCs/>
                                      <w:sz w:val="21"/>
                                      <w:szCs w:val="21"/>
                                    </w:rPr>
                                  </w:pPr>
                                  <w:r w:rsidRPr="00FE00A2">
                                    <w:rPr>
                                      <w:i/>
                                      <w:iCs/>
                                    </w:rPr>
                                    <w:t>106.77</w:t>
                                  </w:r>
                                </w:p>
                              </w:tc>
                              <w:tc>
                                <w:tcPr>
                                  <w:tcW w:w="982" w:type="dxa"/>
                                  <w:tcBorders>
                                    <w:bottom w:val="single" w:sz="4" w:space="0" w:color="000080"/>
                                  </w:tcBorders>
                                </w:tcPr>
                                <w:p w14:paraId="27D2647D" w14:textId="77777777" w:rsidR="00AD5C59" w:rsidRPr="00FE00A2" w:rsidRDefault="00AD5C59" w:rsidP="00EA40EB">
                                  <w:pPr>
                                    <w:keepNext/>
                                    <w:keepLines/>
                                    <w:spacing w:before="40" w:after="40"/>
                                    <w:jc w:val="right"/>
                                    <w:rPr>
                                      <w:i/>
                                      <w:iCs/>
                                      <w:sz w:val="21"/>
                                      <w:szCs w:val="21"/>
                                    </w:rPr>
                                  </w:pPr>
                                  <w:r w:rsidRPr="00FE00A2">
                                    <w:rPr>
                                      <w:i/>
                                      <w:iCs/>
                                    </w:rPr>
                                    <w:t>108.91</w:t>
                                  </w:r>
                                </w:p>
                              </w:tc>
                              <w:tc>
                                <w:tcPr>
                                  <w:tcW w:w="996" w:type="dxa"/>
                                  <w:tcBorders>
                                    <w:bottom w:val="single" w:sz="4" w:space="0" w:color="000080"/>
                                  </w:tcBorders>
                                </w:tcPr>
                                <w:p w14:paraId="4D65DD8F" w14:textId="77777777" w:rsidR="00AD5C59" w:rsidRPr="00FE00A2" w:rsidRDefault="00AD5C59" w:rsidP="00EA40EB">
                                  <w:pPr>
                                    <w:keepNext/>
                                    <w:keepLines/>
                                    <w:spacing w:before="40" w:after="40"/>
                                    <w:jc w:val="right"/>
                                    <w:rPr>
                                      <w:i/>
                                      <w:iCs/>
                                      <w:sz w:val="21"/>
                                      <w:szCs w:val="21"/>
                                    </w:rPr>
                                  </w:pPr>
                                  <w:r w:rsidRPr="00FE00A2">
                                    <w:rPr>
                                      <w:i/>
                                      <w:iCs/>
                                    </w:rPr>
                                    <w:t>522.92</w:t>
                                  </w:r>
                                </w:p>
                              </w:tc>
                            </w:tr>
                          </w:tbl>
                          <w:p w14:paraId="6BE4692E" w14:textId="77777777" w:rsidR="00AD5C59" w:rsidRPr="00101AB3" w:rsidRDefault="00AD5C59" w:rsidP="00AD5C59">
                            <w:pPr>
                              <w:rPr>
                                <w:sz w:val="18"/>
                                <w:szCs w:val="18"/>
                              </w:rPr>
                            </w:pPr>
                            <w:r w:rsidRPr="00FE00A2">
                              <w:rPr>
                                <w:sz w:val="18"/>
                                <w:szCs w:val="18"/>
                              </w:rPr>
                              <w:t>Note: Estimated financial contributions are based on 2024-25 Commonwealth Budget and are subject to adjustment in accordance with Part 5 of this National Agreement of Social Housing and Homelessness.</w:t>
                            </w:r>
                          </w:p>
                        </w:txbxContent>
                      </v:textbox>
                      <w10:wrap type="square"/>
                    </v:shape>
                  </w:pict>
                </mc:Fallback>
              </mc:AlternateContent>
            </w:r>
            <w:r w:rsidRPr="52877A36">
              <w:rPr>
                <w:color w:val="auto"/>
              </w:rPr>
              <w:t>The Commonwealth will provide an estimated total financial contribution to Victoria of $2,355.63 million in respect of this Schedule.</w:t>
            </w:r>
          </w:p>
        </w:tc>
      </w:tr>
      <w:tr w:rsidR="00AD5C59" w:rsidRPr="00F00A18" w14:paraId="688AD097" w14:textId="77777777" w:rsidTr="52877A36">
        <w:tc>
          <w:tcPr>
            <w:tcW w:w="1499" w:type="dxa"/>
            <w:shd w:val="clear" w:color="auto" w:fill="auto"/>
          </w:tcPr>
          <w:p w14:paraId="771BF10E" w14:textId="77777777" w:rsidR="00AD5C59" w:rsidRPr="00F00A18" w:rsidRDefault="00AD5C59" w:rsidP="00014894">
            <w:pPr>
              <w:pStyle w:val="Tableformat"/>
              <w:rPr>
                <w:color w:val="auto"/>
              </w:rPr>
            </w:pPr>
            <w:r>
              <w:rPr>
                <w:color w:val="auto"/>
              </w:rPr>
              <w:t>Outputs</w:t>
            </w:r>
          </w:p>
        </w:tc>
        <w:tc>
          <w:tcPr>
            <w:tcW w:w="8130" w:type="dxa"/>
            <w:shd w:val="clear" w:color="auto" w:fill="auto"/>
          </w:tcPr>
          <w:p w14:paraId="05FBA013" w14:textId="77777777" w:rsidR="00AD5C59" w:rsidRDefault="00AD5C59" w:rsidP="00014894">
            <w:pPr>
              <w:pStyle w:val="Tableformat"/>
              <w:rPr>
                <w:b/>
                <w:color w:val="auto"/>
              </w:rPr>
            </w:pPr>
            <w:r w:rsidRPr="00235FC3">
              <w:rPr>
                <w:b/>
                <w:color w:val="auto"/>
              </w:rPr>
              <w:t xml:space="preserve">Housing and </w:t>
            </w:r>
            <w:r>
              <w:rPr>
                <w:b/>
                <w:color w:val="auto"/>
              </w:rPr>
              <w:t>H</w:t>
            </w:r>
            <w:r w:rsidRPr="00235FC3">
              <w:rPr>
                <w:b/>
                <w:color w:val="auto"/>
              </w:rPr>
              <w:t>omelessness Strategy</w:t>
            </w:r>
          </w:p>
          <w:p w14:paraId="2138A14A" w14:textId="77777777" w:rsidR="00AD5C59" w:rsidRPr="00731A06" w:rsidRDefault="00AD5C59" w:rsidP="00014894">
            <w:pPr>
              <w:pStyle w:val="Tableformat"/>
              <w:rPr>
                <w:color w:val="auto"/>
              </w:rPr>
            </w:pPr>
            <w:r>
              <w:rPr>
                <w:b/>
                <w:color w:val="auto"/>
              </w:rPr>
              <w:t>Social and affordable housing</w:t>
            </w:r>
          </w:p>
          <w:p w14:paraId="14906A0E" w14:textId="77777777" w:rsidR="00AD5C59" w:rsidRPr="00235FC3" w:rsidRDefault="00AD5C59" w:rsidP="00014894">
            <w:pPr>
              <w:pStyle w:val="Tableformat"/>
              <w:rPr>
                <w:color w:val="auto"/>
              </w:rPr>
            </w:pPr>
            <w:r>
              <w:rPr>
                <w:color w:val="auto"/>
              </w:rPr>
              <w:t>Victoria</w:t>
            </w:r>
            <w:r w:rsidRPr="00235FC3">
              <w:rPr>
                <w:color w:val="auto"/>
              </w:rPr>
              <w:t xml:space="preserve"> meets the requirements of clause 1</w:t>
            </w:r>
            <w:r>
              <w:rPr>
                <w:color w:val="auto"/>
              </w:rPr>
              <w:t>8</w:t>
            </w:r>
            <w:r w:rsidRPr="00235FC3">
              <w:rPr>
                <w:color w:val="auto"/>
              </w:rPr>
              <w:t>(a) of the Agreement through the following publicly available documents:</w:t>
            </w:r>
          </w:p>
          <w:p w14:paraId="03414A38" w14:textId="77777777" w:rsidR="00AD5C59" w:rsidRDefault="00AD5C59" w:rsidP="00014894">
            <w:pPr>
              <w:pStyle w:val="Tableformat"/>
              <w:tabs>
                <w:tab w:val="num" w:pos="360"/>
              </w:tabs>
              <w:rPr>
                <w:color w:val="auto"/>
              </w:rPr>
            </w:pPr>
            <w:r>
              <w:rPr>
                <w:color w:val="auto"/>
              </w:rPr>
              <w:lastRenderedPageBreak/>
              <w:t>Victoria’s Housing Statement</w:t>
            </w:r>
            <w:r>
              <w:rPr>
                <w:rStyle w:val="FootnoteReference"/>
                <w:color w:val="auto"/>
              </w:rPr>
              <w:footnoteReference w:id="2"/>
            </w:r>
            <w:r>
              <w:rPr>
                <w:color w:val="auto"/>
              </w:rPr>
              <w:t xml:space="preserve"> </w:t>
            </w:r>
            <w:r w:rsidRPr="0037618B">
              <w:rPr>
                <w:color w:val="auto"/>
              </w:rPr>
              <w:t>– The Decade Ahead 2024-2034.</w:t>
            </w:r>
          </w:p>
          <w:p w14:paraId="7AC9037B" w14:textId="138D4F1E" w:rsidR="00AD5C59" w:rsidRPr="00652ED1" w:rsidRDefault="00AD5C59" w:rsidP="00014894">
            <w:pPr>
              <w:pStyle w:val="Tableformat"/>
              <w:rPr>
                <w:color w:val="auto"/>
                <w:lang w:val="en-AU"/>
              </w:rPr>
            </w:pPr>
            <w:r w:rsidRPr="04ACD1E9">
              <w:rPr>
                <w:color w:val="auto"/>
                <w:lang w:val="en-AU"/>
              </w:rPr>
              <w:t xml:space="preserve">The Housing Statement sets a bold target to build 800,000 new homes – 80,000 a year – across the state over the next 10 years, delivered through an Affordability Partnership with the housing industry. </w:t>
            </w:r>
            <w:r w:rsidR="005C5549">
              <w:rPr>
                <w:color w:val="auto"/>
                <w:lang w:val="en-AU"/>
              </w:rPr>
              <w:br/>
            </w:r>
            <w:r w:rsidRPr="04ACD1E9">
              <w:rPr>
                <w:color w:val="auto"/>
                <w:lang w:val="en-AU"/>
              </w:rPr>
              <w:t>The Housing Statement focusses on five key areas to tackle the root of the problem – housing supply. These are: good decisions made faster, cheaper housing closer to where you work, protecting renters’ rights, more social housing and a long-term housing plan.</w:t>
            </w:r>
          </w:p>
          <w:p w14:paraId="0C978E49" w14:textId="77777777" w:rsidR="00AD5C59" w:rsidRDefault="00AD5C59" w:rsidP="00014894">
            <w:pPr>
              <w:pStyle w:val="Tableformat"/>
              <w:rPr>
                <w:color w:val="auto"/>
              </w:rPr>
            </w:pPr>
          </w:p>
          <w:p w14:paraId="2D3A2FA8" w14:textId="77777777" w:rsidR="00AD5C59" w:rsidRDefault="00AD5C59" w:rsidP="00014894">
            <w:pPr>
              <w:pStyle w:val="Tableformat"/>
              <w:tabs>
                <w:tab w:val="num" w:pos="360"/>
              </w:tabs>
              <w:rPr>
                <w:color w:val="auto"/>
              </w:rPr>
            </w:pPr>
            <w:r>
              <w:rPr>
                <w:color w:val="auto"/>
              </w:rPr>
              <w:t>Big Housing Build</w:t>
            </w:r>
            <w:r>
              <w:rPr>
                <w:rStyle w:val="FootnoteReference"/>
                <w:color w:val="auto"/>
              </w:rPr>
              <w:footnoteReference w:id="3"/>
            </w:r>
          </w:p>
          <w:p w14:paraId="2C430F28" w14:textId="77777777" w:rsidR="00AD5C59" w:rsidRDefault="00AD5C59" w:rsidP="00014894">
            <w:pPr>
              <w:pStyle w:val="ListParagraph"/>
              <w:rPr>
                <w:rFonts w:ascii="Corbel" w:eastAsia="Times New Roman" w:hAnsi="Corbel" w:cs="Arial"/>
                <w:sz w:val="26"/>
                <w:szCs w:val="26"/>
                <w:lang w:eastAsia="en-AU"/>
              </w:rPr>
            </w:pPr>
            <w:r w:rsidRPr="00757015">
              <w:rPr>
                <w:rFonts w:ascii="Corbel" w:eastAsia="Times New Roman" w:hAnsi="Corbel" w:cs="Arial"/>
                <w:sz w:val="26"/>
                <w:szCs w:val="26"/>
                <w:lang w:eastAsia="en-AU"/>
              </w:rPr>
              <w:t xml:space="preserve">Victoria’s record </w:t>
            </w:r>
            <w:r>
              <w:rPr>
                <w:rFonts w:ascii="Corbel" w:eastAsia="Times New Roman" w:hAnsi="Corbel" w:cs="Arial"/>
                <w:iCs/>
                <w:sz w:val="26"/>
                <w:szCs w:val="26"/>
                <w:lang w:eastAsia="en-AU"/>
              </w:rPr>
              <w:t>$5.3 billion investment in social and affordable housing will deliver 12,000 new homes across metropolitan and regional Victoria. Overall, the Big Housing Build will increase Victoria’s social housing portfolio by ten per cent.</w:t>
            </w:r>
            <w:r w:rsidRPr="39BF831F">
              <w:rPr>
                <w:rFonts w:ascii="Corbel" w:eastAsia="Times New Roman" w:hAnsi="Corbel" w:cs="Arial"/>
                <w:sz w:val="26"/>
                <w:szCs w:val="26"/>
                <w:lang w:eastAsia="en-AU"/>
              </w:rPr>
              <w:t xml:space="preserve"> </w:t>
            </w:r>
          </w:p>
          <w:p w14:paraId="23A9442E" w14:textId="77777777" w:rsidR="00AD5C59" w:rsidRDefault="00AD5C59" w:rsidP="00014894">
            <w:pPr>
              <w:pStyle w:val="ListParagraph"/>
              <w:rPr>
                <w:rFonts w:ascii="Corbel" w:eastAsia="Times New Roman" w:hAnsi="Corbel" w:cs="Arial"/>
                <w:sz w:val="26"/>
                <w:szCs w:val="26"/>
                <w:lang w:eastAsia="en-AU"/>
              </w:rPr>
            </w:pPr>
          </w:p>
          <w:p w14:paraId="2FA9599A" w14:textId="77777777" w:rsidR="00AD5C59" w:rsidRPr="00757015" w:rsidRDefault="00AD5C59" w:rsidP="00014894">
            <w:pPr>
              <w:pStyle w:val="ListParagraph"/>
              <w:rPr>
                <w:rFonts w:ascii="Corbel" w:eastAsia="Times New Roman" w:hAnsi="Corbel" w:cs="Arial"/>
                <w:iCs/>
                <w:sz w:val="26"/>
                <w:szCs w:val="26"/>
                <w:lang w:eastAsia="en-AU"/>
              </w:rPr>
            </w:pPr>
            <w:r>
              <w:rPr>
                <w:rFonts w:ascii="Corbel" w:eastAsia="Times New Roman" w:hAnsi="Corbel" w:cs="Arial"/>
                <w:sz w:val="26"/>
                <w:szCs w:val="26"/>
                <w:lang w:eastAsia="en-AU"/>
              </w:rPr>
              <w:t>I</w:t>
            </w:r>
            <w:r>
              <w:rPr>
                <w:rFonts w:ascii="Corbel" w:eastAsia="Times New Roman" w:hAnsi="Corbel" w:cs="Arial"/>
                <w:iCs/>
                <w:sz w:val="26"/>
                <w:szCs w:val="26"/>
                <w:lang w:eastAsia="en-AU"/>
              </w:rPr>
              <w:t>n addition to the Building Housing Build, Victoria is delivering the:</w:t>
            </w:r>
          </w:p>
          <w:p w14:paraId="0EDF27F7" w14:textId="77777777" w:rsidR="00AD5C59" w:rsidRDefault="00AD5C59" w:rsidP="00014894">
            <w:pPr>
              <w:pStyle w:val="ListParagraph"/>
            </w:pPr>
          </w:p>
          <w:p w14:paraId="220CD8FE" w14:textId="77777777" w:rsidR="00AD5C59" w:rsidRDefault="00AD5C59" w:rsidP="00014894">
            <w:pPr>
              <w:pStyle w:val="Tableformat"/>
              <w:numPr>
                <w:ilvl w:val="0"/>
                <w:numId w:val="4"/>
              </w:numPr>
              <w:rPr>
                <w:color w:val="auto"/>
              </w:rPr>
            </w:pPr>
            <w:r>
              <w:rPr>
                <w:color w:val="auto"/>
              </w:rPr>
              <w:t>Regional Housing Fund</w:t>
            </w:r>
            <w:r>
              <w:rPr>
                <w:rStyle w:val="FootnoteReference"/>
                <w:color w:val="auto"/>
              </w:rPr>
              <w:footnoteReference w:id="4"/>
            </w:r>
          </w:p>
          <w:p w14:paraId="61ED4CD5" w14:textId="77777777" w:rsidR="00AD5C59" w:rsidRDefault="00AD5C59" w:rsidP="00014894">
            <w:pPr>
              <w:pStyle w:val="Tableformat"/>
              <w:rPr>
                <w:color w:val="auto"/>
                <w:lang w:val="en-AU"/>
              </w:rPr>
            </w:pPr>
            <w:r w:rsidRPr="64D68776">
              <w:rPr>
                <w:color w:val="auto"/>
                <w:lang w:val="en-AU"/>
              </w:rPr>
              <w:t xml:space="preserve">Victoria’s $1 billion Regional Housing Fund aims to deliver more than 1,300 new homes across regional Victoria. The new homes will include a mix of social and affordable housing – and we’ll work with councils, regional partnerships and local communities to determine the right mix of stock. </w:t>
            </w:r>
          </w:p>
          <w:p w14:paraId="67A968EF" w14:textId="77777777" w:rsidR="00AD5C59" w:rsidRDefault="00AD5C59" w:rsidP="00014894">
            <w:pPr>
              <w:pStyle w:val="Tableformat"/>
              <w:rPr>
                <w:color w:val="auto"/>
              </w:rPr>
            </w:pPr>
          </w:p>
          <w:p w14:paraId="692B85B1" w14:textId="77777777" w:rsidR="00AD5C59" w:rsidRDefault="00AD5C59" w:rsidP="00014894">
            <w:pPr>
              <w:pStyle w:val="Tableformat"/>
              <w:numPr>
                <w:ilvl w:val="0"/>
                <w:numId w:val="4"/>
              </w:numPr>
              <w:rPr>
                <w:color w:val="auto"/>
              </w:rPr>
            </w:pPr>
            <w:r w:rsidRPr="009C609A">
              <w:rPr>
                <w:color w:val="auto"/>
              </w:rPr>
              <w:t xml:space="preserve">Affordable Housing Investment Partnership </w:t>
            </w:r>
          </w:p>
          <w:p w14:paraId="45B4D495" w14:textId="77777777" w:rsidR="00AD5C59" w:rsidRDefault="00AD5C59" w:rsidP="00014894">
            <w:pPr>
              <w:pStyle w:val="Tableformat"/>
              <w:rPr>
                <w:color w:val="auto"/>
                <w:lang w:val="en-AU"/>
              </w:rPr>
            </w:pPr>
            <w:r w:rsidRPr="64D68776">
              <w:rPr>
                <w:color w:val="auto"/>
                <w:lang w:val="en-AU"/>
              </w:rPr>
              <w:t xml:space="preserve">The Affordable Housing Investment Partnership is set to deliver an additional $1 billion in low-interest loans and guarantees to help finance up to 6,000 new social and affordable homes. AHIP is building on the Building Financial Capacity of Housing Agencies initiative by including affordable housing for the first time. This increases total investment for social and affordable housing projects to more than $2 billion. The initiative also offers institutional investors, such as superannuation funds, not-for-profits, developers and local governments, the opportunity to partner with the community housing sector to help in delivering a mix of private, affordable and social housing projects. </w:t>
            </w:r>
          </w:p>
          <w:p w14:paraId="454C2694" w14:textId="77777777" w:rsidR="00AD5C59" w:rsidRDefault="00AD5C59" w:rsidP="00014894">
            <w:pPr>
              <w:pStyle w:val="Tableformat"/>
              <w:rPr>
                <w:color w:val="auto"/>
              </w:rPr>
            </w:pPr>
            <w:r>
              <w:rPr>
                <w:color w:val="auto"/>
              </w:rPr>
              <w:br/>
            </w:r>
          </w:p>
          <w:p w14:paraId="1570DC6D" w14:textId="77777777" w:rsidR="00AD5C59" w:rsidRDefault="00AD5C59" w:rsidP="00014894">
            <w:pPr>
              <w:pStyle w:val="Tableformat"/>
              <w:rPr>
                <w:color w:val="auto"/>
              </w:rPr>
            </w:pPr>
            <w:r>
              <w:rPr>
                <w:b/>
                <w:color w:val="auto"/>
              </w:rPr>
              <w:lastRenderedPageBreak/>
              <w:t>Homelessness</w:t>
            </w:r>
          </w:p>
          <w:p w14:paraId="25C50137" w14:textId="77777777" w:rsidR="00AD5C59" w:rsidRPr="005D27A0" w:rsidRDefault="00AD5C59" w:rsidP="00014894">
            <w:pPr>
              <w:pStyle w:val="ListParagraph"/>
              <w:spacing w:before="80" w:after="80"/>
              <w:rPr>
                <w:rFonts w:ascii="Corbel" w:eastAsia="Times New Roman" w:hAnsi="Corbel" w:cs="Arial"/>
                <w:sz w:val="26"/>
                <w:szCs w:val="26"/>
                <w:lang w:eastAsia="en-AU"/>
              </w:rPr>
            </w:pPr>
            <w:r w:rsidRPr="005D27A0">
              <w:rPr>
                <w:rFonts w:ascii="Corbel" w:eastAsia="Times New Roman" w:hAnsi="Corbel" w:cs="Arial"/>
                <w:sz w:val="26"/>
                <w:szCs w:val="26"/>
                <w:lang w:eastAsia="en-AU"/>
              </w:rPr>
              <w:t>Victorian Government response to the Parliamentary Inquiry into Homelessness</w:t>
            </w:r>
            <w:r w:rsidRPr="005D27A0">
              <w:rPr>
                <w:rStyle w:val="FootnoteReference"/>
                <w:rFonts w:ascii="Corbel" w:eastAsia="Times New Roman" w:hAnsi="Corbel" w:cs="Arial"/>
                <w:sz w:val="26"/>
                <w:szCs w:val="26"/>
                <w:lang w:eastAsia="en-AU"/>
              </w:rPr>
              <w:footnoteReference w:id="5"/>
            </w:r>
          </w:p>
          <w:p w14:paraId="11CC56A0" w14:textId="77777777" w:rsidR="00AD5C59" w:rsidRPr="005D27A0" w:rsidRDefault="00AD5C59" w:rsidP="00014894">
            <w:pPr>
              <w:pStyle w:val="NormalWeb"/>
              <w:shd w:val="clear" w:color="auto" w:fill="FFFFFF"/>
              <w:spacing w:after="360"/>
              <w:rPr>
                <w:rFonts w:ascii="Corbel" w:eastAsia="Times New Roman" w:hAnsi="Corbel" w:cs="Arial"/>
                <w:sz w:val="26"/>
                <w:szCs w:val="26"/>
                <w:lang w:eastAsia="en-AU"/>
              </w:rPr>
            </w:pPr>
            <w:r w:rsidRPr="005D27A0">
              <w:rPr>
                <w:rFonts w:ascii="Corbel" w:eastAsia="Times New Roman" w:hAnsi="Corbel" w:cs="Arial"/>
                <w:sz w:val="26"/>
                <w:szCs w:val="26"/>
                <w:lang w:eastAsia="en-AU"/>
              </w:rPr>
              <w:t>Since the inquiry, the Victorian Government has funded a range of initiatives that reform Victoria’s approach to homelessness. The investments progress a long-term strategic approach across five pillars to make homelessness in Victoria rare, brief and non-recurring: </w:t>
            </w:r>
          </w:p>
          <w:p w14:paraId="67240214" w14:textId="77777777" w:rsidR="00AD5C59" w:rsidRPr="005D27A0" w:rsidRDefault="00AD5C59" w:rsidP="00014894">
            <w:pPr>
              <w:widowControl/>
              <w:numPr>
                <w:ilvl w:val="0"/>
                <w:numId w:val="4"/>
              </w:numPr>
              <w:shd w:val="clear" w:color="auto" w:fill="FFFFFF"/>
              <w:spacing w:before="100" w:beforeAutospacing="1" w:after="100" w:afterAutospacing="1"/>
              <w:rPr>
                <w:rFonts w:ascii="Corbel" w:eastAsia="Times New Roman" w:hAnsi="Corbel" w:cs="Arial"/>
                <w:sz w:val="26"/>
                <w:szCs w:val="26"/>
                <w:lang w:eastAsia="en-AU"/>
              </w:rPr>
            </w:pPr>
            <w:r w:rsidRPr="005D27A0">
              <w:rPr>
                <w:rFonts w:ascii="Corbel" w:eastAsia="Times New Roman" w:hAnsi="Corbel" w:cs="Arial"/>
                <w:sz w:val="26"/>
                <w:szCs w:val="26"/>
                <w:lang w:eastAsia="en-AU"/>
              </w:rPr>
              <w:t>People are supported quickly to access and sustain housing </w:t>
            </w:r>
          </w:p>
          <w:p w14:paraId="6B709DD1" w14:textId="77777777" w:rsidR="00AD5C59" w:rsidRPr="005D27A0" w:rsidRDefault="00AD5C59" w:rsidP="00014894">
            <w:pPr>
              <w:widowControl/>
              <w:numPr>
                <w:ilvl w:val="0"/>
                <w:numId w:val="4"/>
              </w:numPr>
              <w:shd w:val="clear" w:color="auto" w:fill="FFFFFF"/>
              <w:spacing w:before="100" w:beforeAutospacing="1" w:after="100" w:afterAutospacing="1"/>
              <w:rPr>
                <w:rFonts w:ascii="Corbel" w:eastAsia="Times New Roman" w:hAnsi="Corbel" w:cs="Arial"/>
                <w:sz w:val="26"/>
                <w:szCs w:val="26"/>
                <w:lang w:eastAsia="en-AU"/>
              </w:rPr>
            </w:pPr>
            <w:r w:rsidRPr="005D27A0">
              <w:rPr>
                <w:rFonts w:ascii="Corbel" w:eastAsia="Times New Roman" w:hAnsi="Corbel" w:cs="Arial"/>
                <w:sz w:val="26"/>
                <w:szCs w:val="26"/>
                <w:lang w:eastAsia="en-AU"/>
              </w:rPr>
              <w:t>People are connected to the right mix, sequence and housing support that is proportionate and tailored to their needs</w:t>
            </w:r>
          </w:p>
          <w:p w14:paraId="5A6351FC" w14:textId="77777777" w:rsidR="00AD5C59" w:rsidRPr="005D27A0" w:rsidRDefault="00AD5C59" w:rsidP="00014894">
            <w:pPr>
              <w:widowControl/>
              <w:numPr>
                <w:ilvl w:val="0"/>
                <w:numId w:val="4"/>
              </w:numPr>
              <w:shd w:val="clear" w:color="auto" w:fill="FFFFFF"/>
              <w:spacing w:before="100" w:beforeAutospacing="1" w:after="100" w:afterAutospacing="1"/>
              <w:rPr>
                <w:rFonts w:ascii="Corbel" w:eastAsia="Times New Roman" w:hAnsi="Corbel" w:cs="Arial"/>
                <w:sz w:val="26"/>
                <w:szCs w:val="26"/>
                <w:lang w:eastAsia="en-AU"/>
              </w:rPr>
            </w:pPr>
            <w:r w:rsidRPr="005D27A0">
              <w:rPr>
                <w:rFonts w:ascii="Corbel" w:eastAsia="Times New Roman" w:hAnsi="Corbel" w:cs="Arial"/>
                <w:sz w:val="26"/>
                <w:szCs w:val="26"/>
                <w:lang w:eastAsia="en-AU"/>
              </w:rPr>
              <w:t>All parts of the social service system share responsibility for achieving outcomes</w:t>
            </w:r>
          </w:p>
          <w:p w14:paraId="2F4D2284" w14:textId="77777777" w:rsidR="00AD5C59" w:rsidRPr="005D27A0" w:rsidRDefault="00AD5C59" w:rsidP="00014894">
            <w:pPr>
              <w:widowControl/>
              <w:numPr>
                <w:ilvl w:val="0"/>
                <w:numId w:val="4"/>
              </w:numPr>
              <w:shd w:val="clear" w:color="auto" w:fill="FFFFFF"/>
              <w:spacing w:before="100" w:beforeAutospacing="1" w:after="100" w:afterAutospacing="1"/>
              <w:rPr>
                <w:rFonts w:ascii="Corbel" w:eastAsia="Times New Roman" w:hAnsi="Corbel" w:cs="Arial"/>
                <w:sz w:val="26"/>
                <w:szCs w:val="26"/>
                <w:lang w:eastAsia="en-AU"/>
              </w:rPr>
            </w:pPr>
            <w:r w:rsidRPr="005D27A0">
              <w:rPr>
                <w:rFonts w:ascii="Corbel" w:eastAsia="Times New Roman" w:hAnsi="Corbel" w:cs="Arial"/>
                <w:sz w:val="26"/>
                <w:szCs w:val="26"/>
                <w:lang w:eastAsia="en-AU"/>
              </w:rPr>
              <w:t>First Peoples’ homelessness services are self-determined </w:t>
            </w:r>
          </w:p>
          <w:p w14:paraId="3D31DFFF" w14:textId="77777777" w:rsidR="00AD5C59" w:rsidRPr="005D27A0" w:rsidRDefault="00AD5C59" w:rsidP="00014894">
            <w:pPr>
              <w:widowControl/>
              <w:numPr>
                <w:ilvl w:val="0"/>
                <w:numId w:val="4"/>
              </w:numPr>
              <w:shd w:val="clear" w:color="auto" w:fill="FFFFFF"/>
              <w:spacing w:before="100" w:beforeAutospacing="1" w:after="100" w:afterAutospacing="1"/>
              <w:rPr>
                <w:rFonts w:ascii="Corbel" w:eastAsia="Times New Roman" w:hAnsi="Corbel" w:cs="Arial"/>
                <w:sz w:val="26"/>
                <w:szCs w:val="26"/>
                <w:lang w:eastAsia="en-AU"/>
              </w:rPr>
            </w:pPr>
            <w:r w:rsidRPr="005D27A0">
              <w:rPr>
                <w:rFonts w:ascii="Corbel" w:eastAsia="Times New Roman" w:hAnsi="Corbel" w:cs="Arial"/>
                <w:sz w:val="26"/>
                <w:szCs w:val="26"/>
                <w:lang w:eastAsia="en-AU"/>
              </w:rPr>
              <w:t>The homelessness system has the capability to support the delivery of contemporary programs.</w:t>
            </w:r>
          </w:p>
          <w:p w14:paraId="3D6AFC66" w14:textId="77777777" w:rsidR="00AD5C59" w:rsidRPr="005D27A0" w:rsidRDefault="00AD5C59" w:rsidP="52877A36">
            <w:pPr>
              <w:pStyle w:val="Tableformat"/>
              <w:rPr>
                <w:color w:val="auto"/>
              </w:rPr>
            </w:pPr>
            <w:r w:rsidRPr="52877A36">
              <w:rPr>
                <w:color w:val="auto"/>
              </w:rPr>
              <w:t xml:space="preserve">The following strategies and initiatives are progressing Victoria’s long term strategic approach to making homelessness in Victoria rare, brief and non-recurring:   </w:t>
            </w:r>
          </w:p>
          <w:p w14:paraId="4C61A8D3" w14:textId="77777777" w:rsidR="00AD5C59" w:rsidRPr="005D27A0" w:rsidRDefault="00AD5C59" w:rsidP="00014894">
            <w:pPr>
              <w:pStyle w:val="Tableformat"/>
              <w:numPr>
                <w:ilvl w:val="0"/>
                <w:numId w:val="4"/>
              </w:numPr>
              <w:rPr>
                <w:color w:val="auto"/>
              </w:rPr>
            </w:pPr>
            <w:r w:rsidRPr="005D27A0">
              <w:rPr>
                <w:color w:val="auto"/>
              </w:rPr>
              <w:t>Investment in programs based on Housing First Principles</w:t>
            </w:r>
          </w:p>
          <w:p w14:paraId="59968356" w14:textId="77777777" w:rsidR="00AD5C59" w:rsidRPr="005D27A0" w:rsidRDefault="00AD5C59" w:rsidP="00014894">
            <w:pPr>
              <w:widowControl/>
              <w:shd w:val="clear" w:color="auto" w:fill="FFFFFF"/>
              <w:spacing w:before="100" w:beforeAutospacing="1" w:after="100" w:afterAutospacing="1"/>
              <w:ind w:left="360"/>
              <w:rPr>
                <w:rFonts w:ascii="Corbel" w:eastAsia="Times New Roman" w:hAnsi="Corbel" w:cs="Arial"/>
                <w:iCs/>
                <w:sz w:val="26"/>
                <w:szCs w:val="26"/>
                <w:lang w:eastAsia="en-AU"/>
              </w:rPr>
            </w:pPr>
            <w:r w:rsidRPr="005D27A0">
              <w:rPr>
                <w:rFonts w:ascii="Corbel" w:eastAsia="Times New Roman" w:hAnsi="Corbel" w:cs="Arial"/>
                <w:iCs/>
                <w:sz w:val="26"/>
                <w:szCs w:val="26"/>
                <w:lang w:eastAsia="en-AU"/>
              </w:rPr>
              <w:t>This includes aiming to grow the number of permanent supportive housing places from 180 to over 360 in 2025-26 (includes new regional supportive housing beds and others to come online). </w:t>
            </w:r>
          </w:p>
          <w:p w14:paraId="7E396E87" w14:textId="77777777" w:rsidR="00AD5C59" w:rsidRPr="005D27A0" w:rsidRDefault="00AD5C59" w:rsidP="00014894">
            <w:pPr>
              <w:widowControl/>
              <w:shd w:val="clear" w:color="auto" w:fill="FFFFFF"/>
              <w:spacing w:before="100" w:beforeAutospacing="1" w:after="100" w:afterAutospacing="1"/>
              <w:ind w:left="360"/>
              <w:rPr>
                <w:rFonts w:ascii="Corbel" w:eastAsia="Times New Roman" w:hAnsi="Corbel" w:cs="Arial"/>
                <w:iCs/>
                <w:sz w:val="26"/>
                <w:szCs w:val="26"/>
                <w:lang w:eastAsia="en-AU"/>
              </w:rPr>
            </w:pPr>
            <w:r w:rsidRPr="005D27A0">
              <w:rPr>
                <w:rFonts w:ascii="Corbel" w:eastAsia="Times New Roman" w:hAnsi="Corbel" w:cs="Arial"/>
                <w:iCs/>
                <w:sz w:val="26"/>
                <w:szCs w:val="26"/>
                <w:lang w:eastAsia="en-AU"/>
              </w:rPr>
              <w:t>This includes investment in programs such as From Homelessness to a Home (Homes First from 1 July), the Journey to Social Inclusion and Homes for Families and investment in supportive housing facilities.</w:t>
            </w:r>
          </w:p>
          <w:p w14:paraId="7C522DA5" w14:textId="77777777" w:rsidR="00AD5C59" w:rsidRPr="005D27A0" w:rsidRDefault="00AD5C59" w:rsidP="00014894">
            <w:pPr>
              <w:pStyle w:val="Tableformat"/>
              <w:numPr>
                <w:ilvl w:val="0"/>
                <w:numId w:val="4"/>
              </w:numPr>
              <w:rPr>
                <w:color w:val="auto"/>
              </w:rPr>
            </w:pPr>
            <w:r w:rsidRPr="005D27A0">
              <w:rPr>
                <w:color w:val="auto"/>
              </w:rPr>
              <w:t>Investment in a grants process designed to take contemporary, evidence-based solutions to scale</w:t>
            </w:r>
          </w:p>
          <w:p w14:paraId="77AE15D7" w14:textId="77777777" w:rsidR="00AD5C59" w:rsidRPr="005D27A0" w:rsidRDefault="00AD5C59" w:rsidP="00014894">
            <w:pPr>
              <w:spacing w:after="160" w:line="257" w:lineRule="auto"/>
              <w:ind w:left="365"/>
              <w:rPr>
                <w:rStyle w:val="ui-provider"/>
                <w:rFonts w:ascii="Corbel" w:hAnsi="Corbel"/>
                <w:sz w:val="26"/>
                <w:szCs w:val="26"/>
                <w:lang w:val="en-AU"/>
              </w:rPr>
            </w:pPr>
            <w:r w:rsidRPr="005D27A0">
              <w:rPr>
                <w:rStyle w:val="ui-provider"/>
                <w:rFonts w:ascii="Corbel" w:hAnsi="Corbel"/>
                <w:sz w:val="26"/>
                <w:szCs w:val="26"/>
                <w:lang w:val="en-AU"/>
              </w:rPr>
              <w:t>$115.5 million was provided through the 2024-25 State Budget to establish a four-year competitive grants process from 2025-26</w:t>
            </w:r>
            <w:r w:rsidRPr="005D27A0">
              <w:rPr>
                <w:rStyle w:val="ui-provider"/>
                <w:rFonts w:ascii="Corbel" w:hAnsi="Corbel"/>
                <w:sz w:val="26"/>
                <w:szCs w:val="26"/>
                <w:lang w:val="en-AU"/>
              </w:rPr>
              <w:br/>
              <w:t xml:space="preserve">for homelessness services working to ensure homelessness is rare, brief and non-recurring. At least 10 per cent of these funds will be allocated for Aboriginal-specific responses that will be self-determined by </w:t>
            </w:r>
            <w:r w:rsidRPr="00D9129C">
              <w:rPr>
                <w:rStyle w:val="ui-provider"/>
                <w:rFonts w:ascii="Corbel" w:hAnsi="Corbel"/>
                <w:sz w:val="26"/>
                <w:szCs w:val="26"/>
                <w:lang w:val="en-AU"/>
              </w:rPr>
              <w:t>Aboriginal Community-Controlled Organisation</w:t>
            </w:r>
            <w:r>
              <w:rPr>
                <w:rStyle w:val="ui-provider"/>
                <w:rFonts w:ascii="Corbel" w:hAnsi="Corbel"/>
                <w:sz w:val="26"/>
                <w:szCs w:val="26"/>
                <w:lang w:val="en-AU"/>
              </w:rPr>
              <w:t>s</w:t>
            </w:r>
            <w:r w:rsidRPr="00D9129C">
              <w:rPr>
                <w:rStyle w:val="ui-provider"/>
                <w:rFonts w:ascii="Corbel" w:hAnsi="Corbel"/>
                <w:sz w:val="26"/>
                <w:szCs w:val="26"/>
                <w:lang w:val="en-AU"/>
              </w:rPr>
              <w:t xml:space="preserve"> </w:t>
            </w:r>
            <w:r>
              <w:rPr>
                <w:rStyle w:val="ui-provider"/>
                <w:rFonts w:ascii="Corbel" w:hAnsi="Corbel"/>
                <w:sz w:val="26"/>
                <w:szCs w:val="26"/>
                <w:lang w:val="en-AU"/>
              </w:rPr>
              <w:t>(</w:t>
            </w:r>
            <w:r w:rsidRPr="005D27A0">
              <w:rPr>
                <w:rStyle w:val="ui-provider"/>
                <w:rFonts w:ascii="Corbel" w:hAnsi="Corbel"/>
                <w:sz w:val="26"/>
                <w:szCs w:val="26"/>
                <w:lang w:val="en-AU"/>
              </w:rPr>
              <w:t>ACCO</w:t>
            </w:r>
            <w:r>
              <w:rPr>
                <w:rStyle w:val="ui-provider"/>
                <w:rFonts w:ascii="Corbel" w:hAnsi="Corbel"/>
                <w:sz w:val="26"/>
                <w:szCs w:val="26"/>
                <w:lang w:val="en-AU"/>
              </w:rPr>
              <w:t>)s</w:t>
            </w:r>
            <w:r w:rsidRPr="005D27A0">
              <w:rPr>
                <w:rStyle w:val="ui-provider"/>
                <w:rFonts w:ascii="Corbel" w:hAnsi="Corbel"/>
                <w:sz w:val="26"/>
                <w:szCs w:val="26"/>
                <w:lang w:val="en-AU"/>
              </w:rPr>
              <w:t>.</w:t>
            </w:r>
          </w:p>
          <w:p w14:paraId="6C88BF88" w14:textId="77777777" w:rsidR="00AD5C59" w:rsidRDefault="00AD5C59" w:rsidP="52877A36">
            <w:pPr>
              <w:pStyle w:val="Tableformat"/>
              <w:numPr>
                <w:ilvl w:val="0"/>
                <w:numId w:val="4"/>
              </w:numPr>
              <w:rPr>
                <w:color w:val="auto"/>
              </w:rPr>
            </w:pPr>
            <w:r w:rsidRPr="52877A36">
              <w:rPr>
                <w:color w:val="auto"/>
              </w:rPr>
              <w:lastRenderedPageBreak/>
              <w:t xml:space="preserve">Redesign and improvement of the Homelessness Service System with advice from the Ministerial Homelessness Reform Advisory Group (Advisory Group) and a Lived Experience Reference Group (Reference Group) on the best way to structure and deliver homelessness services and maximise impact for those experiencing homelessness, and to design and deliver a homelessness services system that meets the needs of people experiencing and at risk of homelessness and drive continuous improvement. </w:t>
            </w:r>
          </w:p>
          <w:p w14:paraId="5528A9EF" w14:textId="77777777" w:rsidR="00AD5C59" w:rsidRPr="004831D8" w:rsidRDefault="00AD5C59" w:rsidP="00014894">
            <w:pPr>
              <w:pStyle w:val="Tableformat"/>
              <w:numPr>
                <w:ilvl w:val="0"/>
                <w:numId w:val="4"/>
              </w:numPr>
              <w:rPr>
                <w:color w:val="auto"/>
              </w:rPr>
            </w:pPr>
            <w:r w:rsidRPr="004831D8">
              <w:rPr>
                <w:color w:val="auto"/>
              </w:rPr>
              <w:t>Continued delivery of the homelessness service system to meet the needs of Victorians experiencing or at risk of homelessness</w:t>
            </w:r>
          </w:p>
          <w:p w14:paraId="140C1476" w14:textId="77777777" w:rsidR="00AD5C59" w:rsidRPr="005D27A0" w:rsidRDefault="00AD5C59" w:rsidP="00014894">
            <w:pPr>
              <w:spacing w:after="160" w:line="257" w:lineRule="auto"/>
              <w:ind w:left="365"/>
              <w:rPr>
                <w:rStyle w:val="ui-provider"/>
                <w:rFonts w:ascii="Corbel" w:hAnsi="Corbel"/>
                <w:sz w:val="26"/>
                <w:szCs w:val="26"/>
                <w:lang w:val="en-AU"/>
              </w:rPr>
            </w:pPr>
            <w:r w:rsidRPr="005D27A0">
              <w:rPr>
                <w:rStyle w:val="ui-provider"/>
                <w:rFonts w:ascii="Corbel" w:hAnsi="Corbel"/>
                <w:sz w:val="26"/>
                <w:szCs w:val="26"/>
                <w:lang w:val="en-AU"/>
              </w:rPr>
              <w:t>Every year, the Victorian Government assists more than 100,000 Victorians who are at risk of or are experiencing homelessness.</w:t>
            </w:r>
          </w:p>
          <w:p w14:paraId="2E79B627" w14:textId="77777777" w:rsidR="00AD5C59" w:rsidRPr="005D27A0" w:rsidRDefault="00AD5C59" w:rsidP="00014894">
            <w:pPr>
              <w:pStyle w:val="Tableformat"/>
              <w:ind w:left="366"/>
              <w:rPr>
                <w:rStyle w:val="ui-provider"/>
                <w:rFonts w:eastAsia="Calibri" w:cs="Calibri"/>
                <w:color w:val="auto"/>
                <w:lang w:val="en-AU"/>
              </w:rPr>
            </w:pPr>
            <w:r w:rsidRPr="005D27A0">
              <w:rPr>
                <w:rStyle w:val="ui-provider"/>
                <w:rFonts w:eastAsia="Calibri" w:cs="Calibri"/>
                <w:color w:val="auto"/>
                <w:lang w:val="en-AU"/>
              </w:rPr>
              <w:t>Homelessness Services in Victoria provide a range of supports based on people across 3 streams of need:</w:t>
            </w:r>
          </w:p>
          <w:p w14:paraId="0E4DD45B" w14:textId="77777777" w:rsidR="00AD5C59" w:rsidRDefault="00AD5C59" w:rsidP="00014894">
            <w:pPr>
              <w:pStyle w:val="Tableformat"/>
              <w:numPr>
                <w:ilvl w:val="0"/>
                <w:numId w:val="4"/>
              </w:numPr>
              <w:rPr>
                <w:rStyle w:val="ui-provider"/>
                <w:rFonts w:eastAsia="Calibri" w:cs="Calibri"/>
                <w:color w:val="auto"/>
                <w:lang w:val="en-AU"/>
              </w:rPr>
            </w:pPr>
            <w:r w:rsidRPr="005D27A0">
              <w:rPr>
                <w:rStyle w:val="ui-provider"/>
                <w:color w:val="auto"/>
                <w:lang w:val="en-AU"/>
              </w:rPr>
              <w:t>p</w:t>
            </w:r>
            <w:r w:rsidRPr="005D27A0">
              <w:rPr>
                <w:rStyle w:val="ui-provider"/>
                <w:rFonts w:eastAsia="Calibri"/>
                <w:color w:val="auto"/>
                <w:lang w:val="en-AU"/>
              </w:rPr>
              <w:t xml:space="preserve">eople at risk of or recently experiencing homelessness with low support needs, </w:t>
            </w:r>
          </w:p>
          <w:p w14:paraId="5AD866E5" w14:textId="77777777" w:rsidR="00AD5C59" w:rsidRDefault="00AD5C59" w:rsidP="00014894">
            <w:pPr>
              <w:pStyle w:val="Tableformat"/>
              <w:numPr>
                <w:ilvl w:val="0"/>
                <w:numId w:val="4"/>
              </w:numPr>
              <w:rPr>
                <w:rStyle w:val="ui-provider"/>
                <w:rFonts w:eastAsia="Calibri" w:cs="Calibri"/>
                <w:color w:val="auto"/>
                <w:lang w:val="en-AU"/>
              </w:rPr>
            </w:pPr>
            <w:r w:rsidRPr="004831D8">
              <w:rPr>
                <w:rStyle w:val="ui-provider"/>
                <w:rFonts w:eastAsia="Calibri"/>
                <w:color w:val="auto"/>
                <w:lang w:val="en-AU"/>
              </w:rPr>
              <w:t xml:space="preserve">people experiencing homelessness with increased vulnerabilities and risks and </w:t>
            </w:r>
          </w:p>
          <w:p w14:paraId="3AF0561A" w14:textId="77777777" w:rsidR="00AD5C59" w:rsidRPr="004831D8" w:rsidRDefault="00AD5C59" w:rsidP="00014894">
            <w:pPr>
              <w:pStyle w:val="Tableformat"/>
              <w:numPr>
                <w:ilvl w:val="0"/>
                <w:numId w:val="4"/>
              </w:numPr>
              <w:rPr>
                <w:rStyle w:val="ui-provider"/>
                <w:rFonts w:eastAsia="Calibri" w:cs="Calibri"/>
                <w:color w:val="auto"/>
                <w:lang w:val="en-AU"/>
              </w:rPr>
            </w:pPr>
            <w:r w:rsidRPr="004831D8">
              <w:rPr>
                <w:rStyle w:val="ui-provider"/>
                <w:rFonts w:eastAsia="Calibri"/>
                <w:color w:val="auto"/>
                <w:lang w:val="en-AU"/>
              </w:rPr>
              <w:t>people experiencing chronic homelessness and rough sleeping with multiple associated issues and risks.</w:t>
            </w:r>
          </w:p>
          <w:p w14:paraId="31240767" w14:textId="77777777" w:rsidR="00AD5C59" w:rsidRPr="005D27A0" w:rsidRDefault="00AD5C59" w:rsidP="00014894">
            <w:pPr>
              <w:pStyle w:val="Tableformat"/>
              <w:ind w:left="366"/>
              <w:rPr>
                <w:rStyle w:val="ui-provider"/>
                <w:rFonts w:eastAsia="Calibri" w:cs="Calibri"/>
                <w:color w:val="auto"/>
                <w:lang w:val="en-AU"/>
              </w:rPr>
            </w:pPr>
            <w:r w:rsidRPr="005D27A0">
              <w:rPr>
                <w:rStyle w:val="ui-provider"/>
                <w:rFonts w:eastAsia="Calibri"/>
                <w:color w:val="auto"/>
                <w:lang w:val="en-AU"/>
              </w:rPr>
              <w:t>Supports funded include</w:t>
            </w:r>
            <w:r w:rsidRPr="005D27A0">
              <w:rPr>
                <w:rStyle w:val="ui-provider"/>
                <w:rFonts w:eastAsia="Calibri" w:cs="Calibri"/>
                <w:color w:val="auto"/>
                <w:lang w:val="en-AU"/>
              </w:rPr>
              <w:t>:</w:t>
            </w:r>
          </w:p>
          <w:p w14:paraId="4E3CB9BB" w14:textId="77777777" w:rsidR="00AD5C59" w:rsidRPr="005D27A0" w:rsidRDefault="00AD5C59" w:rsidP="00014894">
            <w:pPr>
              <w:pStyle w:val="Tableformat"/>
              <w:numPr>
                <w:ilvl w:val="0"/>
                <w:numId w:val="4"/>
              </w:numPr>
              <w:rPr>
                <w:rStyle w:val="ui-provider"/>
                <w:rFonts w:eastAsiaTheme="minorEastAsia" w:cstheme="minorBidi"/>
                <w:color w:val="auto"/>
                <w:lang w:val="en-AU"/>
              </w:rPr>
            </w:pPr>
            <w:r w:rsidRPr="005D27A0">
              <w:rPr>
                <w:rStyle w:val="ui-provider"/>
                <w:rFonts w:eastAsiaTheme="minorEastAsia" w:cstheme="minorBidi"/>
                <w:color w:val="auto"/>
                <w:lang w:val="en-AU"/>
              </w:rPr>
              <w:t xml:space="preserve">Initial assessment and planning </w:t>
            </w:r>
          </w:p>
          <w:p w14:paraId="0AAE276F" w14:textId="77777777" w:rsidR="00AD5C59" w:rsidRPr="005D27A0" w:rsidRDefault="00AD5C59" w:rsidP="00014894">
            <w:pPr>
              <w:pStyle w:val="Tableformat"/>
              <w:numPr>
                <w:ilvl w:val="0"/>
                <w:numId w:val="4"/>
              </w:numPr>
              <w:rPr>
                <w:rStyle w:val="ui-provider"/>
                <w:rFonts w:eastAsiaTheme="minorEastAsia" w:cstheme="minorBidi"/>
                <w:color w:val="auto"/>
                <w:lang w:val="en-AU"/>
              </w:rPr>
            </w:pPr>
            <w:r w:rsidRPr="005D27A0">
              <w:rPr>
                <w:rStyle w:val="ui-provider"/>
                <w:rFonts w:eastAsiaTheme="minorEastAsia" w:cstheme="minorBidi"/>
                <w:color w:val="auto"/>
                <w:lang w:val="en-AU"/>
              </w:rPr>
              <w:t>Case management and outreach support</w:t>
            </w:r>
          </w:p>
          <w:p w14:paraId="562B8166" w14:textId="77777777" w:rsidR="00AD5C59" w:rsidRPr="005D27A0" w:rsidRDefault="00AD5C59" w:rsidP="00014894">
            <w:pPr>
              <w:pStyle w:val="Tableformat"/>
              <w:numPr>
                <w:ilvl w:val="0"/>
                <w:numId w:val="4"/>
              </w:numPr>
              <w:rPr>
                <w:rStyle w:val="ui-provider"/>
                <w:rFonts w:eastAsiaTheme="minorEastAsia" w:cstheme="minorBidi"/>
                <w:color w:val="auto"/>
                <w:lang w:val="en-AU"/>
              </w:rPr>
            </w:pPr>
            <w:r w:rsidRPr="005D27A0">
              <w:rPr>
                <w:rStyle w:val="ui-provider"/>
                <w:rFonts w:eastAsiaTheme="minorEastAsia" w:cstheme="minorBidi"/>
                <w:color w:val="auto"/>
                <w:lang w:val="en-AU"/>
              </w:rPr>
              <w:t>Crisis and transitional accommodation and support</w:t>
            </w:r>
          </w:p>
          <w:p w14:paraId="5E10091C" w14:textId="77777777" w:rsidR="00AD5C59" w:rsidRPr="005D27A0" w:rsidRDefault="00AD5C59" w:rsidP="00014894">
            <w:pPr>
              <w:pStyle w:val="Tableformat"/>
              <w:numPr>
                <w:ilvl w:val="0"/>
                <w:numId w:val="4"/>
              </w:numPr>
              <w:rPr>
                <w:rStyle w:val="ui-provider"/>
                <w:rFonts w:eastAsia="Calibri" w:cs="Calibri"/>
                <w:color w:val="auto"/>
                <w:lang w:val="en-AU"/>
              </w:rPr>
            </w:pPr>
            <w:r w:rsidRPr="005D27A0">
              <w:rPr>
                <w:rStyle w:val="ui-provider"/>
                <w:rFonts w:eastAsiaTheme="minorEastAsia" w:cstheme="minorBidi"/>
                <w:color w:val="auto"/>
                <w:lang w:val="en-AU"/>
              </w:rPr>
              <w:t>Private rental assistance and assistance to maintain tenancies across a range of tenures</w:t>
            </w:r>
          </w:p>
          <w:p w14:paraId="283A55F5" w14:textId="77777777" w:rsidR="00AD5C59" w:rsidRPr="005D27A0" w:rsidRDefault="00AD5C59" w:rsidP="00014894">
            <w:pPr>
              <w:pStyle w:val="Tableformat"/>
              <w:numPr>
                <w:ilvl w:val="0"/>
                <w:numId w:val="4"/>
              </w:numPr>
              <w:rPr>
                <w:rStyle w:val="ui-provider"/>
                <w:rFonts w:eastAsia="Calibri" w:cs="Calibri"/>
                <w:color w:val="auto"/>
                <w:lang w:val="en-AU"/>
              </w:rPr>
            </w:pPr>
            <w:r w:rsidRPr="005D27A0">
              <w:rPr>
                <w:rStyle w:val="ui-provider"/>
                <w:rFonts w:eastAsiaTheme="minorEastAsia" w:cstheme="minorBidi"/>
                <w:color w:val="auto"/>
                <w:lang w:val="en-AU"/>
              </w:rPr>
              <w:t>Youth specific services, such as family reconciliation, a youth-specific entry point and case management, youth foyers and youth refuges, with 10 more supportive accommodation facilities coming on line over the next few years as a result of investment from Victoria’s Big Housing Build.</w:t>
            </w:r>
            <w:r w:rsidRPr="005D27A0">
              <w:rPr>
                <w:rStyle w:val="ui-provider"/>
                <w:rFonts w:eastAsiaTheme="minorEastAsia" w:cstheme="minorBidi"/>
                <w:color w:val="auto"/>
              </w:rPr>
              <w:t xml:space="preserve"> </w:t>
            </w:r>
          </w:p>
          <w:p w14:paraId="61006939" w14:textId="77777777" w:rsidR="00AD5C59" w:rsidRPr="005D27A0" w:rsidRDefault="00AD5C59" w:rsidP="00014894">
            <w:pPr>
              <w:pStyle w:val="Tableformat"/>
              <w:numPr>
                <w:ilvl w:val="0"/>
                <w:numId w:val="4"/>
              </w:numPr>
              <w:rPr>
                <w:rStyle w:val="ui-provider"/>
                <w:rFonts w:eastAsia="Calibri" w:cs="Calibri"/>
                <w:color w:val="auto"/>
                <w:lang w:val="en-AU"/>
              </w:rPr>
            </w:pPr>
            <w:r w:rsidRPr="005D27A0">
              <w:rPr>
                <w:rStyle w:val="ui-provider"/>
                <w:rFonts w:eastAsia="Calibri" w:cs="Calibri"/>
                <w:color w:val="auto"/>
                <w:lang w:val="en-AU"/>
              </w:rPr>
              <w:t xml:space="preserve">Housing First responses, including Homes First, Journey to Social Inclusion, Homes for Families and eight permanent supportive housing facilities (four operational and four more to come on line in coming years, including two in regional Victoria). </w:t>
            </w:r>
          </w:p>
          <w:p w14:paraId="67D1AC03" w14:textId="77777777" w:rsidR="00AD5C59" w:rsidRPr="005D27A0" w:rsidRDefault="00AD5C59" w:rsidP="00014894">
            <w:pPr>
              <w:pStyle w:val="Tableformat"/>
              <w:numPr>
                <w:ilvl w:val="0"/>
                <w:numId w:val="4"/>
              </w:numPr>
              <w:rPr>
                <w:rFonts w:eastAsia="Calibri" w:cs="Calibri"/>
                <w:color w:val="auto"/>
                <w:lang w:val="en-AU"/>
              </w:rPr>
            </w:pPr>
            <w:r w:rsidRPr="71BFE6DC">
              <w:rPr>
                <w:rStyle w:val="ui-provider"/>
                <w:rFonts w:eastAsia="Calibri" w:cs="Calibri"/>
                <w:color w:val="auto"/>
                <w:lang w:val="en-AU"/>
              </w:rPr>
              <w:t xml:space="preserve">Family Violence support – building on the Ending Family Violence: Victoria’s Plan for Change which outlines a vision for a future where Victorian’s live free from Family Violence. </w:t>
            </w:r>
          </w:p>
          <w:p w14:paraId="71C0D60A" w14:textId="77777777" w:rsidR="00AD5C59" w:rsidRPr="00000F74" w:rsidRDefault="00AD5C59" w:rsidP="00014894">
            <w:pPr>
              <w:widowControl/>
              <w:shd w:val="clear" w:color="auto" w:fill="FFFFFF" w:themeFill="background1"/>
              <w:spacing w:before="100" w:beforeAutospacing="1" w:after="100" w:afterAutospacing="1"/>
              <w:rPr>
                <w:rFonts w:ascii="Corbel" w:eastAsia="Times New Roman" w:hAnsi="Corbel" w:cs="Arial"/>
                <w:sz w:val="26"/>
                <w:szCs w:val="26"/>
                <w:lang w:eastAsia="en-AU"/>
              </w:rPr>
            </w:pPr>
            <w:r w:rsidRPr="71BFE6DC">
              <w:rPr>
                <w:rFonts w:ascii="Corbel" w:eastAsia="Times New Roman" w:hAnsi="Corbel" w:cs="Arial"/>
                <w:b/>
                <w:bCs/>
                <w:sz w:val="26"/>
                <w:szCs w:val="26"/>
                <w:lang w:eastAsia="en-AU"/>
              </w:rPr>
              <w:lastRenderedPageBreak/>
              <w:t>First Nations</w:t>
            </w:r>
          </w:p>
          <w:p w14:paraId="0DE02D81" w14:textId="52FD9FF2" w:rsidR="00AD5C59" w:rsidRPr="00000F74" w:rsidRDefault="00AD5C59" w:rsidP="00014894">
            <w:pPr>
              <w:pStyle w:val="Tableformat"/>
              <w:rPr>
                <w:color w:val="auto"/>
                <w:lang w:val="en-AU"/>
              </w:rPr>
            </w:pPr>
            <w:r w:rsidRPr="00000F74">
              <w:rPr>
                <w:color w:val="auto"/>
                <w:lang w:val="en-AU"/>
              </w:rPr>
              <w:t>The Victorian Government is committed to Aboriginal self-determination and supported the development of a Victorian Aboriginal housing and homelessness strategy. In February 2020, ‘</w:t>
            </w:r>
            <w:r w:rsidRPr="00000F74">
              <w:rPr>
                <w:i/>
                <w:color w:val="auto"/>
                <w:lang w:val="en-AU"/>
              </w:rPr>
              <w:t>Mana-na woorn-tyeen maar-takoort</w:t>
            </w:r>
            <w:r w:rsidRPr="00000F74">
              <w:rPr>
                <w:color w:val="auto"/>
                <w:lang w:val="en-AU"/>
              </w:rPr>
              <w:t>: Every Aboriginal Person Has a Home’, the Victorian Aboriginal Housing and Homelessness Framework (VAHHF) was released</w:t>
            </w:r>
            <w:r w:rsidR="000008A6">
              <w:rPr>
                <w:rStyle w:val="FootnoteReference"/>
                <w:color w:val="auto"/>
                <w:lang w:val="en-AU"/>
              </w:rPr>
              <w:footnoteReference w:id="6"/>
            </w:r>
            <w:r w:rsidRPr="00000F74">
              <w:rPr>
                <w:color w:val="auto"/>
                <w:lang w:val="en-AU"/>
              </w:rPr>
              <w:t>. The framework represents the first housing policy at a state-wide level prepared by the Aboriginal community for the benefit of Aboriginal peoples in Victoria.</w:t>
            </w:r>
          </w:p>
          <w:p w14:paraId="6C3E68AE" w14:textId="77777777" w:rsidR="00AD5C59" w:rsidRPr="00000F74" w:rsidRDefault="00AD5C59" w:rsidP="52877A36">
            <w:pPr>
              <w:pStyle w:val="Tableformat"/>
              <w:rPr>
                <w:color w:val="auto"/>
              </w:rPr>
            </w:pPr>
            <w:r w:rsidRPr="52877A36">
              <w:rPr>
                <w:color w:val="auto"/>
              </w:rPr>
              <w:t>The VAHHF seeks to create the building blocks for a strong, sustainable, and well-resourced Aboriginal housing sector in Victoria. The framework is underpinned by Aboriginal self-determination that is fundamental to strengthen the Aboriginal housing sector by delivering a culturally safe and responsive housing system that addresses the challenges that Aboriginal Victorians face.</w:t>
            </w:r>
          </w:p>
          <w:p w14:paraId="3142CB9B" w14:textId="77777777" w:rsidR="00AD5C59" w:rsidRPr="00000F74" w:rsidRDefault="00AD5C59" w:rsidP="00014894">
            <w:pPr>
              <w:pStyle w:val="Tableformat"/>
              <w:rPr>
                <w:color w:val="auto"/>
              </w:rPr>
            </w:pPr>
            <w:r w:rsidRPr="00000F74">
              <w:rPr>
                <w:color w:val="auto"/>
              </w:rPr>
              <w:t>The disproportionate disadvantage faced by Aboriginal and Torres Strait Islander people is addressed by:</w:t>
            </w:r>
          </w:p>
          <w:p w14:paraId="6A89BE77" w14:textId="77777777" w:rsidR="00AD5C59" w:rsidRDefault="00AD5C59" w:rsidP="00014894">
            <w:pPr>
              <w:pStyle w:val="Tableformat"/>
              <w:numPr>
                <w:ilvl w:val="0"/>
                <w:numId w:val="4"/>
              </w:numPr>
              <w:rPr>
                <w:color w:val="auto"/>
              </w:rPr>
            </w:pPr>
            <w:r w:rsidRPr="71BFE6DC">
              <w:rPr>
                <w:color w:val="auto"/>
              </w:rPr>
              <w:t xml:space="preserve">Advancing self-determination of Aboriginal housing outcomes, </w:t>
            </w:r>
          </w:p>
          <w:p w14:paraId="2FA90424" w14:textId="77777777" w:rsidR="00C12C21" w:rsidRDefault="00AD5C59" w:rsidP="00014894">
            <w:pPr>
              <w:pStyle w:val="Tableformat"/>
              <w:numPr>
                <w:ilvl w:val="0"/>
                <w:numId w:val="4"/>
              </w:numPr>
              <w:rPr>
                <w:color w:val="auto"/>
              </w:rPr>
            </w:pPr>
            <w:r w:rsidRPr="0565CE42">
              <w:rPr>
                <w:color w:val="auto"/>
              </w:rPr>
              <w:t xml:space="preserve">10 per cent net new social housing from the Big Housing Build and 10 per cent of the regional housing fund will be targeted to housing developments to meet the needs of Aboriginal Victorians. </w:t>
            </w:r>
          </w:p>
          <w:p w14:paraId="415CCE2C" w14:textId="0D05B979" w:rsidR="00AD5C59" w:rsidRPr="00000F74" w:rsidRDefault="00AD5C59" w:rsidP="52877A36">
            <w:pPr>
              <w:pStyle w:val="Tableformat"/>
              <w:numPr>
                <w:ilvl w:val="0"/>
                <w:numId w:val="4"/>
              </w:numPr>
              <w:rPr>
                <w:color w:val="auto"/>
              </w:rPr>
            </w:pPr>
            <w:r w:rsidRPr="52877A36">
              <w:rPr>
                <w:color w:val="auto"/>
              </w:rPr>
              <w:t>Aboriginal housing sector strengthening and capacity building.</w:t>
            </w:r>
          </w:p>
          <w:p w14:paraId="205E39E4" w14:textId="77777777" w:rsidR="00AD5C59" w:rsidRPr="00000F74" w:rsidRDefault="00AD5C59" w:rsidP="00014894">
            <w:pPr>
              <w:pStyle w:val="Tableformat"/>
              <w:numPr>
                <w:ilvl w:val="0"/>
                <w:numId w:val="4"/>
              </w:numPr>
              <w:rPr>
                <w:color w:val="auto"/>
              </w:rPr>
            </w:pPr>
            <w:r w:rsidRPr="00000F74">
              <w:rPr>
                <w:color w:val="auto"/>
              </w:rPr>
              <w:t>Bespoke delivery models, offering agency to the Aboriginal housing sector and Aboriginal community.</w:t>
            </w:r>
          </w:p>
          <w:p w14:paraId="59DF9361" w14:textId="77777777" w:rsidR="00AD5C59" w:rsidRPr="00000F74" w:rsidRDefault="00AD5C59" w:rsidP="00014894">
            <w:pPr>
              <w:pStyle w:val="Tableformat"/>
              <w:numPr>
                <w:ilvl w:val="0"/>
                <w:numId w:val="4"/>
              </w:numPr>
              <w:rPr>
                <w:color w:val="auto"/>
              </w:rPr>
            </w:pPr>
            <w:r w:rsidRPr="00000F74">
              <w:rPr>
                <w:color w:val="auto"/>
              </w:rPr>
              <w:t>Offering a culturally safe service system for renters.</w:t>
            </w:r>
          </w:p>
          <w:p w14:paraId="7125C8E0" w14:textId="77777777" w:rsidR="00AD5C59" w:rsidRPr="00000F74" w:rsidRDefault="00AD5C59" w:rsidP="00014894">
            <w:pPr>
              <w:pStyle w:val="Tableformat"/>
              <w:rPr>
                <w:color w:val="auto"/>
              </w:rPr>
            </w:pPr>
          </w:p>
          <w:p w14:paraId="51983502" w14:textId="77777777" w:rsidR="00AD5C59" w:rsidRPr="00000F74" w:rsidRDefault="00AD5C59" w:rsidP="00014894">
            <w:pPr>
              <w:widowControl/>
              <w:autoSpaceDE w:val="0"/>
              <w:autoSpaceDN w:val="0"/>
              <w:adjustRightInd w:val="0"/>
              <w:jc w:val="both"/>
              <w:rPr>
                <w:rFonts w:ascii="Corbel" w:hAnsi="Corbel" w:cs="Arial"/>
                <w:sz w:val="26"/>
                <w:szCs w:val="26"/>
                <w:lang w:val="en-AU"/>
              </w:rPr>
            </w:pPr>
            <w:r w:rsidRPr="00000F74">
              <w:rPr>
                <w:rFonts w:ascii="Corbel" w:eastAsia="Times New Roman" w:hAnsi="Corbel" w:cs="Arial"/>
                <w:iCs/>
                <w:sz w:val="26"/>
                <w:szCs w:val="26"/>
                <w:lang w:val="en-AU" w:eastAsia="en-AU"/>
              </w:rPr>
              <w:t xml:space="preserve">In </w:t>
            </w:r>
            <w:r w:rsidRPr="00000F74">
              <w:rPr>
                <w:rFonts w:ascii="Corbel" w:eastAsia="Times New Roman" w:hAnsi="Corbel" w:cs="Arial"/>
                <w:sz w:val="26"/>
                <w:szCs w:val="26"/>
                <w:lang w:val="en-AU" w:eastAsia="en-AU"/>
              </w:rPr>
              <w:t>response to the overwhelming challenges faced by Aboriginal people at risk of</w:t>
            </w:r>
            <w:r w:rsidRPr="00000F74">
              <w:rPr>
                <w:rFonts w:ascii="Corbel" w:eastAsia="Times New Roman" w:hAnsi="Corbel" w:cs="Arial"/>
                <w:iCs/>
                <w:sz w:val="26"/>
                <w:szCs w:val="26"/>
                <w:lang w:val="en-AU" w:eastAsia="en-AU"/>
              </w:rPr>
              <w:t xml:space="preserve"> </w:t>
            </w:r>
            <w:r w:rsidRPr="00000F74">
              <w:rPr>
                <w:rFonts w:ascii="Corbel" w:eastAsia="Times New Roman" w:hAnsi="Corbel" w:cs="Arial"/>
                <w:sz w:val="26"/>
                <w:szCs w:val="26"/>
                <w:lang w:val="en-AU" w:eastAsia="en-AU"/>
              </w:rPr>
              <w:t xml:space="preserve">and experiencing </w:t>
            </w:r>
            <w:r w:rsidRPr="00000F74">
              <w:rPr>
                <w:rFonts w:ascii="Corbel" w:eastAsia="Times New Roman" w:hAnsi="Corbel" w:cs="Arial"/>
                <w:iCs/>
                <w:sz w:val="26"/>
                <w:szCs w:val="26"/>
                <w:lang w:val="en-AU" w:eastAsia="en-AU"/>
              </w:rPr>
              <w:t xml:space="preserve">homelessness, the Blueprint for an Aboriginal specific homelessness system in Victoria was launched in 2022. </w:t>
            </w:r>
          </w:p>
          <w:p w14:paraId="57365C7A" w14:textId="77777777" w:rsidR="00AD5C59" w:rsidRPr="00000F74" w:rsidRDefault="00AD5C59" w:rsidP="00014894">
            <w:pPr>
              <w:widowControl/>
              <w:autoSpaceDE w:val="0"/>
              <w:autoSpaceDN w:val="0"/>
              <w:adjustRightInd w:val="0"/>
              <w:jc w:val="both"/>
              <w:rPr>
                <w:rFonts w:ascii="Corbel" w:hAnsi="Corbel" w:cs="Arial"/>
                <w:sz w:val="26"/>
                <w:szCs w:val="26"/>
                <w:lang w:val="en-AU"/>
              </w:rPr>
            </w:pPr>
          </w:p>
          <w:p w14:paraId="5B868A7D" w14:textId="77777777" w:rsidR="00AD5C59" w:rsidRPr="00000F74" w:rsidRDefault="00AD5C59" w:rsidP="00014894">
            <w:pPr>
              <w:widowControl/>
              <w:autoSpaceDE w:val="0"/>
              <w:autoSpaceDN w:val="0"/>
              <w:adjustRightInd w:val="0"/>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t>The Blueprint provides a design of an Aboriginal-specific homelessness system with a plan to implement each of the system features that are the building blocks for a future focussed, connected and culturally safe Aboriginal specific homelessness system.</w:t>
            </w:r>
          </w:p>
          <w:p w14:paraId="537BB2E7" w14:textId="77777777" w:rsidR="00AD5C59" w:rsidRPr="00000F74" w:rsidRDefault="00AD5C59" w:rsidP="00014894">
            <w:pPr>
              <w:widowControl/>
              <w:autoSpaceDE w:val="0"/>
              <w:autoSpaceDN w:val="0"/>
              <w:adjustRightInd w:val="0"/>
              <w:rPr>
                <w:rFonts w:ascii="Corbel" w:eastAsia="Times New Roman" w:hAnsi="Corbel" w:cs="Arial"/>
                <w:iCs/>
                <w:sz w:val="26"/>
                <w:szCs w:val="26"/>
                <w:lang w:val="en-AU" w:eastAsia="en-AU"/>
              </w:rPr>
            </w:pPr>
          </w:p>
          <w:p w14:paraId="4B8B2B6C" w14:textId="77777777" w:rsidR="00AD5C59" w:rsidRDefault="00AD5C59" w:rsidP="00014894">
            <w:pPr>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t>The Blueprint proposes:</w:t>
            </w:r>
          </w:p>
          <w:p w14:paraId="350DB077" w14:textId="77777777" w:rsidR="00AD5C59" w:rsidRPr="00000F74" w:rsidRDefault="00AD5C59" w:rsidP="00014894">
            <w:pPr>
              <w:rPr>
                <w:rFonts w:ascii="Corbel" w:eastAsia="Times New Roman" w:hAnsi="Corbel" w:cs="Arial"/>
                <w:iCs/>
                <w:sz w:val="26"/>
                <w:szCs w:val="26"/>
                <w:lang w:val="en-AU" w:eastAsia="en-AU"/>
              </w:rPr>
            </w:pPr>
          </w:p>
          <w:p w14:paraId="6937A416" w14:textId="77777777" w:rsidR="00AD5C59" w:rsidRPr="00000F74" w:rsidRDefault="00AD5C59" w:rsidP="00014894">
            <w:pPr>
              <w:pStyle w:val="ListParagraph"/>
              <w:widowControl/>
              <w:numPr>
                <w:ilvl w:val="0"/>
                <w:numId w:val="4"/>
              </w:numPr>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t>Staged approach to introducing an Aboriginal-specific system</w:t>
            </w:r>
          </w:p>
          <w:p w14:paraId="169EDE8D" w14:textId="77777777" w:rsidR="00AD5C59" w:rsidRPr="00000F74" w:rsidRDefault="00AD5C59" w:rsidP="00014894">
            <w:pPr>
              <w:pStyle w:val="ListParagraph"/>
              <w:widowControl/>
              <w:numPr>
                <w:ilvl w:val="0"/>
                <w:numId w:val="4"/>
              </w:numPr>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lastRenderedPageBreak/>
              <w:t>Increasing ACCO delivered services, commencing with:</w:t>
            </w:r>
          </w:p>
          <w:p w14:paraId="67CC72AE" w14:textId="77777777" w:rsidR="00AD5C59" w:rsidRPr="00000F74" w:rsidRDefault="00AD5C59" w:rsidP="00014894">
            <w:pPr>
              <w:pStyle w:val="ListParagraph"/>
              <w:widowControl/>
              <w:numPr>
                <w:ilvl w:val="1"/>
                <w:numId w:val="4"/>
              </w:numPr>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t xml:space="preserve">Entry </w:t>
            </w:r>
            <w:r w:rsidRPr="4423FB90">
              <w:rPr>
                <w:rFonts w:ascii="Corbel" w:eastAsia="Times New Roman" w:hAnsi="Corbel" w:cs="Arial"/>
                <w:sz w:val="26"/>
                <w:szCs w:val="26"/>
                <w:lang w:val="en-AU" w:eastAsia="en-AU"/>
              </w:rPr>
              <w:t>points</w:t>
            </w:r>
            <w:r w:rsidRPr="00000F74">
              <w:rPr>
                <w:rFonts w:ascii="Corbel" w:eastAsia="Times New Roman" w:hAnsi="Corbel" w:cs="Arial"/>
                <w:iCs/>
                <w:sz w:val="26"/>
                <w:szCs w:val="26"/>
                <w:lang w:val="en-AU" w:eastAsia="en-AU"/>
              </w:rPr>
              <w:t xml:space="preserve"> and multidisciplinary teams pilot</w:t>
            </w:r>
          </w:p>
          <w:p w14:paraId="2958648A" w14:textId="77777777" w:rsidR="00AD5C59" w:rsidRPr="00000F74" w:rsidRDefault="00AD5C59" w:rsidP="00014894">
            <w:pPr>
              <w:pStyle w:val="ListParagraph"/>
              <w:widowControl/>
              <w:numPr>
                <w:ilvl w:val="1"/>
                <w:numId w:val="4"/>
              </w:numPr>
              <w:rPr>
                <w:rFonts w:ascii="Corbel" w:eastAsia="Times New Roman" w:hAnsi="Corbel" w:cs="Arial"/>
                <w:iCs/>
                <w:sz w:val="26"/>
                <w:szCs w:val="26"/>
                <w:lang w:val="en-AU" w:eastAsia="en-AU"/>
              </w:rPr>
            </w:pPr>
            <w:r w:rsidRPr="00000F74">
              <w:rPr>
                <w:rFonts w:ascii="Corbel" w:eastAsia="Times New Roman" w:hAnsi="Corbel" w:cs="Arial"/>
                <w:iCs/>
                <w:sz w:val="26"/>
                <w:szCs w:val="26"/>
                <w:lang w:val="en-AU" w:eastAsia="en-AU"/>
              </w:rPr>
              <w:t>Youth facilities funded through the Youth Capital Grants program</w:t>
            </w:r>
          </w:p>
          <w:p w14:paraId="3F15C81E" w14:textId="77777777" w:rsidR="00AD5C59" w:rsidRPr="00000F74" w:rsidRDefault="00AD5C59" w:rsidP="00014894">
            <w:pPr>
              <w:pStyle w:val="ListParagraph"/>
              <w:widowControl/>
              <w:numPr>
                <w:ilvl w:val="1"/>
                <w:numId w:val="4"/>
              </w:numPr>
              <w:rPr>
                <w:rFonts w:ascii="Corbel" w:eastAsia="Times New Roman" w:hAnsi="Corbel" w:cs="Arial"/>
                <w:iCs/>
                <w:sz w:val="26"/>
                <w:szCs w:val="26"/>
                <w:lang w:val="en-AU" w:eastAsia="en-AU"/>
              </w:rPr>
            </w:pPr>
            <w:r w:rsidRPr="4423FB90">
              <w:rPr>
                <w:rFonts w:ascii="Corbel" w:eastAsia="Times New Roman" w:hAnsi="Corbel" w:cs="Arial"/>
                <w:sz w:val="26"/>
                <w:szCs w:val="26"/>
                <w:lang w:val="en-AU" w:eastAsia="en-AU"/>
              </w:rPr>
              <w:t>Expansion of Aboriginal Private Rental Assistance Program (APRAP)</w:t>
            </w:r>
          </w:p>
          <w:p w14:paraId="41AAF367" w14:textId="77777777" w:rsidR="00AD5C59" w:rsidRPr="00102FB6" w:rsidRDefault="00AD5C59" w:rsidP="00014894">
            <w:pPr>
              <w:pStyle w:val="ListParagraph"/>
              <w:widowControl/>
              <w:numPr>
                <w:ilvl w:val="0"/>
                <w:numId w:val="4"/>
              </w:numPr>
              <w:rPr>
                <w:lang w:val="en-AU"/>
              </w:rPr>
            </w:pPr>
            <w:r w:rsidRPr="00000F74">
              <w:rPr>
                <w:rFonts w:ascii="Corbel" w:eastAsia="Times New Roman" w:hAnsi="Corbel" w:cs="Arial"/>
                <w:sz w:val="26"/>
                <w:szCs w:val="26"/>
                <w:lang w:val="en-AU" w:eastAsia="en-AU"/>
              </w:rPr>
              <w:t>An Aboriginal System Partner role.</w:t>
            </w:r>
          </w:p>
          <w:p w14:paraId="56487B5A" w14:textId="77777777" w:rsidR="00AD5C59" w:rsidRPr="00000F74" w:rsidRDefault="00AD5C59" w:rsidP="00014894">
            <w:pPr>
              <w:widowControl/>
              <w:shd w:val="clear" w:color="auto" w:fill="FFFFFF"/>
              <w:spacing w:before="100" w:beforeAutospacing="1" w:after="100" w:afterAutospacing="1"/>
              <w:rPr>
                <w:rFonts w:ascii="Corbel" w:eastAsia="Times New Roman" w:hAnsi="Corbel" w:cs="Arial"/>
                <w:sz w:val="26"/>
                <w:szCs w:val="26"/>
                <w:lang w:eastAsia="en-AU"/>
              </w:rPr>
            </w:pPr>
            <w:r w:rsidRPr="00000F74">
              <w:rPr>
                <w:rFonts w:ascii="Corbel" w:eastAsia="Times New Roman" w:hAnsi="Corbel" w:cs="Arial"/>
                <w:sz w:val="26"/>
                <w:szCs w:val="26"/>
                <w:lang w:eastAsia="en-AU"/>
              </w:rPr>
              <w:t>The Victorian Closing the Gap Implementation Plan</w:t>
            </w:r>
          </w:p>
          <w:p w14:paraId="63CF2332" w14:textId="17080002" w:rsidR="00AD5C59" w:rsidRPr="00F00CB4" w:rsidRDefault="00AD5C59" w:rsidP="00F00CB4">
            <w:pPr>
              <w:widowControl/>
              <w:shd w:val="clear" w:color="auto" w:fill="FFFFFF" w:themeFill="background1"/>
              <w:spacing w:before="100" w:beforeAutospacing="1" w:after="100" w:afterAutospacing="1"/>
              <w:rPr>
                <w:rFonts w:ascii="Corbel" w:eastAsia="Times New Roman" w:hAnsi="Corbel" w:cs="Arial"/>
                <w:sz w:val="26"/>
                <w:szCs w:val="26"/>
                <w:lang w:eastAsia="en-AU"/>
              </w:rPr>
            </w:pPr>
            <w:r w:rsidRPr="71BFE6DC">
              <w:rPr>
                <w:rFonts w:ascii="Corbel" w:eastAsia="Times New Roman" w:hAnsi="Corbel" w:cs="Arial"/>
                <w:sz w:val="26"/>
                <w:szCs w:val="26"/>
                <w:lang w:eastAsia="en-AU"/>
              </w:rPr>
              <w:t>Victoria’s implementation plan on closing the gap outlines actions Victoria will undertake to achieve the objectives of the national agreement on closing the gap.</w:t>
            </w:r>
            <w:r w:rsidR="00F00CB4">
              <w:rPr>
                <w:rFonts w:ascii="Corbel" w:eastAsia="Times New Roman" w:hAnsi="Corbel" w:cs="Arial"/>
                <w:sz w:val="26"/>
                <w:szCs w:val="26"/>
                <w:lang w:eastAsia="en-AU"/>
              </w:rPr>
              <w:t xml:space="preserve"> </w:t>
            </w:r>
            <w:r w:rsidRPr="00F00CB4">
              <w:rPr>
                <w:rFonts w:ascii="Corbel" w:eastAsia="Times New Roman" w:hAnsi="Corbel" w:cs="Arial"/>
                <w:sz w:val="26"/>
                <w:szCs w:val="26"/>
                <w:lang w:eastAsia="en-AU"/>
              </w:rPr>
              <w:t xml:space="preserve">Aboriginal Housing and Homelessness is captured in Outcome 9: Aboriginal and Torres Strait Islander people secure appropriate, affordable housing that is aligned with their priorities and need. </w:t>
            </w:r>
          </w:p>
          <w:p w14:paraId="1C863452" w14:textId="77777777" w:rsidR="00AD5C59" w:rsidRPr="00000F74" w:rsidRDefault="00AD5C59" w:rsidP="00014894">
            <w:pPr>
              <w:widowControl/>
              <w:rPr>
                <w:lang w:val="en-AU"/>
              </w:rPr>
            </w:pPr>
          </w:p>
          <w:p w14:paraId="6391EAA1" w14:textId="77777777" w:rsidR="00AD5C59" w:rsidRPr="00235FC3" w:rsidRDefault="00AD5C59" w:rsidP="00014894">
            <w:pPr>
              <w:pStyle w:val="Tableformat"/>
              <w:rPr>
                <w:b/>
                <w:color w:val="auto"/>
              </w:rPr>
            </w:pPr>
            <w:r w:rsidRPr="00235FC3">
              <w:rPr>
                <w:b/>
                <w:color w:val="auto"/>
              </w:rPr>
              <w:t>National Outcomes Framework</w:t>
            </w:r>
          </w:p>
          <w:p w14:paraId="6FE30F35" w14:textId="77777777" w:rsidR="00AD5C59" w:rsidRPr="00235FC3" w:rsidRDefault="00AD5C59" w:rsidP="52877A36">
            <w:pPr>
              <w:pStyle w:val="Tableformat"/>
              <w:rPr>
                <w:color w:val="auto"/>
              </w:rPr>
            </w:pPr>
            <w:r w:rsidRPr="52877A36">
              <w:rPr>
                <w:color w:val="auto"/>
              </w:rPr>
              <w:t>Victoria will meet the requirements of clause 18(b) by reporting against the indicators in the National Outcomes Framework (Schedule A of the Agreement). This will include at a minimum, the compulsory measures.</w:t>
            </w:r>
            <w:r>
              <w:br/>
            </w:r>
          </w:p>
          <w:p w14:paraId="74CB5398" w14:textId="77777777" w:rsidR="00AD5C59" w:rsidRPr="00235FC3" w:rsidRDefault="00AD5C59" w:rsidP="00014894">
            <w:pPr>
              <w:pStyle w:val="Tableformat"/>
              <w:rPr>
                <w:b/>
                <w:color w:val="auto"/>
              </w:rPr>
            </w:pPr>
            <w:r>
              <w:rPr>
                <w:b/>
                <w:color w:val="auto"/>
              </w:rPr>
              <w:t>Compulsory</w:t>
            </w:r>
            <w:r w:rsidRPr="00235FC3">
              <w:rPr>
                <w:b/>
                <w:color w:val="auto"/>
              </w:rPr>
              <w:t xml:space="preserve"> </w:t>
            </w:r>
            <w:r>
              <w:rPr>
                <w:b/>
                <w:color w:val="auto"/>
              </w:rPr>
              <w:t>measures</w:t>
            </w:r>
          </w:p>
          <w:p w14:paraId="3752EB6D" w14:textId="77777777" w:rsidR="00AD5C59" w:rsidRPr="00235FC3" w:rsidRDefault="00AD5C59" w:rsidP="00014894">
            <w:pPr>
              <w:pStyle w:val="Tableformat"/>
              <w:rPr>
                <w:i/>
                <w:color w:val="auto"/>
              </w:rPr>
            </w:pPr>
            <w:r w:rsidRPr="00235FC3">
              <w:rPr>
                <w:i/>
                <w:color w:val="auto"/>
              </w:rPr>
              <w:t>Homelessness</w:t>
            </w:r>
          </w:p>
          <w:p w14:paraId="031E7C29" w14:textId="77777777" w:rsidR="00AD5C59" w:rsidRPr="006B5B58" w:rsidRDefault="00AD5C59" w:rsidP="00014894">
            <w:pPr>
              <w:pStyle w:val="Tableformat"/>
              <w:numPr>
                <w:ilvl w:val="0"/>
                <w:numId w:val="4"/>
              </w:numPr>
              <w:rPr>
                <w:color w:val="auto"/>
              </w:rPr>
            </w:pPr>
            <w:r w:rsidRPr="006B5B58">
              <w:rPr>
                <w:color w:val="auto"/>
                <w:lang w:val="en-AU"/>
              </w:rPr>
              <w:t>Number of unassisted requests for services, split by accommodation and other services</w:t>
            </w:r>
          </w:p>
          <w:p w14:paraId="438DCFEA" w14:textId="77777777" w:rsidR="00AD5C59" w:rsidRDefault="00AD5C59" w:rsidP="00014894">
            <w:pPr>
              <w:pStyle w:val="Tableformat"/>
              <w:numPr>
                <w:ilvl w:val="0"/>
                <w:numId w:val="4"/>
              </w:numPr>
              <w:rPr>
                <w:color w:val="auto"/>
              </w:rPr>
            </w:pPr>
            <w:r w:rsidRPr="00091CC5">
              <w:rPr>
                <w:color w:val="auto"/>
              </w:rPr>
              <w:t xml:space="preserve">Number and proportion of clients with an identified need for services who were not provided or referred to those services, split by accommodation and other services </w:t>
            </w:r>
          </w:p>
          <w:p w14:paraId="326E257E" w14:textId="77777777" w:rsidR="00AD5C59" w:rsidRPr="004C17DD" w:rsidRDefault="00AD5C59" w:rsidP="52877A36">
            <w:pPr>
              <w:pStyle w:val="Tableformat"/>
              <w:numPr>
                <w:ilvl w:val="0"/>
                <w:numId w:val="4"/>
              </w:numPr>
              <w:rPr>
                <w:color w:val="auto"/>
              </w:rPr>
            </w:pPr>
            <w:r w:rsidRPr="52877A36">
              <w:rPr>
                <w:rFonts w:cstheme="minorBidi"/>
                <w:color w:val="auto"/>
              </w:rPr>
              <w:t>Number and proportion of clients at risk of homelessness who receive assistance and avoid homelessness</w:t>
            </w:r>
          </w:p>
          <w:p w14:paraId="46A12951" w14:textId="77777777" w:rsidR="00AD5C59" w:rsidRPr="004C17DD" w:rsidRDefault="00AD5C59" w:rsidP="00014894">
            <w:pPr>
              <w:pStyle w:val="Tableformat"/>
              <w:numPr>
                <w:ilvl w:val="0"/>
                <w:numId w:val="4"/>
              </w:numPr>
              <w:rPr>
                <w:color w:val="auto"/>
              </w:rPr>
            </w:pPr>
            <w:r w:rsidRPr="004C17DD">
              <w:rPr>
                <w:rFonts w:cstheme="minorHAnsi"/>
                <w:color w:val="auto"/>
                <w:szCs w:val="23"/>
              </w:rPr>
              <w:t>Number and proportion of clients who return to homelessness after achieving housing </w:t>
            </w:r>
          </w:p>
          <w:p w14:paraId="2FBADA66" w14:textId="77777777" w:rsidR="00AD5C59" w:rsidRPr="00235FC3" w:rsidRDefault="00AD5C59" w:rsidP="00014894">
            <w:pPr>
              <w:pStyle w:val="Tableformat"/>
              <w:rPr>
                <w:i/>
                <w:color w:val="auto"/>
              </w:rPr>
            </w:pPr>
          </w:p>
          <w:p w14:paraId="2E5949F5" w14:textId="77777777" w:rsidR="00AD5C59" w:rsidRPr="00235FC3" w:rsidRDefault="00AD5C59" w:rsidP="00014894">
            <w:pPr>
              <w:pStyle w:val="Tableformat"/>
              <w:rPr>
                <w:i/>
                <w:color w:val="auto"/>
              </w:rPr>
            </w:pPr>
            <w:r w:rsidRPr="00235FC3">
              <w:rPr>
                <w:i/>
                <w:color w:val="auto"/>
              </w:rPr>
              <w:t>Social housing</w:t>
            </w:r>
          </w:p>
          <w:p w14:paraId="3276F9BF" w14:textId="77777777" w:rsidR="00AD5C59" w:rsidRPr="004B513F" w:rsidRDefault="00AD5C59" w:rsidP="52877A36">
            <w:pPr>
              <w:pStyle w:val="Tableformat"/>
              <w:numPr>
                <w:ilvl w:val="0"/>
                <w:numId w:val="4"/>
              </w:numPr>
              <w:rPr>
                <w:rFonts w:cstheme="minorBidi"/>
                <w:color w:val="auto"/>
              </w:rPr>
            </w:pPr>
            <w:r w:rsidRPr="52877A36">
              <w:rPr>
                <w:rFonts w:cstheme="minorBidi"/>
                <w:color w:val="auto"/>
              </w:rPr>
              <w:t>Number of social housing dwellings at 30 June: public housing, SOMIH, community housing and Indigenous community housing, all programs</w:t>
            </w:r>
          </w:p>
          <w:p w14:paraId="1957E1A4" w14:textId="77777777" w:rsidR="00AD5C59" w:rsidRPr="00CE446F" w:rsidRDefault="00AD5C59" w:rsidP="00014894">
            <w:pPr>
              <w:pStyle w:val="Tableformat"/>
              <w:numPr>
                <w:ilvl w:val="0"/>
                <w:numId w:val="4"/>
              </w:numPr>
              <w:rPr>
                <w:color w:val="auto"/>
                <w:lang w:val="en-AU"/>
              </w:rPr>
            </w:pPr>
            <w:r w:rsidRPr="004B513F">
              <w:rPr>
                <w:rFonts w:cstheme="minorHAnsi"/>
                <w:color w:val="auto"/>
                <w:szCs w:val="23"/>
              </w:rPr>
              <w:lastRenderedPageBreak/>
              <w:t>Chang</w:t>
            </w:r>
            <w:r w:rsidRPr="00CE446F">
              <w:rPr>
                <w:color w:val="auto"/>
                <w:lang w:val="en-AU"/>
              </w:rPr>
              <w:t>e in the number of social housing dwellings from previous year</w:t>
            </w:r>
          </w:p>
          <w:p w14:paraId="5B780E78" w14:textId="77777777" w:rsidR="00AD5C59" w:rsidRDefault="00AD5C59" w:rsidP="00014894">
            <w:pPr>
              <w:pStyle w:val="Tableformat"/>
              <w:numPr>
                <w:ilvl w:val="0"/>
                <w:numId w:val="4"/>
              </w:numPr>
              <w:rPr>
                <w:color w:val="auto"/>
                <w:lang w:val="en-AU"/>
              </w:rPr>
            </w:pPr>
            <w:r w:rsidRPr="00091CC5">
              <w:rPr>
                <w:color w:val="auto"/>
                <w:lang w:val="en-AU"/>
              </w:rPr>
              <w:t>Proportion of overcrowded households: public housing, SOMIH, community housing and Indigenous community housing, all programs</w:t>
            </w:r>
          </w:p>
          <w:p w14:paraId="27CFECC9" w14:textId="77777777" w:rsidR="00AD5C59" w:rsidRPr="00091CC5" w:rsidRDefault="00AD5C59" w:rsidP="00014894">
            <w:pPr>
              <w:pStyle w:val="Tableformat"/>
              <w:numPr>
                <w:ilvl w:val="0"/>
                <w:numId w:val="4"/>
              </w:numPr>
              <w:rPr>
                <w:color w:val="auto"/>
                <w:lang w:val="en-AU"/>
              </w:rPr>
            </w:pPr>
            <w:r w:rsidRPr="00091CC5">
              <w:rPr>
                <w:color w:val="auto"/>
                <w:lang w:val="en-AU"/>
              </w:rPr>
              <w:t>Proportion of households with at least four working facilities and not more than two major structural problems: public housing, SOMIH, community housing and Indigenous community housing, all programs</w:t>
            </w:r>
          </w:p>
          <w:p w14:paraId="6EBB90AA" w14:textId="77777777" w:rsidR="00AD5C59" w:rsidRDefault="00AD5C59" w:rsidP="00014894">
            <w:pPr>
              <w:pStyle w:val="Tableformat"/>
              <w:rPr>
                <w:color w:val="auto"/>
              </w:rPr>
            </w:pPr>
          </w:p>
          <w:p w14:paraId="2CA9CC0F" w14:textId="77777777" w:rsidR="00AD5C59" w:rsidRDefault="00AD5C59" w:rsidP="00014894">
            <w:pPr>
              <w:pStyle w:val="Tableformat"/>
              <w:rPr>
                <w:b/>
                <w:color w:val="auto"/>
              </w:rPr>
            </w:pPr>
            <w:r>
              <w:rPr>
                <w:b/>
                <w:color w:val="auto"/>
              </w:rPr>
              <w:t>Other</w:t>
            </w:r>
            <w:r w:rsidRPr="009A633B">
              <w:rPr>
                <w:b/>
                <w:color w:val="auto"/>
              </w:rPr>
              <w:t xml:space="preserve"> reporting</w:t>
            </w:r>
            <w:r>
              <w:rPr>
                <w:b/>
                <w:color w:val="auto"/>
              </w:rPr>
              <w:t xml:space="preserve"> (including any non-compulsory measures)</w:t>
            </w:r>
          </w:p>
          <w:p w14:paraId="0906307F" w14:textId="77777777" w:rsidR="00AD5C59" w:rsidRPr="00723388" w:rsidRDefault="00AD5C59" w:rsidP="00014894">
            <w:pPr>
              <w:pStyle w:val="Tableformat"/>
              <w:rPr>
                <w:color w:val="auto"/>
              </w:rPr>
            </w:pPr>
            <w:r w:rsidRPr="00723388">
              <w:rPr>
                <w:color w:val="auto"/>
              </w:rPr>
              <w:t>Victoria reports publicly on key social housing and homelessness measures. This information is contained in the following documents, which are released annually:</w:t>
            </w:r>
          </w:p>
          <w:p w14:paraId="4D7F31D5" w14:textId="77777777" w:rsidR="00AD5C59" w:rsidRPr="00723388" w:rsidRDefault="00AD5C59" w:rsidP="00014894">
            <w:pPr>
              <w:pStyle w:val="Tableformat"/>
              <w:numPr>
                <w:ilvl w:val="0"/>
                <w:numId w:val="4"/>
              </w:numPr>
              <w:rPr>
                <w:color w:val="auto"/>
              </w:rPr>
            </w:pPr>
            <w:r w:rsidRPr="00723388">
              <w:rPr>
                <w:color w:val="auto"/>
              </w:rPr>
              <w:t>Victorian Government Budget Papers (usually released in May each year)</w:t>
            </w:r>
          </w:p>
          <w:p w14:paraId="23A78CFA" w14:textId="77777777" w:rsidR="00AD5C59" w:rsidRPr="00723388" w:rsidRDefault="00AD5C59" w:rsidP="52877A36">
            <w:pPr>
              <w:pStyle w:val="Tableformat"/>
              <w:numPr>
                <w:ilvl w:val="0"/>
                <w:numId w:val="4"/>
              </w:numPr>
              <w:rPr>
                <w:color w:val="auto"/>
              </w:rPr>
            </w:pPr>
            <w:r w:rsidRPr="00723388">
              <w:rPr>
                <w:color w:val="auto"/>
              </w:rPr>
              <w:t>Department of Families, Fairness and Housing Annual Report (tabled in the Victorian Parliament following the end of the financial year)</w:t>
            </w:r>
          </w:p>
          <w:p w14:paraId="6DD80911" w14:textId="77777777" w:rsidR="00AD5C59" w:rsidRPr="00723388" w:rsidRDefault="00AD5C59" w:rsidP="00014894">
            <w:pPr>
              <w:pStyle w:val="Tableformat"/>
              <w:numPr>
                <w:ilvl w:val="0"/>
                <w:numId w:val="4"/>
              </w:numPr>
              <w:rPr>
                <w:color w:val="auto"/>
              </w:rPr>
            </w:pPr>
            <w:r w:rsidRPr="00723388">
              <w:rPr>
                <w:color w:val="auto"/>
              </w:rPr>
              <w:t>Report on Government Services (produced by the Productivity Commission, usually released in January each year)</w:t>
            </w:r>
          </w:p>
          <w:p w14:paraId="13E0BE80" w14:textId="77777777" w:rsidR="00AD5C59" w:rsidRPr="00723388" w:rsidRDefault="00AD5C59" w:rsidP="00014894">
            <w:pPr>
              <w:pStyle w:val="Tableformat"/>
              <w:numPr>
                <w:ilvl w:val="0"/>
                <w:numId w:val="4"/>
              </w:numPr>
              <w:rPr>
                <w:color w:val="auto"/>
              </w:rPr>
            </w:pPr>
            <w:r w:rsidRPr="00723388">
              <w:rPr>
                <w:color w:val="auto"/>
              </w:rPr>
              <w:t>Specialist Homelessness Services Annual Report (produced by the Australian Institute of Health and Welfare)</w:t>
            </w:r>
          </w:p>
          <w:p w14:paraId="2FF8E894" w14:textId="77777777" w:rsidR="00AD5C59" w:rsidRPr="00723388" w:rsidRDefault="00AD5C59" w:rsidP="00014894">
            <w:pPr>
              <w:pStyle w:val="Tableformat"/>
              <w:ind w:left="820"/>
              <w:rPr>
                <w:color w:val="auto"/>
              </w:rPr>
            </w:pPr>
          </w:p>
          <w:p w14:paraId="7AFF3274" w14:textId="28F51988" w:rsidR="00AD5C59" w:rsidRPr="00235FC3" w:rsidRDefault="00AD5C59" w:rsidP="00014894">
            <w:pPr>
              <w:pStyle w:val="Tableformat"/>
              <w:rPr>
                <w:color w:val="auto"/>
              </w:rPr>
            </w:pPr>
            <w:r w:rsidRPr="00723388">
              <w:rPr>
                <w:color w:val="auto"/>
              </w:rPr>
              <w:t>Any changes to the reporting arrangements will be agreed by parties to the bilateral schedule (the Commonwealth and Victoria).</w:t>
            </w:r>
          </w:p>
          <w:p w14:paraId="2B3F914A" w14:textId="77777777" w:rsidR="00AD5C59" w:rsidRPr="00235FC3" w:rsidRDefault="00AD5C59" w:rsidP="00014894">
            <w:pPr>
              <w:pStyle w:val="Tableformat"/>
              <w:rPr>
                <w:color w:val="44546A" w:themeColor="text2"/>
                <w:lang w:val="en-AU"/>
              </w:rPr>
            </w:pPr>
          </w:p>
          <w:p w14:paraId="40B5952E" w14:textId="77777777" w:rsidR="00AD5C59" w:rsidRPr="00235FC3" w:rsidRDefault="00AD5C59" w:rsidP="00014894">
            <w:pPr>
              <w:pStyle w:val="Tableformat"/>
              <w:rPr>
                <w:b/>
                <w:color w:val="auto"/>
              </w:rPr>
            </w:pPr>
            <w:r w:rsidRPr="00235FC3">
              <w:rPr>
                <w:b/>
                <w:color w:val="auto"/>
              </w:rPr>
              <w:t>Statements of Assurance</w:t>
            </w:r>
          </w:p>
          <w:p w14:paraId="1128E2A0" w14:textId="6B4687DA" w:rsidR="00AD5C59" w:rsidRPr="00235FC3" w:rsidRDefault="00AD5C59" w:rsidP="00014894">
            <w:pPr>
              <w:pStyle w:val="Tableformat"/>
              <w:rPr>
                <w:b/>
                <w:color w:val="auto"/>
              </w:rPr>
            </w:pPr>
            <w:r>
              <w:rPr>
                <w:color w:val="auto"/>
                <w:lang w:val="en-AU"/>
              </w:rPr>
              <w:t>Victoria</w:t>
            </w:r>
            <w:r w:rsidRPr="004C17DD">
              <w:rPr>
                <w:color w:val="auto"/>
                <w:lang w:val="en-AU"/>
              </w:rPr>
              <w:t xml:space="preserve"> will report annually </w:t>
            </w:r>
            <w:r>
              <w:rPr>
                <w:color w:val="auto"/>
                <w:lang w:val="en-AU"/>
              </w:rPr>
              <w:t xml:space="preserve">on </w:t>
            </w:r>
            <w:r w:rsidRPr="004C17DD">
              <w:rPr>
                <w:color w:val="auto"/>
                <w:lang w:val="en-AU"/>
              </w:rPr>
              <w:t>how they have met the requirements of the Agreement</w:t>
            </w:r>
            <w:r w:rsidR="00723388">
              <w:rPr>
                <w:color w:val="auto"/>
                <w:lang w:val="en-AU"/>
              </w:rPr>
              <w:t xml:space="preserve"> using the template in the Agreement</w:t>
            </w:r>
            <w:r>
              <w:rPr>
                <w:color w:val="auto"/>
                <w:lang w:val="en-AU"/>
              </w:rPr>
              <w:t xml:space="preserve"> (Schedule B). </w:t>
            </w:r>
            <w:r w:rsidRPr="00FE00A2">
              <w:rPr>
                <w:color w:val="auto"/>
                <w:lang w:val="en-AU"/>
              </w:rPr>
              <w:t>Where possible, this will draw from existing reporting to ensure no duplication of effort and reduce burden on service delivery providers. The annual statement of assurance may also refer to publicly available documents</w:t>
            </w:r>
            <w:r w:rsidR="00FE7C1C">
              <w:rPr>
                <w:color w:val="auto"/>
                <w:lang w:val="en-AU"/>
              </w:rPr>
              <w:t xml:space="preserve"> where this information is clearly specified, and the location of the data point requested</w:t>
            </w:r>
            <w:r w:rsidR="00DF0230">
              <w:rPr>
                <w:color w:val="auto"/>
                <w:lang w:val="en-AU"/>
              </w:rPr>
              <w:t xml:space="preserve"> provided</w:t>
            </w:r>
            <w:r w:rsidRPr="00FE00A2">
              <w:rPr>
                <w:color w:val="auto"/>
                <w:lang w:val="en-AU"/>
              </w:rPr>
              <w:t>.</w:t>
            </w:r>
            <w:r w:rsidRPr="00FE00A2" w:rsidDel="00C62B0F">
              <w:rPr>
                <w:color w:val="auto"/>
                <w:lang w:val="en-AU"/>
              </w:rPr>
              <w:t xml:space="preserve"> </w:t>
            </w:r>
          </w:p>
        </w:tc>
      </w:tr>
      <w:tr w:rsidR="00AD5C59" w:rsidRPr="00F00A18" w14:paraId="148709F1" w14:textId="77777777" w:rsidTr="52877A36">
        <w:trPr>
          <w:trHeight w:val="1540"/>
        </w:trPr>
        <w:tc>
          <w:tcPr>
            <w:tcW w:w="1499" w:type="dxa"/>
            <w:shd w:val="clear" w:color="auto" w:fill="auto"/>
          </w:tcPr>
          <w:p w14:paraId="30712119" w14:textId="44E9F25B" w:rsidR="00AD5C59" w:rsidRPr="00F00A18" w:rsidRDefault="00AD5C59" w:rsidP="00014894">
            <w:pPr>
              <w:pStyle w:val="Tableformat"/>
              <w:rPr>
                <w:color w:val="auto"/>
              </w:rPr>
            </w:pPr>
            <w:r w:rsidRPr="00F00A18">
              <w:rPr>
                <w:color w:val="auto"/>
              </w:rPr>
              <w:lastRenderedPageBreak/>
              <w:t>Additional terms</w:t>
            </w:r>
          </w:p>
        </w:tc>
        <w:tc>
          <w:tcPr>
            <w:tcW w:w="8130" w:type="dxa"/>
            <w:shd w:val="clear" w:color="auto" w:fill="auto"/>
          </w:tcPr>
          <w:p w14:paraId="7F0F99AA" w14:textId="77777777" w:rsidR="00AD5C59" w:rsidRPr="00F00A18" w:rsidRDefault="00AD5C59" w:rsidP="52877A36">
            <w:pPr>
              <w:pStyle w:val="Tableformat"/>
              <w:rPr>
                <w:i/>
                <w:color w:val="auto"/>
              </w:rPr>
            </w:pPr>
            <w:r w:rsidRPr="52877A36">
              <w:rPr>
                <w:color w:val="auto"/>
              </w:rPr>
              <w:t xml:space="preserve">This Schedule is an agreement that is a supplementary housing agreement for the purposes of Section 15C of the </w:t>
            </w:r>
            <w:r w:rsidRPr="52877A36">
              <w:rPr>
                <w:i/>
                <w:color w:val="auto"/>
              </w:rPr>
              <w:t xml:space="preserve">Federal Financial Relations Act 2009 </w:t>
            </w:r>
            <w:r w:rsidRPr="52877A36">
              <w:rPr>
                <w:color w:val="auto"/>
              </w:rPr>
              <w:t>(Cth) (the FFR Act) (Clause 9 of the primary agreement refers).</w:t>
            </w:r>
          </w:p>
        </w:tc>
      </w:tr>
    </w:tbl>
    <w:p w14:paraId="1B952DB5" w14:textId="77777777" w:rsidR="00AD5C59" w:rsidRDefault="00AD5C59" w:rsidP="00AD5C59">
      <w:pPr>
        <w:rPr>
          <w:lang w:val="en-GB"/>
        </w:rPr>
      </w:pPr>
      <w:r>
        <w:br/>
      </w:r>
    </w:p>
    <w:p w14:paraId="45073359" w14:textId="77777777" w:rsidR="00AD5C59" w:rsidRDefault="00AD5C59" w:rsidP="00AD5C59">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r>
        <w:rPr>
          <w:lang w:val="en-GB"/>
        </w:rPr>
        <w:br/>
      </w:r>
    </w:p>
    <w:tbl>
      <w:tblPr>
        <w:tblW w:w="5000" w:type="pct"/>
        <w:jc w:val="center"/>
        <w:tblLook w:val="01E0" w:firstRow="1" w:lastRow="1" w:firstColumn="1" w:lastColumn="1" w:noHBand="0" w:noVBand="0"/>
      </w:tblPr>
      <w:tblGrid>
        <w:gridCol w:w="3903"/>
        <w:gridCol w:w="1220"/>
        <w:gridCol w:w="3903"/>
      </w:tblGrid>
      <w:tr w:rsidR="005C2B69" w:rsidRPr="00A50751" w14:paraId="02B7D71F" w14:textId="77777777" w:rsidTr="005C2B69">
        <w:trPr>
          <w:cantSplit/>
          <w:trHeight w:val="2234"/>
          <w:jc w:val="center"/>
        </w:trPr>
        <w:tc>
          <w:tcPr>
            <w:tcW w:w="2162" w:type="pct"/>
          </w:tcPr>
          <w:p w14:paraId="37653228" w14:textId="77777777" w:rsidR="005C2B69" w:rsidRDefault="005C2B69" w:rsidP="005C2B69">
            <w:pPr>
              <w:pStyle w:val="Signed"/>
            </w:pPr>
            <w:r w:rsidRPr="003D33F9">
              <w:rPr>
                <w:rStyle w:val="SignedBold"/>
              </w:rPr>
              <w:t>Signed</w:t>
            </w:r>
            <w:r w:rsidRPr="003D33F9">
              <w:t xml:space="preserve"> for and on behalf of the Commonwealth of Australia by</w:t>
            </w:r>
          </w:p>
          <w:p w14:paraId="750E68D3" w14:textId="77777777" w:rsidR="005C2B69" w:rsidRPr="003D33F9" w:rsidRDefault="005C2B69" w:rsidP="005C2B69">
            <w:pPr>
              <w:pStyle w:val="Signed"/>
            </w:pPr>
          </w:p>
          <w:p w14:paraId="4041F4CF" w14:textId="77777777" w:rsidR="005C2B69" w:rsidRPr="003D33F9" w:rsidRDefault="005C2B69" w:rsidP="005C2B69">
            <w:pPr>
              <w:pStyle w:val="LineForSignature"/>
            </w:pPr>
            <w:r w:rsidRPr="003D33F9">
              <w:tab/>
            </w:r>
          </w:p>
          <w:p w14:paraId="3D597F98" w14:textId="77777777" w:rsidR="005C2B69" w:rsidRPr="003D33F9" w:rsidRDefault="005C2B69" w:rsidP="005C2B69">
            <w:pPr>
              <w:pStyle w:val="SingleParagraph"/>
              <w:rPr>
                <w:rStyle w:val="Bold"/>
              </w:rPr>
            </w:pPr>
            <w:r w:rsidRPr="003D33F9">
              <w:rPr>
                <w:rStyle w:val="Bold"/>
              </w:rPr>
              <w:t>The Honourable Julie Collins MP</w:t>
            </w:r>
          </w:p>
          <w:p w14:paraId="2D80AE41" w14:textId="77777777" w:rsidR="005C2B69" w:rsidRPr="003D33F9" w:rsidRDefault="005C2B69" w:rsidP="005C2B69">
            <w:pPr>
              <w:pStyle w:val="Position"/>
              <w:jc w:val="left"/>
              <w:rPr>
                <w:lang w:val="en-GB"/>
              </w:rPr>
            </w:pPr>
            <w:r w:rsidRPr="003D33F9">
              <w:rPr>
                <w:lang w:val="en-GB"/>
              </w:rPr>
              <w:t xml:space="preserve">Minister for Housing </w:t>
            </w:r>
            <w:r w:rsidRPr="003D33F9">
              <w:rPr>
                <w:lang w:val="en-GB"/>
              </w:rPr>
              <w:br/>
              <w:t>Minister for Homelessness</w:t>
            </w:r>
          </w:p>
          <w:p w14:paraId="72880FBC" w14:textId="3CA9CAC1" w:rsidR="005C2B69" w:rsidRDefault="005C2B69" w:rsidP="005C2B69">
            <w:pPr>
              <w:pStyle w:val="SingleParagraph"/>
              <w:tabs>
                <w:tab w:val="num" w:pos="1134"/>
              </w:tabs>
              <w:spacing w:after="240"/>
              <w:rPr>
                <w:b/>
                <w:lang w:val="en-GB"/>
              </w:rPr>
            </w:pPr>
            <w:r w:rsidRPr="003D33F9">
              <w:rPr>
                <w:lang w:val="en-GB"/>
              </w:rPr>
              <w:t>[         ]  [         ]  [         ]</w:t>
            </w:r>
          </w:p>
        </w:tc>
        <w:tc>
          <w:tcPr>
            <w:tcW w:w="676" w:type="pct"/>
            <w:tcMar>
              <w:left w:w="0" w:type="dxa"/>
              <w:right w:w="0" w:type="dxa"/>
            </w:tcMar>
          </w:tcPr>
          <w:p w14:paraId="68D098AE" w14:textId="77777777" w:rsidR="005C2B69" w:rsidRPr="00A50751" w:rsidRDefault="005C2B69" w:rsidP="005C2B69">
            <w:pPr>
              <w:rPr>
                <w:rFonts w:ascii="Book Antiqua" w:hAnsi="Book Antiqua"/>
                <w:lang w:val="en-GB"/>
              </w:rPr>
            </w:pPr>
          </w:p>
        </w:tc>
        <w:tc>
          <w:tcPr>
            <w:tcW w:w="2162" w:type="pct"/>
          </w:tcPr>
          <w:p w14:paraId="5F7A9CE3" w14:textId="77777777" w:rsidR="005C2B69" w:rsidRDefault="005C2B69" w:rsidP="005C2B69">
            <w:pPr>
              <w:pStyle w:val="Signed"/>
            </w:pPr>
            <w:r w:rsidRPr="003D33F9">
              <w:rPr>
                <w:rStyle w:val="SignedBold"/>
              </w:rPr>
              <w:t>Signed</w:t>
            </w:r>
            <w:r w:rsidRPr="003D33F9">
              <w:t xml:space="preserve"> for and on behalf of the</w:t>
            </w:r>
            <w:r w:rsidRPr="003D33F9">
              <w:br/>
              <w:t>State of Victoria by</w:t>
            </w:r>
          </w:p>
          <w:p w14:paraId="42CEC4BA" w14:textId="77777777" w:rsidR="005C2B69" w:rsidRPr="003D33F9" w:rsidRDefault="005C2B69" w:rsidP="005C2B69">
            <w:pPr>
              <w:pStyle w:val="Signed"/>
            </w:pPr>
          </w:p>
          <w:p w14:paraId="7DE19790" w14:textId="77777777" w:rsidR="005C2B69" w:rsidRPr="003D33F9" w:rsidRDefault="005C2B69" w:rsidP="005C2B69">
            <w:pPr>
              <w:pStyle w:val="LineForSignature"/>
            </w:pPr>
            <w:r w:rsidRPr="003D33F9">
              <w:tab/>
            </w:r>
          </w:p>
          <w:p w14:paraId="52806D1E" w14:textId="77777777" w:rsidR="005C2B69" w:rsidRPr="003D33F9" w:rsidRDefault="005C2B69" w:rsidP="005C2B69">
            <w:pPr>
              <w:pStyle w:val="SingleParagraph"/>
              <w:rPr>
                <w:rStyle w:val="Bold"/>
              </w:rPr>
            </w:pPr>
            <w:r w:rsidRPr="003D33F9">
              <w:rPr>
                <w:rStyle w:val="Bold"/>
              </w:rPr>
              <w:t>The Honourable Harriet Shing MP</w:t>
            </w:r>
          </w:p>
          <w:p w14:paraId="23E6F0D7" w14:textId="77777777" w:rsidR="005C2B69" w:rsidRPr="003D33F9" w:rsidRDefault="005C2B69" w:rsidP="005C2B69">
            <w:pPr>
              <w:pStyle w:val="Position"/>
              <w:rPr>
                <w:lang w:val="en-GB"/>
              </w:rPr>
            </w:pPr>
            <w:r w:rsidRPr="003D33F9">
              <w:rPr>
                <w:lang w:val="en-GB"/>
              </w:rPr>
              <w:t xml:space="preserve">Minister for Housing </w:t>
            </w:r>
          </w:p>
          <w:p w14:paraId="450C44CA" w14:textId="6DB232E2" w:rsidR="005C2B69" w:rsidRPr="00620395" w:rsidRDefault="005C2B69" w:rsidP="005C2B69">
            <w:pPr>
              <w:rPr>
                <w:rFonts w:ascii="Book Antiqua" w:hAnsi="Book Antiqua"/>
                <w:highlight w:val="yellow"/>
                <w:lang w:val="en-GB"/>
              </w:rPr>
            </w:pPr>
            <w:r w:rsidRPr="003D33F9">
              <w:rPr>
                <w:lang w:val="en-GB"/>
              </w:rPr>
              <w:t>[         ]  [         ]  [         ]</w:t>
            </w:r>
          </w:p>
        </w:tc>
      </w:tr>
      <w:bookmarkEnd w:id="0"/>
    </w:tbl>
    <w:p w14:paraId="61C47CA7" w14:textId="77777777" w:rsidR="00AD5C59" w:rsidRPr="00FA50AC" w:rsidRDefault="00AD5C59" w:rsidP="00AD5C59">
      <w:pPr>
        <w:pStyle w:val="AlphaParagraph"/>
        <w:tabs>
          <w:tab w:val="clear" w:pos="0"/>
          <w:tab w:val="clear" w:pos="283"/>
          <w:tab w:val="clear" w:pos="567"/>
          <w:tab w:val="clear" w:pos="1134"/>
          <w:tab w:val="clear" w:pos="1418"/>
          <w:tab w:val="clear" w:pos="1701"/>
        </w:tabs>
        <w:ind w:left="0" w:firstLine="0"/>
        <w:jc w:val="left"/>
        <w:rPr>
          <w:rFonts w:cs="Corbel"/>
          <w:color w:val="auto"/>
        </w:rPr>
      </w:pPr>
    </w:p>
    <w:p w14:paraId="7DE67C23" w14:textId="77777777" w:rsidR="00030DB8" w:rsidRPr="00AD5C59" w:rsidRDefault="00030DB8" w:rsidP="00AD5C59"/>
    <w:sectPr w:rsidR="00030DB8" w:rsidRPr="00AD5C59" w:rsidSect="008B7A60">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2D23" w14:textId="77777777" w:rsidR="00D848B8" w:rsidRDefault="00D848B8">
      <w:r>
        <w:separator/>
      </w:r>
    </w:p>
  </w:endnote>
  <w:endnote w:type="continuationSeparator" w:id="0">
    <w:p w14:paraId="2A4913B6" w14:textId="77777777" w:rsidR="00D848B8" w:rsidRDefault="00D848B8">
      <w:r>
        <w:continuationSeparator/>
      </w:r>
    </w:p>
  </w:endnote>
  <w:endnote w:type="continuationNotice" w:id="1">
    <w:p w14:paraId="3F0DEA77" w14:textId="77777777" w:rsidR="00D848B8" w:rsidRDefault="00D8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5F81" w14:textId="1676F752" w:rsidR="0007014A" w:rsidRDefault="0007014A">
    <w:pPr>
      <w:pStyle w:val="Footer"/>
    </w:pPr>
    <w:r>
      <w:rPr>
        <w:noProof/>
      </w:rPr>
      <mc:AlternateContent>
        <mc:Choice Requires="wps">
          <w:drawing>
            <wp:anchor distT="0" distB="0" distL="0" distR="0" simplePos="0" relativeHeight="251657216" behindDoc="0" locked="0" layoutInCell="1" allowOverlap="1" wp14:anchorId="6CFAC6F3" wp14:editId="274865A2">
              <wp:simplePos x="635" y="635"/>
              <wp:positionH relativeFrom="page">
                <wp:align>center</wp:align>
              </wp:positionH>
              <wp:positionV relativeFrom="page">
                <wp:align>bottom</wp:align>
              </wp:positionV>
              <wp:extent cx="443865" cy="443865"/>
              <wp:effectExtent l="0" t="0" r="7620" b="0"/>
              <wp:wrapNone/>
              <wp:docPr id="733524113" name="Text Box 2"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71C7C" w14:textId="735CB230"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6CFAC6F3" id="_x0000_t202" coordsize="21600,21600" o:spt="202" path="m,l,21600r21600,l21600,xe">
              <v:stroke joinstyle="miter"/>
              <v:path gradientshapeok="t" o:connecttype="rect"/>
            </v:shapetype>
            <v:shape id="_x0000_s1027" type="#_x0000_t202" alt="OFFICIAL: Sensitive"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D871C7C" w14:textId="735CB230"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BCCB" w14:textId="1DF1FA50" w:rsidR="0007014A" w:rsidRDefault="0007014A">
    <w:pPr>
      <w:pStyle w:val="Footer"/>
    </w:pPr>
    <w:r>
      <w:rPr>
        <w:noProof/>
      </w:rPr>
      <mc:AlternateContent>
        <mc:Choice Requires="wps">
          <w:drawing>
            <wp:anchor distT="0" distB="0" distL="0" distR="0" simplePos="0" relativeHeight="251658240" behindDoc="0" locked="0" layoutInCell="1" allowOverlap="1" wp14:anchorId="671C9DE3" wp14:editId="4363BAAE">
              <wp:simplePos x="724395" y="10070275"/>
              <wp:positionH relativeFrom="page">
                <wp:align>center</wp:align>
              </wp:positionH>
              <wp:positionV relativeFrom="page">
                <wp:align>bottom</wp:align>
              </wp:positionV>
              <wp:extent cx="443865" cy="443865"/>
              <wp:effectExtent l="0" t="0" r="7620" b="0"/>
              <wp:wrapNone/>
              <wp:docPr id="2091930823" name="Text Box 3"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43F24E" w14:textId="40B3790C"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671C9DE3" id="_x0000_t202" coordsize="21600,21600" o:spt="202" path="m,l,21600r21600,l21600,xe">
              <v:stroke joinstyle="miter"/>
              <v:path gradientshapeok="t" o:connecttype="rect"/>
            </v:shapetype>
            <v:shape id="Text Box 3" o:spid="_x0000_s1028" type="#_x0000_t202" alt="OFFICIAL: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343F24E" w14:textId="40B3790C"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B184" w14:textId="4752E1DB" w:rsidR="0007014A" w:rsidRDefault="0007014A">
    <w:pPr>
      <w:pStyle w:val="Footer"/>
    </w:pPr>
    <w:r>
      <w:rPr>
        <w:noProof/>
      </w:rPr>
      <mc:AlternateContent>
        <mc:Choice Requires="wps">
          <w:drawing>
            <wp:anchor distT="0" distB="0" distL="0" distR="0" simplePos="0" relativeHeight="251656192" behindDoc="0" locked="0" layoutInCell="1" allowOverlap="1" wp14:anchorId="51AF6F37" wp14:editId="329181F0">
              <wp:simplePos x="724395" y="10070275"/>
              <wp:positionH relativeFrom="page">
                <wp:align>center</wp:align>
              </wp:positionH>
              <wp:positionV relativeFrom="page">
                <wp:align>bottom</wp:align>
              </wp:positionV>
              <wp:extent cx="443865" cy="443865"/>
              <wp:effectExtent l="0" t="0" r="7620" b="0"/>
              <wp:wrapNone/>
              <wp:docPr id="1753798768" name="Text Box 1"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C780A" w14:textId="0E76228E"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51AF6F37" id="_x0000_t202" coordsize="21600,21600" o:spt="202" path="m,l,21600r21600,l21600,xe">
              <v:stroke joinstyle="miter"/>
              <v:path gradientshapeok="t" o:connecttype="rect"/>
            </v:shapetype>
            <v:shape id="Text Box 1" o:spid="_x0000_s1029" type="#_x0000_t202" alt="OFFICIAL: Sensitive"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85C780A" w14:textId="0E76228E" w:rsidR="0007014A" w:rsidRPr="0007014A" w:rsidRDefault="0007014A" w:rsidP="0007014A">
                    <w:pPr>
                      <w:rPr>
                        <w:rFonts w:ascii="Arial Black" w:eastAsia="Arial Black" w:hAnsi="Arial Black" w:cs="Arial Black"/>
                        <w:noProof/>
                        <w:color w:val="E4100E"/>
                        <w:sz w:val="20"/>
                        <w:szCs w:val="20"/>
                      </w:rPr>
                    </w:pPr>
                    <w:r w:rsidRPr="0007014A">
                      <w:rPr>
                        <w:rFonts w:ascii="Arial Black" w:eastAsia="Arial Black" w:hAnsi="Arial Black" w:cs="Arial Black"/>
                        <w:noProof/>
                        <w:color w:val="E4100E"/>
                        <w:sz w:val="20"/>
                        <w:szCs w:val="2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5160" w14:textId="77777777" w:rsidR="00D848B8" w:rsidRDefault="00D848B8">
      <w:r>
        <w:separator/>
      </w:r>
    </w:p>
  </w:footnote>
  <w:footnote w:type="continuationSeparator" w:id="0">
    <w:p w14:paraId="1B57A51C" w14:textId="77777777" w:rsidR="00D848B8" w:rsidRDefault="00D848B8">
      <w:r>
        <w:continuationSeparator/>
      </w:r>
    </w:p>
  </w:footnote>
  <w:footnote w:type="continuationNotice" w:id="1">
    <w:p w14:paraId="3E5ABCC4" w14:textId="77777777" w:rsidR="00D848B8" w:rsidRDefault="00D848B8"/>
  </w:footnote>
  <w:footnote w:id="2">
    <w:p w14:paraId="68C2EED5" w14:textId="77777777" w:rsidR="00AD5C59" w:rsidRPr="008537A3" w:rsidRDefault="00AD5C59" w:rsidP="00AD5C59">
      <w:pPr>
        <w:pStyle w:val="FootnoteText"/>
        <w:rPr>
          <w:lang w:val="en-AU"/>
        </w:rPr>
      </w:pPr>
      <w:r>
        <w:rPr>
          <w:rStyle w:val="FootnoteReference"/>
        </w:rPr>
        <w:footnoteRef/>
      </w:r>
      <w:r>
        <w:t xml:space="preserve"> </w:t>
      </w:r>
      <w:r>
        <w:rPr>
          <w:lang w:val="en-AU"/>
        </w:rPr>
        <w:t xml:space="preserve">Victoria’s Housing Statement </w:t>
      </w:r>
      <w:hyperlink r:id="rId1" w:history="1">
        <w:r w:rsidRPr="00457A1A">
          <w:rPr>
            <w:rStyle w:val="Hyperlink"/>
          </w:rPr>
          <w:t>https://www.vic.gov.au/housing-statement</w:t>
        </w:r>
      </w:hyperlink>
      <w:r>
        <w:t xml:space="preserve"> </w:t>
      </w:r>
    </w:p>
  </w:footnote>
  <w:footnote w:id="3">
    <w:p w14:paraId="19515226" w14:textId="77777777" w:rsidR="00AD5C59" w:rsidRPr="00574A3F" w:rsidRDefault="00AD5C59" w:rsidP="00AD5C59">
      <w:pPr>
        <w:pStyle w:val="FootnoteText"/>
        <w:rPr>
          <w:lang w:val="en-AU"/>
        </w:rPr>
      </w:pPr>
      <w:r>
        <w:rPr>
          <w:rStyle w:val="FootnoteReference"/>
        </w:rPr>
        <w:footnoteRef/>
      </w:r>
      <w:r>
        <w:t xml:space="preserve"> </w:t>
      </w:r>
      <w:r>
        <w:rPr>
          <w:lang w:val="en-AU"/>
        </w:rPr>
        <w:t xml:space="preserve">Big Housing Build </w:t>
      </w:r>
      <w:hyperlink r:id="rId2" w:history="1">
        <w:r w:rsidRPr="00457A1A">
          <w:rPr>
            <w:rStyle w:val="Hyperlink"/>
            <w:lang w:val="en-AU"/>
          </w:rPr>
          <w:t>https://www.homes.vic.gov.au/big-housing-build</w:t>
        </w:r>
      </w:hyperlink>
      <w:r>
        <w:rPr>
          <w:lang w:val="en-AU"/>
        </w:rPr>
        <w:t xml:space="preserve"> </w:t>
      </w:r>
    </w:p>
  </w:footnote>
  <w:footnote w:id="4">
    <w:p w14:paraId="5FC93D71" w14:textId="77777777" w:rsidR="00AD5C59" w:rsidRPr="00AE6A27" w:rsidRDefault="00AD5C59" w:rsidP="00AD5C59">
      <w:pPr>
        <w:pStyle w:val="FootnoteText"/>
        <w:rPr>
          <w:lang w:val="en-AU"/>
        </w:rPr>
      </w:pPr>
      <w:r>
        <w:rPr>
          <w:rStyle w:val="FootnoteReference"/>
        </w:rPr>
        <w:footnoteRef/>
      </w:r>
      <w:r>
        <w:t xml:space="preserve"> </w:t>
      </w:r>
      <w:r>
        <w:rPr>
          <w:lang w:val="en-AU"/>
        </w:rPr>
        <w:t xml:space="preserve">Regional Housing Fund </w:t>
      </w:r>
      <w:hyperlink r:id="rId3" w:history="1">
        <w:r w:rsidRPr="00457A1A">
          <w:rPr>
            <w:rStyle w:val="Hyperlink"/>
            <w:lang w:val="en-AU"/>
          </w:rPr>
          <w:t>https://www.vic.gov.au/425600-new-homes-regional-victoria</w:t>
        </w:r>
      </w:hyperlink>
      <w:r>
        <w:rPr>
          <w:lang w:val="en-AU"/>
        </w:rPr>
        <w:t xml:space="preserve"> </w:t>
      </w:r>
    </w:p>
  </w:footnote>
  <w:footnote w:id="5">
    <w:p w14:paraId="4646F663" w14:textId="77777777" w:rsidR="00AD5C59" w:rsidRPr="00066EDF" w:rsidRDefault="00AD5C59" w:rsidP="00AD5C59">
      <w:pPr>
        <w:pStyle w:val="FootnoteText"/>
        <w:rPr>
          <w:lang w:val="en-AU"/>
        </w:rPr>
      </w:pPr>
      <w:r>
        <w:rPr>
          <w:rStyle w:val="FootnoteReference"/>
        </w:rPr>
        <w:footnoteRef/>
      </w:r>
      <w:r>
        <w:t xml:space="preserve"> </w:t>
      </w:r>
      <w:r>
        <w:rPr>
          <w:lang w:val="en-AU"/>
        </w:rPr>
        <w:t xml:space="preserve">Victorian Government response to the Inquiry into Homelessness in Victoria </w:t>
      </w:r>
      <w:hyperlink r:id="rId4" w:history="1">
        <w:r>
          <w:rPr>
            <w:rStyle w:val="Hyperlink"/>
          </w:rPr>
          <w:t>Victorian Government Response to the Parliamentary Inquiry into Homelessness in Victoria – final report</w:t>
        </w:r>
      </w:hyperlink>
    </w:p>
  </w:footnote>
  <w:footnote w:id="6">
    <w:p w14:paraId="66EDED30" w14:textId="771F032A" w:rsidR="000008A6" w:rsidRPr="000008A6" w:rsidRDefault="000008A6">
      <w:pPr>
        <w:pStyle w:val="FootnoteText"/>
        <w:rPr>
          <w:lang w:val="en-AU"/>
        </w:rPr>
      </w:pPr>
      <w:r>
        <w:rPr>
          <w:rStyle w:val="FootnoteReference"/>
        </w:rPr>
        <w:footnoteRef/>
      </w:r>
      <w:r>
        <w:t xml:space="preserve"> </w:t>
      </w:r>
      <w:r w:rsidR="006261DB" w:rsidRPr="006261DB">
        <w:t>Mana-na Woorn-Tyeen Maar-Takoort</w:t>
      </w:r>
      <w:r w:rsidR="006261DB">
        <w:t xml:space="preserve"> </w:t>
      </w:r>
      <w:hyperlink r:id="rId5" w:history="1">
        <w:r w:rsidR="006261DB" w:rsidRPr="00C9350C">
          <w:rPr>
            <w:rStyle w:val="Hyperlink"/>
          </w:rPr>
          <w:t>https://vahhf.org.au</w:t>
        </w:r>
      </w:hyperlink>
      <w:r w:rsidR="006261D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4E4D"/>
    <w:multiLevelType w:val="hybridMultilevel"/>
    <w:tmpl w:val="FFFFFFFF"/>
    <w:lvl w:ilvl="0" w:tplc="5CDA8DA8">
      <w:start w:val="1"/>
      <w:numFmt w:val="bullet"/>
      <w:lvlText w:val="·"/>
      <w:lvlJc w:val="left"/>
      <w:pPr>
        <w:ind w:left="720" w:hanging="360"/>
      </w:pPr>
      <w:rPr>
        <w:rFonts w:ascii="Symbol" w:hAnsi="Symbol" w:hint="default"/>
      </w:rPr>
    </w:lvl>
    <w:lvl w:ilvl="1" w:tplc="D95C59B4">
      <w:start w:val="1"/>
      <w:numFmt w:val="bullet"/>
      <w:lvlText w:val="o"/>
      <w:lvlJc w:val="left"/>
      <w:pPr>
        <w:ind w:left="1440" w:hanging="360"/>
      </w:pPr>
      <w:rPr>
        <w:rFonts w:ascii="Courier New" w:hAnsi="Courier New" w:hint="default"/>
      </w:rPr>
    </w:lvl>
    <w:lvl w:ilvl="2" w:tplc="C6F8A0B4">
      <w:start w:val="1"/>
      <w:numFmt w:val="bullet"/>
      <w:lvlText w:val=""/>
      <w:lvlJc w:val="left"/>
      <w:pPr>
        <w:ind w:left="2160" w:hanging="360"/>
      </w:pPr>
      <w:rPr>
        <w:rFonts w:ascii="Wingdings" w:hAnsi="Wingdings" w:hint="default"/>
      </w:rPr>
    </w:lvl>
    <w:lvl w:ilvl="3" w:tplc="89FE664E">
      <w:start w:val="1"/>
      <w:numFmt w:val="bullet"/>
      <w:lvlText w:val=""/>
      <w:lvlJc w:val="left"/>
      <w:pPr>
        <w:ind w:left="2880" w:hanging="360"/>
      </w:pPr>
      <w:rPr>
        <w:rFonts w:ascii="Symbol" w:hAnsi="Symbol" w:hint="default"/>
      </w:rPr>
    </w:lvl>
    <w:lvl w:ilvl="4" w:tplc="1FBCD798">
      <w:start w:val="1"/>
      <w:numFmt w:val="bullet"/>
      <w:lvlText w:val="o"/>
      <w:lvlJc w:val="left"/>
      <w:pPr>
        <w:ind w:left="3600" w:hanging="360"/>
      </w:pPr>
      <w:rPr>
        <w:rFonts w:ascii="Courier New" w:hAnsi="Courier New" w:hint="default"/>
      </w:rPr>
    </w:lvl>
    <w:lvl w:ilvl="5" w:tplc="66623D7E">
      <w:start w:val="1"/>
      <w:numFmt w:val="bullet"/>
      <w:lvlText w:val=""/>
      <w:lvlJc w:val="left"/>
      <w:pPr>
        <w:ind w:left="4320" w:hanging="360"/>
      </w:pPr>
      <w:rPr>
        <w:rFonts w:ascii="Wingdings" w:hAnsi="Wingdings" w:hint="default"/>
      </w:rPr>
    </w:lvl>
    <w:lvl w:ilvl="6" w:tplc="6BAE6B5E">
      <w:start w:val="1"/>
      <w:numFmt w:val="bullet"/>
      <w:lvlText w:val=""/>
      <w:lvlJc w:val="left"/>
      <w:pPr>
        <w:ind w:left="5040" w:hanging="360"/>
      </w:pPr>
      <w:rPr>
        <w:rFonts w:ascii="Symbol" w:hAnsi="Symbol" w:hint="default"/>
      </w:rPr>
    </w:lvl>
    <w:lvl w:ilvl="7" w:tplc="8B387846">
      <w:start w:val="1"/>
      <w:numFmt w:val="bullet"/>
      <w:lvlText w:val="o"/>
      <w:lvlJc w:val="left"/>
      <w:pPr>
        <w:ind w:left="5760" w:hanging="360"/>
      </w:pPr>
      <w:rPr>
        <w:rFonts w:ascii="Courier New" w:hAnsi="Courier New" w:hint="default"/>
      </w:rPr>
    </w:lvl>
    <w:lvl w:ilvl="8" w:tplc="9690BED8">
      <w:start w:val="1"/>
      <w:numFmt w:val="bullet"/>
      <w:lvlText w:val=""/>
      <w:lvlJc w:val="left"/>
      <w:pPr>
        <w:ind w:left="6480" w:hanging="360"/>
      </w:pPr>
      <w:rPr>
        <w:rFonts w:ascii="Wingdings" w:hAnsi="Wingdings" w:hint="default"/>
      </w:rPr>
    </w:lvl>
  </w:abstractNum>
  <w:abstractNum w:abstractNumId="1"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B261C"/>
    <w:multiLevelType w:val="hybridMultilevel"/>
    <w:tmpl w:val="FFFFFFFF"/>
    <w:lvl w:ilvl="0" w:tplc="772E945A">
      <w:start w:val="1"/>
      <w:numFmt w:val="decimal"/>
      <w:lvlText w:val="•"/>
      <w:lvlJc w:val="left"/>
      <w:pPr>
        <w:ind w:left="720" w:hanging="360"/>
      </w:pPr>
    </w:lvl>
    <w:lvl w:ilvl="1" w:tplc="BB369B2C">
      <w:start w:val="1"/>
      <w:numFmt w:val="lowerLetter"/>
      <w:lvlText w:val="%2."/>
      <w:lvlJc w:val="left"/>
      <w:pPr>
        <w:ind w:left="1440" w:hanging="360"/>
      </w:pPr>
    </w:lvl>
    <w:lvl w:ilvl="2" w:tplc="8282155C">
      <w:start w:val="1"/>
      <w:numFmt w:val="lowerRoman"/>
      <w:lvlText w:val="%3."/>
      <w:lvlJc w:val="right"/>
      <w:pPr>
        <w:ind w:left="2160" w:hanging="180"/>
      </w:pPr>
    </w:lvl>
    <w:lvl w:ilvl="3" w:tplc="E72E72A2">
      <w:start w:val="1"/>
      <w:numFmt w:val="decimal"/>
      <w:lvlText w:val="%4."/>
      <w:lvlJc w:val="left"/>
      <w:pPr>
        <w:ind w:left="2880" w:hanging="360"/>
      </w:pPr>
    </w:lvl>
    <w:lvl w:ilvl="4" w:tplc="3E464D7A">
      <w:start w:val="1"/>
      <w:numFmt w:val="lowerLetter"/>
      <w:lvlText w:val="%5."/>
      <w:lvlJc w:val="left"/>
      <w:pPr>
        <w:ind w:left="3600" w:hanging="360"/>
      </w:pPr>
    </w:lvl>
    <w:lvl w:ilvl="5" w:tplc="D4960ED0">
      <w:start w:val="1"/>
      <w:numFmt w:val="lowerRoman"/>
      <w:lvlText w:val="%6."/>
      <w:lvlJc w:val="right"/>
      <w:pPr>
        <w:ind w:left="4320" w:hanging="180"/>
      </w:pPr>
    </w:lvl>
    <w:lvl w:ilvl="6" w:tplc="91AE4B5C">
      <w:start w:val="1"/>
      <w:numFmt w:val="decimal"/>
      <w:lvlText w:val="%7."/>
      <w:lvlJc w:val="left"/>
      <w:pPr>
        <w:ind w:left="5040" w:hanging="360"/>
      </w:pPr>
    </w:lvl>
    <w:lvl w:ilvl="7" w:tplc="959C0BAE">
      <w:start w:val="1"/>
      <w:numFmt w:val="lowerLetter"/>
      <w:lvlText w:val="%8."/>
      <w:lvlJc w:val="left"/>
      <w:pPr>
        <w:ind w:left="5760" w:hanging="360"/>
      </w:pPr>
    </w:lvl>
    <w:lvl w:ilvl="8" w:tplc="861A3592">
      <w:start w:val="1"/>
      <w:numFmt w:val="lowerRoman"/>
      <w:lvlText w:val="%9."/>
      <w:lvlJc w:val="right"/>
      <w:pPr>
        <w:ind w:left="6480" w:hanging="180"/>
      </w:pPr>
    </w:lvl>
  </w:abstractNum>
  <w:abstractNum w:abstractNumId="3"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F344D"/>
    <w:multiLevelType w:val="hybridMultilevel"/>
    <w:tmpl w:val="799E424A"/>
    <w:lvl w:ilvl="0" w:tplc="66D8C4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55E19"/>
    <w:multiLevelType w:val="hybridMultilevel"/>
    <w:tmpl w:val="049E9F9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EFF7F9"/>
    <w:multiLevelType w:val="hybridMultilevel"/>
    <w:tmpl w:val="FFFFFFFF"/>
    <w:lvl w:ilvl="0" w:tplc="AFB2DB62">
      <w:start w:val="1"/>
      <w:numFmt w:val="bullet"/>
      <w:lvlText w:val=""/>
      <w:lvlJc w:val="left"/>
      <w:pPr>
        <w:ind w:left="720" w:hanging="360"/>
      </w:pPr>
      <w:rPr>
        <w:rFonts w:ascii="Symbol" w:hAnsi="Symbol" w:hint="default"/>
      </w:rPr>
    </w:lvl>
    <w:lvl w:ilvl="1" w:tplc="BDD06680">
      <w:start w:val="1"/>
      <w:numFmt w:val="bullet"/>
      <w:lvlText w:val="o"/>
      <w:lvlJc w:val="left"/>
      <w:pPr>
        <w:ind w:left="1440" w:hanging="360"/>
      </w:pPr>
      <w:rPr>
        <w:rFonts w:ascii="Courier New" w:hAnsi="Courier New" w:hint="default"/>
      </w:rPr>
    </w:lvl>
    <w:lvl w:ilvl="2" w:tplc="9D626790">
      <w:start w:val="1"/>
      <w:numFmt w:val="bullet"/>
      <w:lvlText w:val=""/>
      <w:lvlJc w:val="left"/>
      <w:pPr>
        <w:ind w:left="2160" w:hanging="360"/>
      </w:pPr>
      <w:rPr>
        <w:rFonts w:ascii="Wingdings" w:hAnsi="Wingdings" w:hint="default"/>
      </w:rPr>
    </w:lvl>
    <w:lvl w:ilvl="3" w:tplc="7FBA625E">
      <w:start w:val="1"/>
      <w:numFmt w:val="bullet"/>
      <w:lvlText w:val=""/>
      <w:lvlJc w:val="left"/>
      <w:pPr>
        <w:ind w:left="2880" w:hanging="360"/>
      </w:pPr>
      <w:rPr>
        <w:rFonts w:ascii="Symbol" w:hAnsi="Symbol" w:hint="default"/>
      </w:rPr>
    </w:lvl>
    <w:lvl w:ilvl="4" w:tplc="504CFD58">
      <w:start w:val="1"/>
      <w:numFmt w:val="bullet"/>
      <w:lvlText w:val="o"/>
      <w:lvlJc w:val="left"/>
      <w:pPr>
        <w:ind w:left="3600" w:hanging="360"/>
      </w:pPr>
      <w:rPr>
        <w:rFonts w:ascii="Courier New" w:hAnsi="Courier New" w:hint="default"/>
      </w:rPr>
    </w:lvl>
    <w:lvl w:ilvl="5" w:tplc="AAD2BE8E">
      <w:start w:val="1"/>
      <w:numFmt w:val="bullet"/>
      <w:lvlText w:val=""/>
      <w:lvlJc w:val="left"/>
      <w:pPr>
        <w:ind w:left="4320" w:hanging="360"/>
      </w:pPr>
      <w:rPr>
        <w:rFonts w:ascii="Wingdings" w:hAnsi="Wingdings" w:hint="default"/>
      </w:rPr>
    </w:lvl>
    <w:lvl w:ilvl="6" w:tplc="018A5078">
      <w:start w:val="1"/>
      <w:numFmt w:val="bullet"/>
      <w:lvlText w:val=""/>
      <w:lvlJc w:val="left"/>
      <w:pPr>
        <w:ind w:left="5040" w:hanging="360"/>
      </w:pPr>
      <w:rPr>
        <w:rFonts w:ascii="Symbol" w:hAnsi="Symbol" w:hint="default"/>
      </w:rPr>
    </w:lvl>
    <w:lvl w:ilvl="7" w:tplc="81DEB5FA">
      <w:start w:val="1"/>
      <w:numFmt w:val="bullet"/>
      <w:lvlText w:val="o"/>
      <w:lvlJc w:val="left"/>
      <w:pPr>
        <w:ind w:left="5760" w:hanging="360"/>
      </w:pPr>
      <w:rPr>
        <w:rFonts w:ascii="Courier New" w:hAnsi="Courier New" w:hint="default"/>
      </w:rPr>
    </w:lvl>
    <w:lvl w:ilvl="8" w:tplc="E7B48A38">
      <w:start w:val="1"/>
      <w:numFmt w:val="bullet"/>
      <w:lvlText w:val=""/>
      <w:lvlJc w:val="left"/>
      <w:pPr>
        <w:ind w:left="6480" w:hanging="360"/>
      </w:pPr>
      <w:rPr>
        <w:rFonts w:ascii="Wingdings" w:hAnsi="Wingdings" w:hint="default"/>
      </w:rPr>
    </w:lvl>
  </w:abstractNum>
  <w:abstractNum w:abstractNumId="7" w15:restartNumberingAfterBreak="0">
    <w:nsid w:val="19728B81"/>
    <w:multiLevelType w:val="hybridMultilevel"/>
    <w:tmpl w:val="FFFFFFFF"/>
    <w:lvl w:ilvl="0" w:tplc="2D1E29AE">
      <w:start w:val="1"/>
      <w:numFmt w:val="bullet"/>
      <w:lvlText w:val="·"/>
      <w:lvlJc w:val="left"/>
      <w:pPr>
        <w:ind w:left="720" w:hanging="360"/>
      </w:pPr>
      <w:rPr>
        <w:rFonts w:ascii="Symbol" w:hAnsi="Symbol" w:hint="default"/>
      </w:rPr>
    </w:lvl>
    <w:lvl w:ilvl="1" w:tplc="4DA6459A">
      <w:start w:val="1"/>
      <w:numFmt w:val="bullet"/>
      <w:lvlText w:val="o"/>
      <w:lvlJc w:val="left"/>
      <w:pPr>
        <w:ind w:left="1440" w:hanging="360"/>
      </w:pPr>
      <w:rPr>
        <w:rFonts w:ascii="Courier New" w:hAnsi="Courier New" w:hint="default"/>
      </w:rPr>
    </w:lvl>
    <w:lvl w:ilvl="2" w:tplc="ABB4B3AA">
      <w:start w:val="1"/>
      <w:numFmt w:val="bullet"/>
      <w:lvlText w:val=""/>
      <w:lvlJc w:val="left"/>
      <w:pPr>
        <w:ind w:left="2160" w:hanging="360"/>
      </w:pPr>
      <w:rPr>
        <w:rFonts w:ascii="Wingdings" w:hAnsi="Wingdings" w:hint="default"/>
      </w:rPr>
    </w:lvl>
    <w:lvl w:ilvl="3" w:tplc="2CB6B74C">
      <w:start w:val="1"/>
      <w:numFmt w:val="bullet"/>
      <w:lvlText w:val=""/>
      <w:lvlJc w:val="left"/>
      <w:pPr>
        <w:ind w:left="2880" w:hanging="360"/>
      </w:pPr>
      <w:rPr>
        <w:rFonts w:ascii="Symbol" w:hAnsi="Symbol" w:hint="default"/>
      </w:rPr>
    </w:lvl>
    <w:lvl w:ilvl="4" w:tplc="958CB408">
      <w:start w:val="1"/>
      <w:numFmt w:val="bullet"/>
      <w:lvlText w:val="o"/>
      <w:lvlJc w:val="left"/>
      <w:pPr>
        <w:ind w:left="3600" w:hanging="360"/>
      </w:pPr>
      <w:rPr>
        <w:rFonts w:ascii="Courier New" w:hAnsi="Courier New" w:hint="default"/>
      </w:rPr>
    </w:lvl>
    <w:lvl w:ilvl="5" w:tplc="11821066">
      <w:start w:val="1"/>
      <w:numFmt w:val="bullet"/>
      <w:lvlText w:val=""/>
      <w:lvlJc w:val="left"/>
      <w:pPr>
        <w:ind w:left="4320" w:hanging="360"/>
      </w:pPr>
      <w:rPr>
        <w:rFonts w:ascii="Wingdings" w:hAnsi="Wingdings" w:hint="default"/>
      </w:rPr>
    </w:lvl>
    <w:lvl w:ilvl="6" w:tplc="7BFE64A0">
      <w:start w:val="1"/>
      <w:numFmt w:val="bullet"/>
      <w:lvlText w:val=""/>
      <w:lvlJc w:val="left"/>
      <w:pPr>
        <w:ind w:left="5040" w:hanging="360"/>
      </w:pPr>
      <w:rPr>
        <w:rFonts w:ascii="Symbol" w:hAnsi="Symbol" w:hint="default"/>
      </w:rPr>
    </w:lvl>
    <w:lvl w:ilvl="7" w:tplc="D0CA68DC">
      <w:start w:val="1"/>
      <w:numFmt w:val="bullet"/>
      <w:lvlText w:val="o"/>
      <w:lvlJc w:val="left"/>
      <w:pPr>
        <w:ind w:left="5760" w:hanging="360"/>
      </w:pPr>
      <w:rPr>
        <w:rFonts w:ascii="Courier New" w:hAnsi="Courier New" w:hint="default"/>
      </w:rPr>
    </w:lvl>
    <w:lvl w:ilvl="8" w:tplc="39C8F65C">
      <w:start w:val="1"/>
      <w:numFmt w:val="bullet"/>
      <w:lvlText w:val=""/>
      <w:lvlJc w:val="left"/>
      <w:pPr>
        <w:ind w:left="6480" w:hanging="360"/>
      </w:pPr>
      <w:rPr>
        <w:rFonts w:ascii="Wingdings" w:hAnsi="Wingdings" w:hint="default"/>
      </w:rPr>
    </w:lvl>
  </w:abstractNum>
  <w:abstractNum w:abstractNumId="8" w15:restartNumberingAfterBreak="0">
    <w:nsid w:val="1DCC409E"/>
    <w:multiLevelType w:val="hybridMultilevel"/>
    <w:tmpl w:val="049E9F9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A23590"/>
    <w:multiLevelType w:val="hybridMultilevel"/>
    <w:tmpl w:val="514A09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8D013F"/>
    <w:multiLevelType w:val="multilevel"/>
    <w:tmpl w:val="F5D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AD28D"/>
    <w:multiLevelType w:val="hybridMultilevel"/>
    <w:tmpl w:val="FFFFFFFF"/>
    <w:lvl w:ilvl="0" w:tplc="B65202FE">
      <w:start w:val="1"/>
      <w:numFmt w:val="bullet"/>
      <w:lvlText w:val=""/>
      <w:lvlJc w:val="left"/>
      <w:pPr>
        <w:ind w:left="720" w:hanging="360"/>
      </w:pPr>
      <w:rPr>
        <w:rFonts w:ascii="Symbol" w:hAnsi="Symbol" w:hint="default"/>
      </w:rPr>
    </w:lvl>
    <w:lvl w:ilvl="1" w:tplc="09E282E6">
      <w:start w:val="1"/>
      <w:numFmt w:val="bullet"/>
      <w:lvlText w:val="o"/>
      <w:lvlJc w:val="left"/>
      <w:pPr>
        <w:ind w:left="1440" w:hanging="360"/>
      </w:pPr>
      <w:rPr>
        <w:rFonts w:ascii="Courier New" w:hAnsi="Courier New" w:hint="default"/>
      </w:rPr>
    </w:lvl>
    <w:lvl w:ilvl="2" w:tplc="356A6E70">
      <w:start w:val="1"/>
      <w:numFmt w:val="bullet"/>
      <w:lvlText w:val=""/>
      <w:lvlJc w:val="left"/>
      <w:pPr>
        <w:ind w:left="2160" w:hanging="360"/>
      </w:pPr>
      <w:rPr>
        <w:rFonts w:ascii="Wingdings" w:hAnsi="Wingdings" w:hint="default"/>
      </w:rPr>
    </w:lvl>
    <w:lvl w:ilvl="3" w:tplc="46EEAF56">
      <w:start w:val="1"/>
      <w:numFmt w:val="bullet"/>
      <w:lvlText w:val=""/>
      <w:lvlJc w:val="left"/>
      <w:pPr>
        <w:ind w:left="2880" w:hanging="360"/>
      </w:pPr>
      <w:rPr>
        <w:rFonts w:ascii="Symbol" w:hAnsi="Symbol" w:hint="default"/>
      </w:rPr>
    </w:lvl>
    <w:lvl w:ilvl="4" w:tplc="F4EA7736">
      <w:start w:val="1"/>
      <w:numFmt w:val="bullet"/>
      <w:lvlText w:val="o"/>
      <w:lvlJc w:val="left"/>
      <w:pPr>
        <w:ind w:left="3600" w:hanging="360"/>
      </w:pPr>
      <w:rPr>
        <w:rFonts w:ascii="Courier New" w:hAnsi="Courier New" w:hint="default"/>
      </w:rPr>
    </w:lvl>
    <w:lvl w:ilvl="5" w:tplc="DA78B06A">
      <w:start w:val="1"/>
      <w:numFmt w:val="bullet"/>
      <w:lvlText w:val=""/>
      <w:lvlJc w:val="left"/>
      <w:pPr>
        <w:ind w:left="4320" w:hanging="360"/>
      </w:pPr>
      <w:rPr>
        <w:rFonts w:ascii="Wingdings" w:hAnsi="Wingdings" w:hint="default"/>
      </w:rPr>
    </w:lvl>
    <w:lvl w:ilvl="6" w:tplc="5AD89C10">
      <w:start w:val="1"/>
      <w:numFmt w:val="bullet"/>
      <w:lvlText w:val=""/>
      <w:lvlJc w:val="left"/>
      <w:pPr>
        <w:ind w:left="5040" w:hanging="360"/>
      </w:pPr>
      <w:rPr>
        <w:rFonts w:ascii="Symbol" w:hAnsi="Symbol" w:hint="default"/>
      </w:rPr>
    </w:lvl>
    <w:lvl w:ilvl="7" w:tplc="B0786088">
      <w:start w:val="1"/>
      <w:numFmt w:val="bullet"/>
      <w:lvlText w:val="o"/>
      <w:lvlJc w:val="left"/>
      <w:pPr>
        <w:ind w:left="5760" w:hanging="360"/>
      </w:pPr>
      <w:rPr>
        <w:rFonts w:ascii="Courier New" w:hAnsi="Courier New" w:hint="default"/>
      </w:rPr>
    </w:lvl>
    <w:lvl w:ilvl="8" w:tplc="9A54338C">
      <w:start w:val="1"/>
      <w:numFmt w:val="bullet"/>
      <w:lvlText w:val=""/>
      <w:lvlJc w:val="left"/>
      <w:pPr>
        <w:ind w:left="6480" w:hanging="360"/>
      </w:pPr>
      <w:rPr>
        <w:rFonts w:ascii="Wingdings" w:hAnsi="Wingdings" w:hint="default"/>
      </w:rPr>
    </w:lvl>
  </w:abstractNum>
  <w:abstractNum w:abstractNumId="12" w15:restartNumberingAfterBreak="0">
    <w:nsid w:val="346179D6"/>
    <w:multiLevelType w:val="hybridMultilevel"/>
    <w:tmpl w:val="FFFFFFFF"/>
    <w:lvl w:ilvl="0" w:tplc="EF0C3C62">
      <w:start w:val="1"/>
      <w:numFmt w:val="bullet"/>
      <w:lvlText w:val="·"/>
      <w:lvlJc w:val="left"/>
      <w:pPr>
        <w:ind w:left="720" w:hanging="360"/>
      </w:pPr>
      <w:rPr>
        <w:rFonts w:ascii="Symbol" w:hAnsi="Symbol" w:hint="default"/>
      </w:rPr>
    </w:lvl>
    <w:lvl w:ilvl="1" w:tplc="C4989EB4">
      <w:start w:val="1"/>
      <w:numFmt w:val="bullet"/>
      <w:lvlText w:val="o"/>
      <w:lvlJc w:val="left"/>
      <w:pPr>
        <w:ind w:left="1440" w:hanging="360"/>
      </w:pPr>
      <w:rPr>
        <w:rFonts w:ascii="Courier New" w:hAnsi="Courier New" w:hint="default"/>
      </w:rPr>
    </w:lvl>
    <w:lvl w:ilvl="2" w:tplc="CAD86038">
      <w:start w:val="1"/>
      <w:numFmt w:val="bullet"/>
      <w:lvlText w:val=""/>
      <w:lvlJc w:val="left"/>
      <w:pPr>
        <w:ind w:left="2160" w:hanging="360"/>
      </w:pPr>
      <w:rPr>
        <w:rFonts w:ascii="Wingdings" w:hAnsi="Wingdings" w:hint="default"/>
      </w:rPr>
    </w:lvl>
    <w:lvl w:ilvl="3" w:tplc="D3C009F8">
      <w:start w:val="1"/>
      <w:numFmt w:val="bullet"/>
      <w:lvlText w:val=""/>
      <w:lvlJc w:val="left"/>
      <w:pPr>
        <w:ind w:left="2880" w:hanging="360"/>
      </w:pPr>
      <w:rPr>
        <w:rFonts w:ascii="Symbol" w:hAnsi="Symbol" w:hint="default"/>
      </w:rPr>
    </w:lvl>
    <w:lvl w:ilvl="4" w:tplc="ED5A4E66">
      <w:start w:val="1"/>
      <w:numFmt w:val="bullet"/>
      <w:lvlText w:val="o"/>
      <w:lvlJc w:val="left"/>
      <w:pPr>
        <w:ind w:left="3600" w:hanging="360"/>
      </w:pPr>
      <w:rPr>
        <w:rFonts w:ascii="Courier New" w:hAnsi="Courier New" w:hint="default"/>
      </w:rPr>
    </w:lvl>
    <w:lvl w:ilvl="5" w:tplc="05A62F00">
      <w:start w:val="1"/>
      <w:numFmt w:val="bullet"/>
      <w:lvlText w:val=""/>
      <w:lvlJc w:val="left"/>
      <w:pPr>
        <w:ind w:left="4320" w:hanging="360"/>
      </w:pPr>
      <w:rPr>
        <w:rFonts w:ascii="Wingdings" w:hAnsi="Wingdings" w:hint="default"/>
      </w:rPr>
    </w:lvl>
    <w:lvl w:ilvl="6" w:tplc="82963172">
      <w:start w:val="1"/>
      <w:numFmt w:val="bullet"/>
      <w:lvlText w:val=""/>
      <w:lvlJc w:val="left"/>
      <w:pPr>
        <w:ind w:left="5040" w:hanging="360"/>
      </w:pPr>
      <w:rPr>
        <w:rFonts w:ascii="Symbol" w:hAnsi="Symbol" w:hint="default"/>
      </w:rPr>
    </w:lvl>
    <w:lvl w:ilvl="7" w:tplc="641AB198">
      <w:start w:val="1"/>
      <w:numFmt w:val="bullet"/>
      <w:lvlText w:val="o"/>
      <w:lvlJc w:val="left"/>
      <w:pPr>
        <w:ind w:left="5760" w:hanging="360"/>
      </w:pPr>
      <w:rPr>
        <w:rFonts w:ascii="Courier New" w:hAnsi="Courier New" w:hint="default"/>
      </w:rPr>
    </w:lvl>
    <w:lvl w:ilvl="8" w:tplc="83A62126">
      <w:start w:val="1"/>
      <w:numFmt w:val="bullet"/>
      <w:lvlText w:val=""/>
      <w:lvlJc w:val="left"/>
      <w:pPr>
        <w:ind w:left="6480" w:hanging="360"/>
      </w:pPr>
      <w:rPr>
        <w:rFonts w:ascii="Wingdings" w:hAnsi="Wingdings" w:hint="default"/>
      </w:rPr>
    </w:lvl>
  </w:abstractNum>
  <w:abstractNum w:abstractNumId="13" w15:restartNumberingAfterBreak="0">
    <w:nsid w:val="359E324E"/>
    <w:multiLevelType w:val="hybridMultilevel"/>
    <w:tmpl w:val="049E9F96"/>
    <w:lvl w:ilvl="0" w:tplc="18863092">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A0DA5"/>
    <w:multiLevelType w:val="hybridMultilevel"/>
    <w:tmpl w:val="FFFFFFFF"/>
    <w:lvl w:ilvl="0" w:tplc="13342886">
      <w:start w:val="1"/>
      <w:numFmt w:val="bullet"/>
      <w:lvlText w:val=""/>
      <w:lvlJc w:val="left"/>
      <w:pPr>
        <w:ind w:left="720" w:hanging="360"/>
      </w:pPr>
      <w:rPr>
        <w:rFonts w:ascii="Symbol" w:hAnsi="Symbol" w:hint="default"/>
      </w:rPr>
    </w:lvl>
    <w:lvl w:ilvl="1" w:tplc="124E8A54">
      <w:start w:val="1"/>
      <w:numFmt w:val="bullet"/>
      <w:lvlText w:val="o"/>
      <w:lvlJc w:val="left"/>
      <w:pPr>
        <w:ind w:left="1440" w:hanging="360"/>
      </w:pPr>
      <w:rPr>
        <w:rFonts w:ascii="Courier New" w:hAnsi="Courier New" w:hint="default"/>
      </w:rPr>
    </w:lvl>
    <w:lvl w:ilvl="2" w:tplc="38742072">
      <w:start w:val="1"/>
      <w:numFmt w:val="bullet"/>
      <w:lvlText w:val=""/>
      <w:lvlJc w:val="left"/>
      <w:pPr>
        <w:ind w:left="2160" w:hanging="360"/>
      </w:pPr>
      <w:rPr>
        <w:rFonts w:ascii="Wingdings" w:hAnsi="Wingdings" w:hint="default"/>
      </w:rPr>
    </w:lvl>
    <w:lvl w:ilvl="3" w:tplc="304EA6EE">
      <w:start w:val="1"/>
      <w:numFmt w:val="bullet"/>
      <w:lvlText w:val=""/>
      <w:lvlJc w:val="left"/>
      <w:pPr>
        <w:ind w:left="2880" w:hanging="360"/>
      </w:pPr>
      <w:rPr>
        <w:rFonts w:ascii="Symbol" w:hAnsi="Symbol" w:hint="default"/>
      </w:rPr>
    </w:lvl>
    <w:lvl w:ilvl="4" w:tplc="74A0B2BC">
      <w:start w:val="1"/>
      <w:numFmt w:val="bullet"/>
      <w:lvlText w:val="o"/>
      <w:lvlJc w:val="left"/>
      <w:pPr>
        <w:ind w:left="3600" w:hanging="360"/>
      </w:pPr>
      <w:rPr>
        <w:rFonts w:ascii="Courier New" w:hAnsi="Courier New" w:hint="default"/>
      </w:rPr>
    </w:lvl>
    <w:lvl w:ilvl="5" w:tplc="59F2EC02">
      <w:start w:val="1"/>
      <w:numFmt w:val="bullet"/>
      <w:lvlText w:val=""/>
      <w:lvlJc w:val="left"/>
      <w:pPr>
        <w:ind w:left="4320" w:hanging="360"/>
      </w:pPr>
      <w:rPr>
        <w:rFonts w:ascii="Wingdings" w:hAnsi="Wingdings" w:hint="default"/>
      </w:rPr>
    </w:lvl>
    <w:lvl w:ilvl="6" w:tplc="C3A05A38">
      <w:start w:val="1"/>
      <w:numFmt w:val="bullet"/>
      <w:lvlText w:val=""/>
      <w:lvlJc w:val="left"/>
      <w:pPr>
        <w:ind w:left="5040" w:hanging="360"/>
      </w:pPr>
      <w:rPr>
        <w:rFonts w:ascii="Symbol" w:hAnsi="Symbol" w:hint="default"/>
      </w:rPr>
    </w:lvl>
    <w:lvl w:ilvl="7" w:tplc="9B4ADC7E">
      <w:start w:val="1"/>
      <w:numFmt w:val="bullet"/>
      <w:lvlText w:val="o"/>
      <w:lvlJc w:val="left"/>
      <w:pPr>
        <w:ind w:left="5760" w:hanging="360"/>
      </w:pPr>
      <w:rPr>
        <w:rFonts w:ascii="Courier New" w:hAnsi="Courier New" w:hint="default"/>
      </w:rPr>
    </w:lvl>
    <w:lvl w:ilvl="8" w:tplc="66FC4816">
      <w:start w:val="1"/>
      <w:numFmt w:val="bullet"/>
      <w:lvlText w:val=""/>
      <w:lvlJc w:val="left"/>
      <w:pPr>
        <w:ind w:left="6480" w:hanging="360"/>
      </w:pPr>
      <w:rPr>
        <w:rFonts w:ascii="Wingdings" w:hAnsi="Wingdings" w:hint="default"/>
      </w:rPr>
    </w:lvl>
  </w:abstractNum>
  <w:abstractNum w:abstractNumId="15" w15:restartNumberingAfterBreak="0">
    <w:nsid w:val="4172C432"/>
    <w:multiLevelType w:val="hybridMultilevel"/>
    <w:tmpl w:val="FFFFFFFF"/>
    <w:lvl w:ilvl="0" w:tplc="D55E1052">
      <w:start w:val="1"/>
      <w:numFmt w:val="bullet"/>
      <w:lvlText w:val=""/>
      <w:lvlJc w:val="left"/>
      <w:pPr>
        <w:ind w:left="720" w:hanging="360"/>
      </w:pPr>
      <w:rPr>
        <w:rFonts w:ascii="Symbol" w:hAnsi="Symbol" w:hint="default"/>
      </w:rPr>
    </w:lvl>
    <w:lvl w:ilvl="1" w:tplc="66E0FBC4">
      <w:start w:val="1"/>
      <w:numFmt w:val="bullet"/>
      <w:lvlText w:val="o"/>
      <w:lvlJc w:val="left"/>
      <w:pPr>
        <w:ind w:left="1440" w:hanging="360"/>
      </w:pPr>
      <w:rPr>
        <w:rFonts w:ascii="Courier New" w:hAnsi="Courier New" w:hint="default"/>
      </w:rPr>
    </w:lvl>
    <w:lvl w:ilvl="2" w:tplc="2410F18C">
      <w:start w:val="1"/>
      <w:numFmt w:val="bullet"/>
      <w:lvlText w:val=""/>
      <w:lvlJc w:val="left"/>
      <w:pPr>
        <w:ind w:left="2160" w:hanging="360"/>
      </w:pPr>
      <w:rPr>
        <w:rFonts w:ascii="Wingdings" w:hAnsi="Wingdings" w:hint="default"/>
      </w:rPr>
    </w:lvl>
    <w:lvl w:ilvl="3" w:tplc="433E0020">
      <w:start w:val="1"/>
      <w:numFmt w:val="bullet"/>
      <w:lvlText w:val=""/>
      <w:lvlJc w:val="left"/>
      <w:pPr>
        <w:ind w:left="2880" w:hanging="360"/>
      </w:pPr>
      <w:rPr>
        <w:rFonts w:ascii="Symbol" w:hAnsi="Symbol" w:hint="default"/>
      </w:rPr>
    </w:lvl>
    <w:lvl w:ilvl="4" w:tplc="42B816A6">
      <w:start w:val="1"/>
      <w:numFmt w:val="bullet"/>
      <w:lvlText w:val="o"/>
      <w:lvlJc w:val="left"/>
      <w:pPr>
        <w:ind w:left="3600" w:hanging="360"/>
      </w:pPr>
      <w:rPr>
        <w:rFonts w:ascii="Courier New" w:hAnsi="Courier New" w:hint="default"/>
      </w:rPr>
    </w:lvl>
    <w:lvl w:ilvl="5" w:tplc="2B68BE1A">
      <w:start w:val="1"/>
      <w:numFmt w:val="bullet"/>
      <w:lvlText w:val=""/>
      <w:lvlJc w:val="left"/>
      <w:pPr>
        <w:ind w:left="4320" w:hanging="360"/>
      </w:pPr>
      <w:rPr>
        <w:rFonts w:ascii="Wingdings" w:hAnsi="Wingdings" w:hint="default"/>
      </w:rPr>
    </w:lvl>
    <w:lvl w:ilvl="6" w:tplc="975886F0">
      <w:start w:val="1"/>
      <w:numFmt w:val="bullet"/>
      <w:lvlText w:val=""/>
      <w:lvlJc w:val="left"/>
      <w:pPr>
        <w:ind w:left="5040" w:hanging="360"/>
      </w:pPr>
      <w:rPr>
        <w:rFonts w:ascii="Symbol" w:hAnsi="Symbol" w:hint="default"/>
      </w:rPr>
    </w:lvl>
    <w:lvl w:ilvl="7" w:tplc="4386D6DA">
      <w:start w:val="1"/>
      <w:numFmt w:val="bullet"/>
      <w:lvlText w:val="o"/>
      <w:lvlJc w:val="left"/>
      <w:pPr>
        <w:ind w:left="5760" w:hanging="360"/>
      </w:pPr>
      <w:rPr>
        <w:rFonts w:ascii="Courier New" w:hAnsi="Courier New" w:hint="default"/>
      </w:rPr>
    </w:lvl>
    <w:lvl w:ilvl="8" w:tplc="2A7E83B6">
      <w:start w:val="1"/>
      <w:numFmt w:val="bullet"/>
      <w:lvlText w:val=""/>
      <w:lvlJc w:val="left"/>
      <w:pPr>
        <w:ind w:left="6480" w:hanging="360"/>
      </w:pPr>
      <w:rPr>
        <w:rFonts w:ascii="Wingdings" w:hAnsi="Wingdings" w:hint="default"/>
      </w:rPr>
    </w:lvl>
  </w:abstractNum>
  <w:abstractNum w:abstractNumId="16" w15:restartNumberingAfterBreak="0">
    <w:nsid w:val="4610557E"/>
    <w:multiLevelType w:val="hybridMultilevel"/>
    <w:tmpl w:val="FFFFFFFF"/>
    <w:lvl w:ilvl="0" w:tplc="342E3828">
      <w:start w:val="1"/>
      <w:numFmt w:val="bullet"/>
      <w:lvlText w:val=""/>
      <w:lvlJc w:val="left"/>
      <w:pPr>
        <w:ind w:left="720" w:hanging="360"/>
      </w:pPr>
      <w:rPr>
        <w:rFonts w:ascii="Symbol" w:hAnsi="Symbol" w:hint="default"/>
      </w:rPr>
    </w:lvl>
    <w:lvl w:ilvl="1" w:tplc="C5F00C64">
      <w:start w:val="1"/>
      <w:numFmt w:val="bullet"/>
      <w:lvlText w:val="o"/>
      <w:lvlJc w:val="left"/>
      <w:pPr>
        <w:ind w:left="1440" w:hanging="360"/>
      </w:pPr>
      <w:rPr>
        <w:rFonts w:ascii="Courier New" w:hAnsi="Courier New" w:hint="default"/>
      </w:rPr>
    </w:lvl>
    <w:lvl w:ilvl="2" w:tplc="CC32528A">
      <w:start w:val="1"/>
      <w:numFmt w:val="bullet"/>
      <w:lvlText w:val=""/>
      <w:lvlJc w:val="left"/>
      <w:pPr>
        <w:ind w:left="2160" w:hanging="360"/>
      </w:pPr>
      <w:rPr>
        <w:rFonts w:ascii="Wingdings" w:hAnsi="Wingdings" w:hint="default"/>
      </w:rPr>
    </w:lvl>
    <w:lvl w:ilvl="3" w:tplc="EE8AB5DA">
      <w:start w:val="1"/>
      <w:numFmt w:val="bullet"/>
      <w:lvlText w:val=""/>
      <w:lvlJc w:val="left"/>
      <w:pPr>
        <w:ind w:left="2880" w:hanging="360"/>
      </w:pPr>
      <w:rPr>
        <w:rFonts w:ascii="Symbol" w:hAnsi="Symbol" w:hint="default"/>
      </w:rPr>
    </w:lvl>
    <w:lvl w:ilvl="4" w:tplc="1616CDAC">
      <w:start w:val="1"/>
      <w:numFmt w:val="bullet"/>
      <w:lvlText w:val="o"/>
      <w:lvlJc w:val="left"/>
      <w:pPr>
        <w:ind w:left="3600" w:hanging="360"/>
      </w:pPr>
      <w:rPr>
        <w:rFonts w:ascii="Courier New" w:hAnsi="Courier New" w:hint="default"/>
      </w:rPr>
    </w:lvl>
    <w:lvl w:ilvl="5" w:tplc="CD1E9844">
      <w:start w:val="1"/>
      <w:numFmt w:val="bullet"/>
      <w:lvlText w:val=""/>
      <w:lvlJc w:val="left"/>
      <w:pPr>
        <w:ind w:left="4320" w:hanging="360"/>
      </w:pPr>
      <w:rPr>
        <w:rFonts w:ascii="Wingdings" w:hAnsi="Wingdings" w:hint="default"/>
      </w:rPr>
    </w:lvl>
    <w:lvl w:ilvl="6" w:tplc="F89E59CA">
      <w:start w:val="1"/>
      <w:numFmt w:val="bullet"/>
      <w:lvlText w:val=""/>
      <w:lvlJc w:val="left"/>
      <w:pPr>
        <w:ind w:left="5040" w:hanging="360"/>
      </w:pPr>
      <w:rPr>
        <w:rFonts w:ascii="Symbol" w:hAnsi="Symbol" w:hint="default"/>
      </w:rPr>
    </w:lvl>
    <w:lvl w:ilvl="7" w:tplc="2C82F0DA">
      <w:start w:val="1"/>
      <w:numFmt w:val="bullet"/>
      <w:lvlText w:val="o"/>
      <w:lvlJc w:val="left"/>
      <w:pPr>
        <w:ind w:left="5760" w:hanging="360"/>
      </w:pPr>
      <w:rPr>
        <w:rFonts w:ascii="Courier New" w:hAnsi="Courier New" w:hint="default"/>
      </w:rPr>
    </w:lvl>
    <w:lvl w:ilvl="8" w:tplc="654C9CD8">
      <w:start w:val="1"/>
      <w:numFmt w:val="bullet"/>
      <w:lvlText w:val=""/>
      <w:lvlJc w:val="left"/>
      <w:pPr>
        <w:ind w:left="6480" w:hanging="360"/>
      </w:pPr>
      <w:rPr>
        <w:rFonts w:ascii="Wingdings" w:hAnsi="Wingdings" w:hint="default"/>
      </w:rPr>
    </w:lvl>
  </w:abstractNum>
  <w:abstractNum w:abstractNumId="17" w15:restartNumberingAfterBreak="0">
    <w:nsid w:val="47F96051"/>
    <w:multiLevelType w:val="hybridMultilevel"/>
    <w:tmpl w:val="FFFFFFFF"/>
    <w:lvl w:ilvl="0" w:tplc="A2181D5C">
      <w:start w:val="1"/>
      <w:numFmt w:val="bullet"/>
      <w:lvlText w:val=""/>
      <w:lvlJc w:val="left"/>
      <w:pPr>
        <w:ind w:left="720" w:hanging="360"/>
      </w:pPr>
      <w:rPr>
        <w:rFonts w:ascii="Symbol" w:hAnsi="Symbol" w:hint="default"/>
      </w:rPr>
    </w:lvl>
    <w:lvl w:ilvl="1" w:tplc="9EBCFD68">
      <w:start w:val="1"/>
      <w:numFmt w:val="bullet"/>
      <w:lvlText w:val="o"/>
      <w:lvlJc w:val="left"/>
      <w:pPr>
        <w:ind w:left="1440" w:hanging="360"/>
      </w:pPr>
      <w:rPr>
        <w:rFonts w:ascii="Courier New" w:hAnsi="Courier New" w:hint="default"/>
      </w:rPr>
    </w:lvl>
    <w:lvl w:ilvl="2" w:tplc="17E62F90">
      <w:start w:val="1"/>
      <w:numFmt w:val="bullet"/>
      <w:lvlText w:val=""/>
      <w:lvlJc w:val="left"/>
      <w:pPr>
        <w:ind w:left="2160" w:hanging="360"/>
      </w:pPr>
      <w:rPr>
        <w:rFonts w:ascii="Wingdings" w:hAnsi="Wingdings" w:hint="default"/>
      </w:rPr>
    </w:lvl>
    <w:lvl w:ilvl="3" w:tplc="31B09D5E">
      <w:start w:val="1"/>
      <w:numFmt w:val="bullet"/>
      <w:lvlText w:val=""/>
      <w:lvlJc w:val="left"/>
      <w:pPr>
        <w:ind w:left="2880" w:hanging="360"/>
      </w:pPr>
      <w:rPr>
        <w:rFonts w:ascii="Symbol" w:hAnsi="Symbol" w:hint="default"/>
      </w:rPr>
    </w:lvl>
    <w:lvl w:ilvl="4" w:tplc="AAB80A3A">
      <w:start w:val="1"/>
      <w:numFmt w:val="bullet"/>
      <w:lvlText w:val="o"/>
      <w:lvlJc w:val="left"/>
      <w:pPr>
        <w:ind w:left="3600" w:hanging="360"/>
      </w:pPr>
      <w:rPr>
        <w:rFonts w:ascii="Courier New" w:hAnsi="Courier New" w:hint="default"/>
      </w:rPr>
    </w:lvl>
    <w:lvl w:ilvl="5" w:tplc="9B42CC0E">
      <w:start w:val="1"/>
      <w:numFmt w:val="bullet"/>
      <w:lvlText w:val=""/>
      <w:lvlJc w:val="left"/>
      <w:pPr>
        <w:ind w:left="4320" w:hanging="360"/>
      </w:pPr>
      <w:rPr>
        <w:rFonts w:ascii="Wingdings" w:hAnsi="Wingdings" w:hint="default"/>
      </w:rPr>
    </w:lvl>
    <w:lvl w:ilvl="6" w:tplc="D160F3A0">
      <w:start w:val="1"/>
      <w:numFmt w:val="bullet"/>
      <w:lvlText w:val=""/>
      <w:lvlJc w:val="left"/>
      <w:pPr>
        <w:ind w:left="5040" w:hanging="360"/>
      </w:pPr>
      <w:rPr>
        <w:rFonts w:ascii="Symbol" w:hAnsi="Symbol" w:hint="default"/>
      </w:rPr>
    </w:lvl>
    <w:lvl w:ilvl="7" w:tplc="EA7C2758">
      <w:start w:val="1"/>
      <w:numFmt w:val="bullet"/>
      <w:lvlText w:val="o"/>
      <w:lvlJc w:val="left"/>
      <w:pPr>
        <w:ind w:left="5760" w:hanging="360"/>
      </w:pPr>
      <w:rPr>
        <w:rFonts w:ascii="Courier New" w:hAnsi="Courier New" w:hint="default"/>
      </w:rPr>
    </w:lvl>
    <w:lvl w:ilvl="8" w:tplc="E57E9D1C">
      <w:start w:val="1"/>
      <w:numFmt w:val="bullet"/>
      <w:lvlText w:val=""/>
      <w:lvlJc w:val="left"/>
      <w:pPr>
        <w:ind w:left="6480" w:hanging="360"/>
      </w:pPr>
      <w:rPr>
        <w:rFonts w:ascii="Wingdings" w:hAnsi="Wingdings" w:hint="default"/>
      </w:rPr>
    </w:lvl>
  </w:abstractNum>
  <w:abstractNum w:abstractNumId="18" w15:restartNumberingAfterBreak="0">
    <w:nsid w:val="4C50CBF1"/>
    <w:multiLevelType w:val="hybridMultilevel"/>
    <w:tmpl w:val="FFFFFFFF"/>
    <w:lvl w:ilvl="0" w:tplc="4EF44466">
      <w:start w:val="1"/>
      <w:numFmt w:val="bullet"/>
      <w:lvlText w:val=""/>
      <w:lvlJc w:val="left"/>
      <w:pPr>
        <w:ind w:left="720" w:hanging="360"/>
      </w:pPr>
      <w:rPr>
        <w:rFonts w:ascii="Symbol" w:hAnsi="Symbol" w:hint="default"/>
      </w:rPr>
    </w:lvl>
    <w:lvl w:ilvl="1" w:tplc="6176720E">
      <w:start w:val="1"/>
      <w:numFmt w:val="bullet"/>
      <w:lvlText w:val="o"/>
      <w:lvlJc w:val="left"/>
      <w:pPr>
        <w:ind w:left="1440" w:hanging="360"/>
      </w:pPr>
      <w:rPr>
        <w:rFonts w:ascii="Courier New" w:hAnsi="Courier New" w:hint="default"/>
      </w:rPr>
    </w:lvl>
    <w:lvl w:ilvl="2" w:tplc="E6366592">
      <w:start w:val="1"/>
      <w:numFmt w:val="bullet"/>
      <w:lvlText w:val=""/>
      <w:lvlJc w:val="left"/>
      <w:pPr>
        <w:ind w:left="2160" w:hanging="360"/>
      </w:pPr>
      <w:rPr>
        <w:rFonts w:ascii="Wingdings" w:hAnsi="Wingdings" w:hint="default"/>
      </w:rPr>
    </w:lvl>
    <w:lvl w:ilvl="3" w:tplc="1C960E92">
      <w:start w:val="1"/>
      <w:numFmt w:val="bullet"/>
      <w:lvlText w:val=""/>
      <w:lvlJc w:val="left"/>
      <w:pPr>
        <w:ind w:left="2880" w:hanging="360"/>
      </w:pPr>
      <w:rPr>
        <w:rFonts w:ascii="Symbol" w:hAnsi="Symbol" w:hint="default"/>
      </w:rPr>
    </w:lvl>
    <w:lvl w:ilvl="4" w:tplc="3CE21544">
      <w:start w:val="1"/>
      <w:numFmt w:val="bullet"/>
      <w:lvlText w:val="o"/>
      <w:lvlJc w:val="left"/>
      <w:pPr>
        <w:ind w:left="3600" w:hanging="360"/>
      </w:pPr>
      <w:rPr>
        <w:rFonts w:ascii="Courier New" w:hAnsi="Courier New" w:hint="default"/>
      </w:rPr>
    </w:lvl>
    <w:lvl w:ilvl="5" w:tplc="1DF22BA4">
      <w:start w:val="1"/>
      <w:numFmt w:val="bullet"/>
      <w:lvlText w:val=""/>
      <w:lvlJc w:val="left"/>
      <w:pPr>
        <w:ind w:left="4320" w:hanging="360"/>
      </w:pPr>
      <w:rPr>
        <w:rFonts w:ascii="Wingdings" w:hAnsi="Wingdings" w:hint="default"/>
      </w:rPr>
    </w:lvl>
    <w:lvl w:ilvl="6" w:tplc="A08A6864">
      <w:start w:val="1"/>
      <w:numFmt w:val="bullet"/>
      <w:lvlText w:val=""/>
      <w:lvlJc w:val="left"/>
      <w:pPr>
        <w:ind w:left="5040" w:hanging="360"/>
      </w:pPr>
      <w:rPr>
        <w:rFonts w:ascii="Symbol" w:hAnsi="Symbol" w:hint="default"/>
      </w:rPr>
    </w:lvl>
    <w:lvl w:ilvl="7" w:tplc="33721B08">
      <w:start w:val="1"/>
      <w:numFmt w:val="bullet"/>
      <w:lvlText w:val="o"/>
      <w:lvlJc w:val="left"/>
      <w:pPr>
        <w:ind w:left="5760" w:hanging="360"/>
      </w:pPr>
      <w:rPr>
        <w:rFonts w:ascii="Courier New" w:hAnsi="Courier New" w:hint="default"/>
      </w:rPr>
    </w:lvl>
    <w:lvl w:ilvl="8" w:tplc="6B3A315A">
      <w:start w:val="1"/>
      <w:numFmt w:val="bullet"/>
      <w:lvlText w:val=""/>
      <w:lvlJc w:val="left"/>
      <w:pPr>
        <w:ind w:left="6480" w:hanging="360"/>
      </w:pPr>
      <w:rPr>
        <w:rFonts w:ascii="Wingdings" w:hAnsi="Wingdings" w:hint="default"/>
      </w:rPr>
    </w:lvl>
  </w:abstractNum>
  <w:abstractNum w:abstractNumId="19" w15:restartNumberingAfterBreak="0">
    <w:nsid w:val="4F261993"/>
    <w:multiLevelType w:val="hybridMultilevel"/>
    <w:tmpl w:val="A69A0DA2"/>
    <w:lvl w:ilvl="0" w:tplc="3FE23F02">
      <w:start w:val="1"/>
      <w:numFmt w:val="decimal"/>
      <w:lvlText w:val="(%1)"/>
      <w:lvlJc w:val="left"/>
      <w:pPr>
        <w:ind w:left="726" w:hanging="36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0" w15:restartNumberingAfterBreak="0">
    <w:nsid w:val="547268D6"/>
    <w:multiLevelType w:val="hybridMultilevel"/>
    <w:tmpl w:val="2FFA0B8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1" w15:restartNumberingAfterBreak="0">
    <w:nsid w:val="548252BA"/>
    <w:multiLevelType w:val="hybridMultilevel"/>
    <w:tmpl w:val="514A09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89523A"/>
    <w:multiLevelType w:val="hybridMultilevel"/>
    <w:tmpl w:val="FFFFFFFF"/>
    <w:lvl w:ilvl="0" w:tplc="33D837F4">
      <w:start w:val="1"/>
      <w:numFmt w:val="bullet"/>
      <w:lvlText w:val="·"/>
      <w:lvlJc w:val="left"/>
      <w:pPr>
        <w:ind w:left="720" w:hanging="360"/>
      </w:pPr>
      <w:rPr>
        <w:rFonts w:ascii="Symbol" w:hAnsi="Symbol" w:hint="default"/>
      </w:rPr>
    </w:lvl>
    <w:lvl w:ilvl="1" w:tplc="ED7E8DE6">
      <w:start w:val="1"/>
      <w:numFmt w:val="bullet"/>
      <w:lvlText w:val="o"/>
      <w:lvlJc w:val="left"/>
      <w:pPr>
        <w:ind w:left="1440" w:hanging="360"/>
      </w:pPr>
      <w:rPr>
        <w:rFonts w:ascii="Courier New" w:hAnsi="Courier New" w:hint="default"/>
      </w:rPr>
    </w:lvl>
    <w:lvl w:ilvl="2" w:tplc="42704544">
      <w:start w:val="1"/>
      <w:numFmt w:val="bullet"/>
      <w:lvlText w:val=""/>
      <w:lvlJc w:val="left"/>
      <w:pPr>
        <w:ind w:left="2160" w:hanging="360"/>
      </w:pPr>
      <w:rPr>
        <w:rFonts w:ascii="Wingdings" w:hAnsi="Wingdings" w:hint="default"/>
      </w:rPr>
    </w:lvl>
    <w:lvl w:ilvl="3" w:tplc="BCCEA752">
      <w:start w:val="1"/>
      <w:numFmt w:val="bullet"/>
      <w:lvlText w:val=""/>
      <w:lvlJc w:val="left"/>
      <w:pPr>
        <w:ind w:left="2880" w:hanging="360"/>
      </w:pPr>
      <w:rPr>
        <w:rFonts w:ascii="Symbol" w:hAnsi="Symbol" w:hint="default"/>
      </w:rPr>
    </w:lvl>
    <w:lvl w:ilvl="4" w:tplc="67688DEE">
      <w:start w:val="1"/>
      <w:numFmt w:val="bullet"/>
      <w:lvlText w:val="o"/>
      <w:lvlJc w:val="left"/>
      <w:pPr>
        <w:ind w:left="3600" w:hanging="360"/>
      </w:pPr>
      <w:rPr>
        <w:rFonts w:ascii="Courier New" w:hAnsi="Courier New" w:hint="default"/>
      </w:rPr>
    </w:lvl>
    <w:lvl w:ilvl="5" w:tplc="4734FF7C">
      <w:start w:val="1"/>
      <w:numFmt w:val="bullet"/>
      <w:lvlText w:val=""/>
      <w:lvlJc w:val="left"/>
      <w:pPr>
        <w:ind w:left="4320" w:hanging="360"/>
      </w:pPr>
      <w:rPr>
        <w:rFonts w:ascii="Wingdings" w:hAnsi="Wingdings" w:hint="default"/>
      </w:rPr>
    </w:lvl>
    <w:lvl w:ilvl="6" w:tplc="DC9A804E">
      <w:start w:val="1"/>
      <w:numFmt w:val="bullet"/>
      <w:lvlText w:val=""/>
      <w:lvlJc w:val="left"/>
      <w:pPr>
        <w:ind w:left="5040" w:hanging="360"/>
      </w:pPr>
      <w:rPr>
        <w:rFonts w:ascii="Symbol" w:hAnsi="Symbol" w:hint="default"/>
      </w:rPr>
    </w:lvl>
    <w:lvl w:ilvl="7" w:tplc="A5681220">
      <w:start w:val="1"/>
      <w:numFmt w:val="bullet"/>
      <w:lvlText w:val="o"/>
      <w:lvlJc w:val="left"/>
      <w:pPr>
        <w:ind w:left="5760" w:hanging="360"/>
      </w:pPr>
      <w:rPr>
        <w:rFonts w:ascii="Courier New" w:hAnsi="Courier New" w:hint="default"/>
      </w:rPr>
    </w:lvl>
    <w:lvl w:ilvl="8" w:tplc="9900F974">
      <w:start w:val="1"/>
      <w:numFmt w:val="bullet"/>
      <w:lvlText w:val=""/>
      <w:lvlJc w:val="left"/>
      <w:pPr>
        <w:ind w:left="6480" w:hanging="360"/>
      </w:pPr>
      <w:rPr>
        <w:rFonts w:ascii="Wingdings" w:hAnsi="Wingdings" w:hint="default"/>
      </w:rPr>
    </w:lvl>
  </w:abstractNum>
  <w:abstractNum w:abstractNumId="23" w15:restartNumberingAfterBreak="0">
    <w:nsid w:val="614F6B38"/>
    <w:multiLevelType w:val="hybridMultilevel"/>
    <w:tmpl w:val="09C6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9A52E3"/>
    <w:multiLevelType w:val="hybridMultilevel"/>
    <w:tmpl w:val="5EC64504"/>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6" w15:restartNumberingAfterBreak="0">
    <w:nsid w:val="6A5E6513"/>
    <w:multiLevelType w:val="multilevel"/>
    <w:tmpl w:val="EC38A9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Corbel" w:eastAsia="Times New Roman" w:hAnsi="Corbe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E788685"/>
    <w:multiLevelType w:val="hybridMultilevel"/>
    <w:tmpl w:val="FFFFFFFF"/>
    <w:lvl w:ilvl="0" w:tplc="E1028B6A">
      <w:start w:val="1"/>
      <w:numFmt w:val="bullet"/>
      <w:lvlText w:val="·"/>
      <w:lvlJc w:val="left"/>
      <w:pPr>
        <w:ind w:left="720" w:hanging="360"/>
      </w:pPr>
      <w:rPr>
        <w:rFonts w:ascii="Symbol" w:hAnsi="Symbol" w:hint="default"/>
      </w:rPr>
    </w:lvl>
    <w:lvl w:ilvl="1" w:tplc="FC029320">
      <w:start w:val="1"/>
      <w:numFmt w:val="bullet"/>
      <w:lvlText w:val="o"/>
      <w:lvlJc w:val="left"/>
      <w:pPr>
        <w:ind w:left="1440" w:hanging="360"/>
      </w:pPr>
      <w:rPr>
        <w:rFonts w:ascii="Courier New" w:hAnsi="Courier New" w:hint="default"/>
      </w:rPr>
    </w:lvl>
    <w:lvl w:ilvl="2" w:tplc="D1E4B6DE">
      <w:start w:val="1"/>
      <w:numFmt w:val="bullet"/>
      <w:lvlText w:val=""/>
      <w:lvlJc w:val="left"/>
      <w:pPr>
        <w:ind w:left="2160" w:hanging="360"/>
      </w:pPr>
      <w:rPr>
        <w:rFonts w:ascii="Wingdings" w:hAnsi="Wingdings" w:hint="default"/>
      </w:rPr>
    </w:lvl>
    <w:lvl w:ilvl="3" w:tplc="15BC4528">
      <w:start w:val="1"/>
      <w:numFmt w:val="bullet"/>
      <w:lvlText w:val=""/>
      <w:lvlJc w:val="left"/>
      <w:pPr>
        <w:ind w:left="2880" w:hanging="360"/>
      </w:pPr>
      <w:rPr>
        <w:rFonts w:ascii="Symbol" w:hAnsi="Symbol" w:hint="default"/>
      </w:rPr>
    </w:lvl>
    <w:lvl w:ilvl="4" w:tplc="6520DEF8">
      <w:start w:val="1"/>
      <w:numFmt w:val="bullet"/>
      <w:lvlText w:val="o"/>
      <w:lvlJc w:val="left"/>
      <w:pPr>
        <w:ind w:left="3600" w:hanging="360"/>
      </w:pPr>
      <w:rPr>
        <w:rFonts w:ascii="Courier New" w:hAnsi="Courier New" w:hint="default"/>
      </w:rPr>
    </w:lvl>
    <w:lvl w:ilvl="5" w:tplc="83467988">
      <w:start w:val="1"/>
      <w:numFmt w:val="bullet"/>
      <w:lvlText w:val=""/>
      <w:lvlJc w:val="left"/>
      <w:pPr>
        <w:ind w:left="4320" w:hanging="360"/>
      </w:pPr>
      <w:rPr>
        <w:rFonts w:ascii="Wingdings" w:hAnsi="Wingdings" w:hint="default"/>
      </w:rPr>
    </w:lvl>
    <w:lvl w:ilvl="6" w:tplc="BC20D06E">
      <w:start w:val="1"/>
      <w:numFmt w:val="bullet"/>
      <w:lvlText w:val=""/>
      <w:lvlJc w:val="left"/>
      <w:pPr>
        <w:ind w:left="5040" w:hanging="360"/>
      </w:pPr>
      <w:rPr>
        <w:rFonts w:ascii="Symbol" w:hAnsi="Symbol" w:hint="default"/>
      </w:rPr>
    </w:lvl>
    <w:lvl w:ilvl="7" w:tplc="96EA2906">
      <w:start w:val="1"/>
      <w:numFmt w:val="bullet"/>
      <w:lvlText w:val="o"/>
      <w:lvlJc w:val="left"/>
      <w:pPr>
        <w:ind w:left="5760" w:hanging="360"/>
      </w:pPr>
      <w:rPr>
        <w:rFonts w:ascii="Courier New" w:hAnsi="Courier New" w:hint="default"/>
      </w:rPr>
    </w:lvl>
    <w:lvl w:ilvl="8" w:tplc="2432E110">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
  </w:num>
  <w:num w:numId="4">
    <w:abstractNumId w:val="28"/>
  </w:num>
  <w:num w:numId="5">
    <w:abstractNumId w:val="3"/>
  </w:num>
  <w:num w:numId="6">
    <w:abstractNumId w:val="27"/>
  </w:num>
  <w:num w:numId="7">
    <w:abstractNumId w:val="13"/>
  </w:num>
  <w:num w:numId="8">
    <w:abstractNumId w:val="24"/>
  </w:num>
  <w:num w:numId="9">
    <w:abstractNumId w:val="20"/>
  </w:num>
  <w:num w:numId="10">
    <w:abstractNumId w:val="22"/>
  </w:num>
  <w:num w:numId="11">
    <w:abstractNumId w:val="12"/>
  </w:num>
  <w:num w:numId="12">
    <w:abstractNumId w:val="7"/>
  </w:num>
  <w:num w:numId="13">
    <w:abstractNumId w:val="17"/>
  </w:num>
  <w:num w:numId="14">
    <w:abstractNumId w:val="30"/>
  </w:num>
  <w:num w:numId="15">
    <w:abstractNumId w:val="0"/>
  </w:num>
  <w:num w:numId="16">
    <w:abstractNumId w:val="6"/>
  </w:num>
  <w:num w:numId="17">
    <w:abstractNumId w:val="26"/>
  </w:num>
  <w:num w:numId="18">
    <w:abstractNumId w:val="5"/>
  </w:num>
  <w:num w:numId="19">
    <w:abstractNumId w:val="2"/>
  </w:num>
  <w:num w:numId="20">
    <w:abstractNumId w:val="16"/>
  </w:num>
  <w:num w:numId="21">
    <w:abstractNumId w:val="14"/>
  </w:num>
  <w:num w:numId="22">
    <w:abstractNumId w:val="15"/>
  </w:num>
  <w:num w:numId="23">
    <w:abstractNumId w:val="11"/>
  </w:num>
  <w:num w:numId="24">
    <w:abstractNumId w:val="18"/>
  </w:num>
  <w:num w:numId="25">
    <w:abstractNumId w:val="4"/>
  </w:num>
  <w:num w:numId="26">
    <w:abstractNumId w:val="10"/>
  </w:num>
  <w:num w:numId="27">
    <w:abstractNumId w:val="21"/>
  </w:num>
  <w:num w:numId="28">
    <w:abstractNumId w:val="23"/>
  </w:num>
  <w:num w:numId="29">
    <w:abstractNumId w:val="19"/>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3E4"/>
    <w:rsid w:val="000008A6"/>
    <w:rsid w:val="00000C93"/>
    <w:rsid w:val="00000F74"/>
    <w:rsid w:val="00001750"/>
    <w:rsid w:val="00001C3D"/>
    <w:rsid w:val="00002A30"/>
    <w:rsid w:val="000058AB"/>
    <w:rsid w:val="00007747"/>
    <w:rsid w:val="0001079C"/>
    <w:rsid w:val="00010B23"/>
    <w:rsid w:val="00010B67"/>
    <w:rsid w:val="00010BEE"/>
    <w:rsid w:val="000110DA"/>
    <w:rsid w:val="0001344D"/>
    <w:rsid w:val="0001387E"/>
    <w:rsid w:val="000139A6"/>
    <w:rsid w:val="0001463C"/>
    <w:rsid w:val="00014F98"/>
    <w:rsid w:val="00015C1C"/>
    <w:rsid w:val="00016674"/>
    <w:rsid w:val="000170C2"/>
    <w:rsid w:val="00017334"/>
    <w:rsid w:val="000177B7"/>
    <w:rsid w:val="000201BC"/>
    <w:rsid w:val="00020FF5"/>
    <w:rsid w:val="00021245"/>
    <w:rsid w:val="000212C7"/>
    <w:rsid w:val="000236BE"/>
    <w:rsid w:val="00026AE9"/>
    <w:rsid w:val="0002773A"/>
    <w:rsid w:val="000309D2"/>
    <w:rsid w:val="00030DB8"/>
    <w:rsid w:val="00031844"/>
    <w:rsid w:val="00032716"/>
    <w:rsid w:val="00035E76"/>
    <w:rsid w:val="000407AC"/>
    <w:rsid w:val="0004366A"/>
    <w:rsid w:val="00043D56"/>
    <w:rsid w:val="000445D5"/>
    <w:rsid w:val="00045134"/>
    <w:rsid w:val="00045D96"/>
    <w:rsid w:val="00050322"/>
    <w:rsid w:val="0005094F"/>
    <w:rsid w:val="00051A8F"/>
    <w:rsid w:val="0005435C"/>
    <w:rsid w:val="000545E4"/>
    <w:rsid w:val="00054605"/>
    <w:rsid w:val="00056A59"/>
    <w:rsid w:val="00056C10"/>
    <w:rsid w:val="00056CD9"/>
    <w:rsid w:val="00062E08"/>
    <w:rsid w:val="000634BC"/>
    <w:rsid w:val="00064458"/>
    <w:rsid w:val="000644F4"/>
    <w:rsid w:val="00066EDF"/>
    <w:rsid w:val="0007014A"/>
    <w:rsid w:val="000725F8"/>
    <w:rsid w:val="000745FD"/>
    <w:rsid w:val="00075FCB"/>
    <w:rsid w:val="00080BF3"/>
    <w:rsid w:val="0008232D"/>
    <w:rsid w:val="00083931"/>
    <w:rsid w:val="00086E9A"/>
    <w:rsid w:val="000878DC"/>
    <w:rsid w:val="00090C37"/>
    <w:rsid w:val="00091786"/>
    <w:rsid w:val="00093A90"/>
    <w:rsid w:val="00093B19"/>
    <w:rsid w:val="00093F5A"/>
    <w:rsid w:val="00094EF0"/>
    <w:rsid w:val="00096C73"/>
    <w:rsid w:val="000A10DF"/>
    <w:rsid w:val="000A13AB"/>
    <w:rsid w:val="000A1941"/>
    <w:rsid w:val="000A2ED8"/>
    <w:rsid w:val="000A3B5D"/>
    <w:rsid w:val="000A4915"/>
    <w:rsid w:val="000A56D0"/>
    <w:rsid w:val="000A6C22"/>
    <w:rsid w:val="000A6FEE"/>
    <w:rsid w:val="000A7205"/>
    <w:rsid w:val="000A7550"/>
    <w:rsid w:val="000B1076"/>
    <w:rsid w:val="000C25CE"/>
    <w:rsid w:val="000C392C"/>
    <w:rsid w:val="000D098C"/>
    <w:rsid w:val="000D4CE4"/>
    <w:rsid w:val="000D4DA0"/>
    <w:rsid w:val="000D532F"/>
    <w:rsid w:val="000D6911"/>
    <w:rsid w:val="000D6CD7"/>
    <w:rsid w:val="000E3C50"/>
    <w:rsid w:val="000E4B78"/>
    <w:rsid w:val="000F07D8"/>
    <w:rsid w:val="000F3591"/>
    <w:rsid w:val="000F3B22"/>
    <w:rsid w:val="000F3CE1"/>
    <w:rsid w:val="000F7566"/>
    <w:rsid w:val="00100C94"/>
    <w:rsid w:val="00101588"/>
    <w:rsid w:val="0010181C"/>
    <w:rsid w:val="00101F13"/>
    <w:rsid w:val="00101F30"/>
    <w:rsid w:val="00102656"/>
    <w:rsid w:val="00102FB6"/>
    <w:rsid w:val="001067BF"/>
    <w:rsid w:val="0010793F"/>
    <w:rsid w:val="00107E3D"/>
    <w:rsid w:val="00110238"/>
    <w:rsid w:val="00111315"/>
    <w:rsid w:val="0011138F"/>
    <w:rsid w:val="001114D8"/>
    <w:rsid w:val="00111B55"/>
    <w:rsid w:val="00111C8C"/>
    <w:rsid w:val="00111D78"/>
    <w:rsid w:val="0011314A"/>
    <w:rsid w:val="00113CFE"/>
    <w:rsid w:val="001146CE"/>
    <w:rsid w:val="001159FC"/>
    <w:rsid w:val="00115F03"/>
    <w:rsid w:val="00116521"/>
    <w:rsid w:val="00116735"/>
    <w:rsid w:val="001169A4"/>
    <w:rsid w:val="0011751A"/>
    <w:rsid w:val="00117BCE"/>
    <w:rsid w:val="00124CAE"/>
    <w:rsid w:val="00127407"/>
    <w:rsid w:val="00127B92"/>
    <w:rsid w:val="00131BDB"/>
    <w:rsid w:val="00131F27"/>
    <w:rsid w:val="001323FC"/>
    <w:rsid w:val="00133C28"/>
    <w:rsid w:val="001344E4"/>
    <w:rsid w:val="00136643"/>
    <w:rsid w:val="00136819"/>
    <w:rsid w:val="001377B1"/>
    <w:rsid w:val="001377F9"/>
    <w:rsid w:val="00141167"/>
    <w:rsid w:val="00141CBD"/>
    <w:rsid w:val="00141E3C"/>
    <w:rsid w:val="0014245C"/>
    <w:rsid w:val="00142C7E"/>
    <w:rsid w:val="001430B5"/>
    <w:rsid w:val="00143613"/>
    <w:rsid w:val="00147506"/>
    <w:rsid w:val="00147D1C"/>
    <w:rsid w:val="00151361"/>
    <w:rsid w:val="00152AAF"/>
    <w:rsid w:val="00152DDA"/>
    <w:rsid w:val="00153740"/>
    <w:rsid w:val="001554CA"/>
    <w:rsid w:val="00155E3C"/>
    <w:rsid w:val="00157941"/>
    <w:rsid w:val="001605B6"/>
    <w:rsid w:val="00161D46"/>
    <w:rsid w:val="001622F2"/>
    <w:rsid w:val="001634EA"/>
    <w:rsid w:val="00163A44"/>
    <w:rsid w:val="0016513E"/>
    <w:rsid w:val="001669AF"/>
    <w:rsid w:val="001728B4"/>
    <w:rsid w:val="0017317E"/>
    <w:rsid w:val="00173A80"/>
    <w:rsid w:val="00173ECC"/>
    <w:rsid w:val="0017404D"/>
    <w:rsid w:val="001755E3"/>
    <w:rsid w:val="00175FB3"/>
    <w:rsid w:val="00176B90"/>
    <w:rsid w:val="001805B0"/>
    <w:rsid w:val="001805FF"/>
    <w:rsid w:val="00180F25"/>
    <w:rsid w:val="0018654A"/>
    <w:rsid w:val="00186F0B"/>
    <w:rsid w:val="00190285"/>
    <w:rsid w:val="001938B9"/>
    <w:rsid w:val="00193E7B"/>
    <w:rsid w:val="00193F67"/>
    <w:rsid w:val="00194C7E"/>
    <w:rsid w:val="00195F85"/>
    <w:rsid w:val="001964DA"/>
    <w:rsid w:val="00196545"/>
    <w:rsid w:val="00196B0A"/>
    <w:rsid w:val="001A0D6F"/>
    <w:rsid w:val="001A119F"/>
    <w:rsid w:val="001A221D"/>
    <w:rsid w:val="001A5171"/>
    <w:rsid w:val="001A7D16"/>
    <w:rsid w:val="001B0099"/>
    <w:rsid w:val="001B06B8"/>
    <w:rsid w:val="001B24D2"/>
    <w:rsid w:val="001B2E5A"/>
    <w:rsid w:val="001B47A4"/>
    <w:rsid w:val="001B599E"/>
    <w:rsid w:val="001C1E4F"/>
    <w:rsid w:val="001C2B76"/>
    <w:rsid w:val="001C2F80"/>
    <w:rsid w:val="001C3D79"/>
    <w:rsid w:val="001C5797"/>
    <w:rsid w:val="001C70DA"/>
    <w:rsid w:val="001C76A5"/>
    <w:rsid w:val="001C7D00"/>
    <w:rsid w:val="001D01EE"/>
    <w:rsid w:val="001D0D07"/>
    <w:rsid w:val="001D217D"/>
    <w:rsid w:val="001D262E"/>
    <w:rsid w:val="001D3042"/>
    <w:rsid w:val="001D520C"/>
    <w:rsid w:val="001D6BF8"/>
    <w:rsid w:val="001D765F"/>
    <w:rsid w:val="001D79A8"/>
    <w:rsid w:val="001E0FE3"/>
    <w:rsid w:val="001E159A"/>
    <w:rsid w:val="001E6B53"/>
    <w:rsid w:val="001E6F27"/>
    <w:rsid w:val="001E786B"/>
    <w:rsid w:val="001F4395"/>
    <w:rsid w:val="001F4A3B"/>
    <w:rsid w:val="001F61E0"/>
    <w:rsid w:val="001F6950"/>
    <w:rsid w:val="001F6B08"/>
    <w:rsid w:val="001F7EBE"/>
    <w:rsid w:val="00202918"/>
    <w:rsid w:val="0020293D"/>
    <w:rsid w:val="00202CA3"/>
    <w:rsid w:val="002046C3"/>
    <w:rsid w:val="00204D91"/>
    <w:rsid w:val="00204DE9"/>
    <w:rsid w:val="00205572"/>
    <w:rsid w:val="00206572"/>
    <w:rsid w:val="00207CA4"/>
    <w:rsid w:val="0021134E"/>
    <w:rsid w:val="002115F3"/>
    <w:rsid w:val="002118BB"/>
    <w:rsid w:val="00211971"/>
    <w:rsid w:val="00212663"/>
    <w:rsid w:val="0021366D"/>
    <w:rsid w:val="0021521A"/>
    <w:rsid w:val="00216255"/>
    <w:rsid w:val="00217D6B"/>
    <w:rsid w:val="00217E17"/>
    <w:rsid w:val="00222C54"/>
    <w:rsid w:val="002239BE"/>
    <w:rsid w:val="00223FA9"/>
    <w:rsid w:val="002242B4"/>
    <w:rsid w:val="00224731"/>
    <w:rsid w:val="00227046"/>
    <w:rsid w:val="00227D33"/>
    <w:rsid w:val="00227D74"/>
    <w:rsid w:val="00231300"/>
    <w:rsid w:val="0023435E"/>
    <w:rsid w:val="002346FA"/>
    <w:rsid w:val="00236108"/>
    <w:rsid w:val="00237E9F"/>
    <w:rsid w:val="002409D1"/>
    <w:rsid w:val="00241EA8"/>
    <w:rsid w:val="00242E77"/>
    <w:rsid w:val="0024310F"/>
    <w:rsid w:val="00244D4C"/>
    <w:rsid w:val="00244F40"/>
    <w:rsid w:val="00245751"/>
    <w:rsid w:val="00245BB8"/>
    <w:rsid w:val="0024733A"/>
    <w:rsid w:val="002476B3"/>
    <w:rsid w:val="00250A2A"/>
    <w:rsid w:val="00250BDD"/>
    <w:rsid w:val="00251480"/>
    <w:rsid w:val="002515CA"/>
    <w:rsid w:val="00251844"/>
    <w:rsid w:val="00251F5E"/>
    <w:rsid w:val="002538B8"/>
    <w:rsid w:val="00253DF6"/>
    <w:rsid w:val="0025412B"/>
    <w:rsid w:val="00257EA1"/>
    <w:rsid w:val="00260D11"/>
    <w:rsid w:val="00260EC9"/>
    <w:rsid w:val="002617C2"/>
    <w:rsid w:val="00262705"/>
    <w:rsid w:val="0026334C"/>
    <w:rsid w:val="00265933"/>
    <w:rsid w:val="00266549"/>
    <w:rsid w:val="00267378"/>
    <w:rsid w:val="0027130E"/>
    <w:rsid w:val="00271A97"/>
    <w:rsid w:val="00271B68"/>
    <w:rsid w:val="00272035"/>
    <w:rsid w:val="00272EBC"/>
    <w:rsid w:val="00272F06"/>
    <w:rsid w:val="00273688"/>
    <w:rsid w:val="00276603"/>
    <w:rsid w:val="00276F74"/>
    <w:rsid w:val="00277400"/>
    <w:rsid w:val="00277C4E"/>
    <w:rsid w:val="00281102"/>
    <w:rsid w:val="002852BB"/>
    <w:rsid w:val="002866CC"/>
    <w:rsid w:val="002868C1"/>
    <w:rsid w:val="00287896"/>
    <w:rsid w:val="0029080C"/>
    <w:rsid w:val="0029204C"/>
    <w:rsid w:val="002927AC"/>
    <w:rsid w:val="00292898"/>
    <w:rsid w:val="002930FA"/>
    <w:rsid w:val="00293121"/>
    <w:rsid w:val="002961D2"/>
    <w:rsid w:val="002964AD"/>
    <w:rsid w:val="0029722B"/>
    <w:rsid w:val="00297AB1"/>
    <w:rsid w:val="002A1458"/>
    <w:rsid w:val="002A1BB2"/>
    <w:rsid w:val="002A1F09"/>
    <w:rsid w:val="002A1FEA"/>
    <w:rsid w:val="002A2DCD"/>
    <w:rsid w:val="002A37E5"/>
    <w:rsid w:val="002A3E25"/>
    <w:rsid w:val="002A4070"/>
    <w:rsid w:val="002A408F"/>
    <w:rsid w:val="002A785C"/>
    <w:rsid w:val="002B22D6"/>
    <w:rsid w:val="002B27C6"/>
    <w:rsid w:val="002B2E70"/>
    <w:rsid w:val="002B3736"/>
    <w:rsid w:val="002B6BAE"/>
    <w:rsid w:val="002B6BFE"/>
    <w:rsid w:val="002B77F3"/>
    <w:rsid w:val="002C312F"/>
    <w:rsid w:val="002C36BA"/>
    <w:rsid w:val="002C3A81"/>
    <w:rsid w:val="002C720E"/>
    <w:rsid w:val="002C749B"/>
    <w:rsid w:val="002D169D"/>
    <w:rsid w:val="002D4923"/>
    <w:rsid w:val="002D4E93"/>
    <w:rsid w:val="002D66B6"/>
    <w:rsid w:val="002D7986"/>
    <w:rsid w:val="002D7E73"/>
    <w:rsid w:val="002E0BE0"/>
    <w:rsid w:val="002E0D7E"/>
    <w:rsid w:val="002E0E78"/>
    <w:rsid w:val="002E20E1"/>
    <w:rsid w:val="002E2DB6"/>
    <w:rsid w:val="002E5326"/>
    <w:rsid w:val="002E58AF"/>
    <w:rsid w:val="002E5A83"/>
    <w:rsid w:val="002E61AA"/>
    <w:rsid w:val="002E6387"/>
    <w:rsid w:val="002E676A"/>
    <w:rsid w:val="002E76C4"/>
    <w:rsid w:val="002E79D1"/>
    <w:rsid w:val="002F0374"/>
    <w:rsid w:val="002F1426"/>
    <w:rsid w:val="002F2378"/>
    <w:rsid w:val="002F4280"/>
    <w:rsid w:val="002F6681"/>
    <w:rsid w:val="002F6E93"/>
    <w:rsid w:val="002F7E32"/>
    <w:rsid w:val="00300CA6"/>
    <w:rsid w:val="003015AB"/>
    <w:rsid w:val="0030188B"/>
    <w:rsid w:val="00303C25"/>
    <w:rsid w:val="00304A81"/>
    <w:rsid w:val="00304F44"/>
    <w:rsid w:val="0030657A"/>
    <w:rsid w:val="0030767B"/>
    <w:rsid w:val="00307F4D"/>
    <w:rsid w:val="00310F85"/>
    <w:rsid w:val="003120F0"/>
    <w:rsid w:val="00312143"/>
    <w:rsid w:val="00312FDC"/>
    <w:rsid w:val="0031414A"/>
    <w:rsid w:val="003156CD"/>
    <w:rsid w:val="00316141"/>
    <w:rsid w:val="00316DFD"/>
    <w:rsid w:val="00317FB3"/>
    <w:rsid w:val="00321E91"/>
    <w:rsid w:val="003237E4"/>
    <w:rsid w:val="00324591"/>
    <w:rsid w:val="00325428"/>
    <w:rsid w:val="00325899"/>
    <w:rsid w:val="00325CF8"/>
    <w:rsid w:val="0032691E"/>
    <w:rsid w:val="003270D9"/>
    <w:rsid w:val="00327C0D"/>
    <w:rsid w:val="003302EB"/>
    <w:rsid w:val="00331406"/>
    <w:rsid w:val="003315D9"/>
    <w:rsid w:val="00332781"/>
    <w:rsid w:val="003330EB"/>
    <w:rsid w:val="003338C8"/>
    <w:rsid w:val="00334B07"/>
    <w:rsid w:val="0033513B"/>
    <w:rsid w:val="0033609C"/>
    <w:rsid w:val="0033647E"/>
    <w:rsid w:val="00336AAA"/>
    <w:rsid w:val="00337737"/>
    <w:rsid w:val="0034081A"/>
    <w:rsid w:val="003411FE"/>
    <w:rsid w:val="0034177C"/>
    <w:rsid w:val="0034286B"/>
    <w:rsid w:val="00343131"/>
    <w:rsid w:val="003437D1"/>
    <w:rsid w:val="003451D1"/>
    <w:rsid w:val="003461D8"/>
    <w:rsid w:val="00350120"/>
    <w:rsid w:val="0035271F"/>
    <w:rsid w:val="00354A63"/>
    <w:rsid w:val="00360A52"/>
    <w:rsid w:val="0036445D"/>
    <w:rsid w:val="00364A1A"/>
    <w:rsid w:val="00364A78"/>
    <w:rsid w:val="003659DE"/>
    <w:rsid w:val="00365AE6"/>
    <w:rsid w:val="00365CA5"/>
    <w:rsid w:val="003666B0"/>
    <w:rsid w:val="00366EA1"/>
    <w:rsid w:val="00367A57"/>
    <w:rsid w:val="00367CCB"/>
    <w:rsid w:val="00367DAC"/>
    <w:rsid w:val="00371717"/>
    <w:rsid w:val="00373AE1"/>
    <w:rsid w:val="00374AD8"/>
    <w:rsid w:val="00374ADF"/>
    <w:rsid w:val="0037618B"/>
    <w:rsid w:val="003776D2"/>
    <w:rsid w:val="00377853"/>
    <w:rsid w:val="00380216"/>
    <w:rsid w:val="00380F91"/>
    <w:rsid w:val="00382ABD"/>
    <w:rsid w:val="00383800"/>
    <w:rsid w:val="00383E90"/>
    <w:rsid w:val="00384036"/>
    <w:rsid w:val="00386368"/>
    <w:rsid w:val="00387AB2"/>
    <w:rsid w:val="003935E7"/>
    <w:rsid w:val="00394335"/>
    <w:rsid w:val="00394608"/>
    <w:rsid w:val="00395856"/>
    <w:rsid w:val="003A0250"/>
    <w:rsid w:val="003A231F"/>
    <w:rsid w:val="003A245B"/>
    <w:rsid w:val="003A36A8"/>
    <w:rsid w:val="003A3835"/>
    <w:rsid w:val="003A3CFC"/>
    <w:rsid w:val="003A47E9"/>
    <w:rsid w:val="003A550B"/>
    <w:rsid w:val="003A60DF"/>
    <w:rsid w:val="003A6BEF"/>
    <w:rsid w:val="003A6DE3"/>
    <w:rsid w:val="003A7A8B"/>
    <w:rsid w:val="003B02EF"/>
    <w:rsid w:val="003B0B4D"/>
    <w:rsid w:val="003B176C"/>
    <w:rsid w:val="003B5858"/>
    <w:rsid w:val="003B5A85"/>
    <w:rsid w:val="003B6C13"/>
    <w:rsid w:val="003B790D"/>
    <w:rsid w:val="003C15CD"/>
    <w:rsid w:val="003C1BD7"/>
    <w:rsid w:val="003C1C9D"/>
    <w:rsid w:val="003C2273"/>
    <w:rsid w:val="003C22E0"/>
    <w:rsid w:val="003C2DB3"/>
    <w:rsid w:val="003C309C"/>
    <w:rsid w:val="003C4C62"/>
    <w:rsid w:val="003C56F8"/>
    <w:rsid w:val="003D1112"/>
    <w:rsid w:val="003D2A20"/>
    <w:rsid w:val="003D2CBC"/>
    <w:rsid w:val="003D69C7"/>
    <w:rsid w:val="003D7114"/>
    <w:rsid w:val="003D715E"/>
    <w:rsid w:val="003D7469"/>
    <w:rsid w:val="003E0863"/>
    <w:rsid w:val="003E1A0C"/>
    <w:rsid w:val="003E1C2A"/>
    <w:rsid w:val="003E2825"/>
    <w:rsid w:val="003E3E09"/>
    <w:rsid w:val="003E3F17"/>
    <w:rsid w:val="003E597E"/>
    <w:rsid w:val="003E59C1"/>
    <w:rsid w:val="003E67E3"/>
    <w:rsid w:val="003E7410"/>
    <w:rsid w:val="003F3691"/>
    <w:rsid w:val="003F44F0"/>
    <w:rsid w:val="003F60E3"/>
    <w:rsid w:val="003F6FC2"/>
    <w:rsid w:val="003F714B"/>
    <w:rsid w:val="0040081B"/>
    <w:rsid w:val="00400C53"/>
    <w:rsid w:val="00401FDE"/>
    <w:rsid w:val="00402028"/>
    <w:rsid w:val="00402100"/>
    <w:rsid w:val="00402701"/>
    <w:rsid w:val="0040393E"/>
    <w:rsid w:val="00404381"/>
    <w:rsid w:val="00404CF8"/>
    <w:rsid w:val="0040526F"/>
    <w:rsid w:val="004053EB"/>
    <w:rsid w:val="00405657"/>
    <w:rsid w:val="0040652F"/>
    <w:rsid w:val="00406B35"/>
    <w:rsid w:val="00406B3F"/>
    <w:rsid w:val="004078BD"/>
    <w:rsid w:val="00407E24"/>
    <w:rsid w:val="004101DD"/>
    <w:rsid w:val="004106F1"/>
    <w:rsid w:val="00410814"/>
    <w:rsid w:val="004108FC"/>
    <w:rsid w:val="00410B40"/>
    <w:rsid w:val="00410BC7"/>
    <w:rsid w:val="0041156C"/>
    <w:rsid w:val="00412B02"/>
    <w:rsid w:val="004157D1"/>
    <w:rsid w:val="004162D9"/>
    <w:rsid w:val="00416622"/>
    <w:rsid w:val="004167CB"/>
    <w:rsid w:val="00416AFF"/>
    <w:rsid w:val="00416F81"/>
    <w:rsid w:val="004171CA"/>
    <w:rsid w:val="0041760E"/>
    <w:rsid w:val="00417CA0"/>
    <w:rsid w:val="00420A16"/>
    <w:rsid w:val="0042167B"/>
    <w:rsid w:val="004222DB"/>
    <w:rsid w:val="00425237"/>
    <w:rsid w:val="0042741C"/>
    <w:rsid w:val="00427BF0"/>
    <w:rsid w:val="004306E2"/>
    <w:rsid w:val="0043135F"/>
    <w:rsid w:val="00432423"/>
    <w:rsid w:val="00432BF2"/>
    <w:rsid w:val="00434155"/>
    <w:rsid w:val="00434279"/>
    <w:rsid w:val="004344B3"/>
    <w:rsid w:val="004344CF"/>
    <w:rsid w:val="00436978"/>
    <w:rsid w:val="00437308"/>
    <w:rsid w:val="0043797F"/>
    <w:rsid w:val="0044017B"/>
    <w:rsid w:val="00441E3E"/>
    <w:rsid w:val="004425EA"/>
    <w:rsid w:val="00443888"/>
    <w:rsid w:val="0044393A"/>
    <w:rsid w:val="0044417A"/>
    <w:rsid w:val="004467C8"/>
    <w:rsid w:val="00446CCA"/>
    <w:rsid w:val="00451136"/>
    <w:rsid w:val="0045163E"/>
    <w:rsid w:val="0045166C"/>
    <w:rsid w:val="00452BF9"/>
    <w:rsid w:val="00452FAE"/>
    <w:rsid w:val="004537FC"/>
    <w:rsid w:val="00453F77"/>
    <w:rsid w:val="00454B95"/>
    <w:rsid w:val="004559E1"/>
    <w:rsid w:val="00456E98"/>
    <w:rsid w:val="00457114"/>
    <w:rsid w:val="00457F15"/>
    <w:rsid w:val="00460447"/>
    <w:rsid w:val="004611AB"/>
    <w:rsid w:val="00461588"/>
    <w:rsid w:val="004664F1"/>
    <w:rsid w:val="004668D0"/>
    <w:rsid w:val="00467B70"/>
    <w:rsid w:val="00467E15"/>
    <w:rsid w:val="00472D00"/>
    <w:rsid w:val="0047416A"/>
    <w:rsid w:val="00475018"/>
    <w:rsid w:val="0048036A"/>
    <w:rsid w:val="004809D9"/>
    <w:rsid w:val="004831D8"/>
    <w:rsid w:val="0048401E"/>
    <w:rsid w:val="00484BDB"/>
    <w:rsid w:val="00484F7C"/>
    <w:rsid w:val="0048531F"/>
    <w:rsid w:val="004909E5"/>
    <w:rsid w:val="004945DE"/>
    <w:rsid w:val="00494BED"/>
    <w:rsid w:val="00495A27"/>
    <w:rsid w:val="004A10FC"/>
    <w:rsid w:val="004A14B0"/>
    <w:rsid w:val="004A1B35"/>
    <w:rsid w:val="004A1E66"/>
    <w:rsid w:val="004A2447"/>
    <w:rsid w:val="004A4851"/>
    <w:rsid w:val="004A5390"/>
    <w:rsid w:val="004B08CB"/>
    <w:rsid w:val="004B15B6"/>
    <w:rsid w:val="004B2DDC"/>
    <w:rsid w:val="004B40B6"/>
    <w:rsid w:val="004B588B"/>
    <w:rsid w:val="004B58F4"/>
    <w:rsid w:val="004B65C7"/>
    <w:rsid w:val="004B6C25"/>
    <w:rsid w:val="004B6F09"/>
    <w:rsid w:val="004C0DB3"/>
    <w:rsid w:val="004C143D"/>
    <w:rsid w:val="004C28AE"/>
    <w:rsid w:val="004C2B28"/>
    <w:rsid w:val="004C47F4"/>
    <w:rsid w:val="004C5CE0"/>
    <w:rsid w:val="004C5D97"/>
    <w:rsid w:val="004C617E"/>
    <w:rsid w:val="004C7949"/>
    <w:rsid w:val="004D0C2C"/>
    <w:rsid w:val="004D1198"/>
    <w:rsid w:val="004D1794"/>
    <w:rsid w:val="004D19E4"/>
    <w:rsid w:val="004D22A9"/>
    <w:rsid w:val="004D372C"/>
    <w:rsid w:val="004D6435"/>
    <w:rsid w:val="004D7F31"/>
    <w:rsid w:val="004E1090"/>
    <w:rsid w:val="004E1647"/>
    <w:rsid w:val="004E1B1B"/>
    <w:rsid w:val="004E38CC"/>
    <w:rsid w:val="004E3EC8"/>
    <w:rsid w:val="004E3F89"/>
    <w:rsid w:val="004E4BFC"/>
    <w:rsid w:val="004E52F6"/>
    <w:rsid w:val="004E5670"/>
    <w:rsid w:val="004E6B59"/>
    <w:rsid w:val="004F1619"/>
    <w:rsid w:val="004F2FD4"/>
    <w:rsid w:val="004F3AA1"/>
    <w:rsid w:val="004F3E76"/>
    <w:rsid w:val="004F66D6"/>
    <w:rsid w:val="004F7C65"/>
    <w:rsid w:val="00500A08"/>
    <w:rsid w:val="00500C64"/>
    <w:rsid w:val="00502277"/>
    <w:rsid w:val="00502FCA"/>
    <w:rsid w:val="00503E1F"/>
    <w:rsid w:val="005054C3"/>
    <w:rsid w:val="005067FE"/>
    <w:rsid w:val="00511D25"/>
    <w:rsid w:val="00512B87"/>
    <w:rsid w:val="00512BD8"/>
    <w:rsid w:val="00513AF6"/>
    <w:rsid w:val="0051564A"/>
    <w:rsid w:val="00516C5F"/>
    <w:rsid w:val="005214BA"/>
    <w:rsid w:val="005243B0"/>
    <w:rsid w:val="00525237"/>
    <w:rsid w:val="005260C6"/>
    <w:rsid w:val="005264D0"/>
    <w:rsid w:val="005265DE"/>
    <w:rsid w:val="005268E7"/>
    <w:rsid w:val="00527282"/>
    <w:rsid w:val="00530217"/>
    <w:rsid w:val="00530BBA"/>
    <w:rsid w:val="0053145D"/>
    <w:rsid w:val="00532AC9"/>
    <w:rsid w:val="00532FFD"/>
    <w:rsid w:val="00533344"/>
    <w:rsid w:val="00533645"/>
    <w:rsid w:val="00536696"/>
    <w:rsid w:val="00536BDA"/>
    <w:rsid w:val="0053761F"/>
    <w:rsid w:val="005379DC"/>
    <w:rsid w:val="00537EF7"/>
    <w:rsid w:val="00541DF5"/>
    <w:rsid w:val="00542156"/>
    <w:rsid w:val="00543B59"/>
    <w:rsid w:val="00544257"/>
    <w:rsid w:val="0054564A"/>
    <w:rsid w:val="0054569A"/>
    <w:rsid w:val="0054685F"/>
    <w:rsid w:val="00546F28"/>
    <w:rsid w:val="00550F70"/>
    <w:rsid w:val="0055207F"/>
    <w:rsid w:val="005529F7"/>
    <w:rsid w:val="005538ED"/>
    <w:rsid w:val="00555A61"/>
    <w:rsid w:val="00555D4A"/>
    <w:rsid w:val="00557395"/>
    <w:rsid w:val="0055774B"/>
    <w:rsid w:val="005626EB"/>
    <w:rsid w:val="0056333C"/>
    <w:rsid w:val="00565F33"/>
    <w:rsid w:val="0056662E"/>
    <w:rsid w:val="00566B82"/>
    <w:rsid w:val="00567BA3"/>
    <w:rsid w:val="00570B0A"/>
    <w:rsid w:val="0057274E"/>
    <w:rsid w:val="00573704"/>
    <w:rsid w:val="00574651"/>
    <w:rsid w:val="0057467F"/>
    <w:rsid w:val="00574A3F"/>
    <w:rsid w:val="0057576C"/>
    <w:rsid w:val="005757E8"/>
    <w:rsid w:val="005768BC"/>
    <w:rsid w:val="00576D4E"/>
    <w:rsid w:val="005778F9"/>
    <w:rsid w:val="00577F0C"/>
    <w:rsid w:val="00580115"/>
    <w:rsid w:val="00582628"/>
    <w:rsid w:val="005841DA"/>
    <w:rsid w:val="00584B6E"/>
    <w:rsid w:val="0058524F"/>
    <w:rsid w:val="00585793"/>
    <w:rsid w:val="005863EC"/>
    <w:rsid w:val="00586C57"/>
    <w:rsid w:val="00586CF2"/>
    <w:rsid w:val="00590569"/>
    <w:rsid w:val="00590FBC"/>
    <w:rsid w:val="00593621"/>
    <w:rsid w:val="005953B4"/>
    <w:rsid w:val="005963FF"/>
    <w:rsid w:val="00596D83"/>
    <w:rsid w:val="00597D0E"/>
    <w:rsid w:val="005A094F"/>
    <w:rsid w:val="005A1671"/>
    <w:rsid w:val="005A1AD3"/>
    <w:rsid w:val="005A1C77"/>
    <w:rsid w:val="005A230D"/>
    <w:rsid w:val="005A4012"/>
    <w:rsid w:val="005A616D"/>
    <w:rsid w:val="005A632D"/>
    <w:rsid w:val="005A7505"/>
    <w:rsid w:val="005B4E03"/>
    <w:rsid w:val="005B776B"/>
    <w:rsid w:val="005C1068"/>
    <w:rsid w:val="005C2509"/>
    <w:rsid w:val="005C2B69"/>
    <w:rsid w:val="005C2DAD"/>
    <w:rsid w:val="005C35A3"/>
    <w:rsid w:val="005C5549"/>
    <w:rsid w:val="005C682E"/>
    <w:rsid w:val="005C701B"/>
    <w:rsid w:val="005C7F93"/>
    <w:rsid w:val="005D2199"/>
    <w:rsid w:val="005D27A0"/>
    <w:rsid w:val="005D2C58"/>
    <w:rsid w:val="005D40F1"/>
    <w:rsid w:val="005D547D"/>
    <w:rsid w:val="005D5D8D"/>
    <w:rsid w:val="005D6B70"/>
    <w:rsid w:val="005D714C"/>
    <w:rsid w:val="005D7AC2"/>
    <w:rsid w:val="005E1AE6"/>
    <w:rsid w:val="005E1BF5"/>
    <w:rsid w:val="005E2A00"/>
    <w:rsid w:val="005E32F3"/>
    <w:rsid w:val="005E73D5"/>
    <w:rsid w:val="005E7A9E"/>
    <w:rsid w:val="005F05A4"/>
    <w:rsid w:val="005F0C76"/>
    <w:rsid w:val="005F10DF"/>
    <w:rsid w:val="005F27D7"/>
    <w:rsid w:val="005F79AF"/>
    <w:rsid w:val="005F7A3B"/>
    <w:rsid w:val="00600F2E"/>
    <w:rsid w:val="0060112C"/>
    <w:rsid w:val="00601DBB"/>
    <w:rsid w:val="00602203"/>
    <w:rsid w:val="006045E7"/>
    <w:rsid w:val="00604DDB"/>
    <w:rsid w:val="00607A0C"/>
    <w:rsid w:val="00607FA4"/>
    <w:rsid w:val="00610AF9"/>
    <w:rsid w:val="00611FE4"/>
    <w:rsid w:val="006152A3"/>
    <w:rsid w:val="00615629"/>
    <w:rsid w:val="00616735"/>
    <w:rsid w:val="00624CDD"/>
    <w:rsid w:val="00625A1F"/>
    <w:rsid w:val="006261DB"/>
    <w:rsid w:val="006320C7"/>
    <w:rsid w:val="00633952"/>
    <w:rsid w:val="006345C0"/>
    <w:rsid w:val="0063519E"/>
    <w:rsid w:val="006351BC"/>
    <w:rsid w:val="00637A80"/>
    <w:rsid w:val="00640441"/>
    <w:rsid w:val="00640D05"/>
    <w:rsid w:val="0064121C"/>
    <w:rsid w:val="006422B2"/>
    <w:rsid w:val="006428BE"/>
    <w:rsid w:val="00643CD0"/>
    <w:rsid w:val="00643D30"/>
    <w:rsid w:val="0064410D"/>
    <w:rsid w:val="00644400"/>
    <w:rsid w:val="006453B3"/>
    <w:rsid w:val="00646556"/>
    <w:rsid w:val="00646CC9"/>
    <w:rsid w:val="0064771D"/>
    <w:rsid w:val="0065031F"/>
    <w:rsid w:val="00650B6F"/>
    <w:rsid w:val="00652ED1"/>
    <w:rsid w:val="00653640"/>
    <w:rsid w:val="00653C77"/>
    <w:rsid w:val="006546A5"/>
    <w:rsid w:val="006549C4"/>
    <w:rsid w:val="0065656D"/>
    <w:rsid w:val="00660CDA"/>
    <w:rsid w:val="006611E6"/>
    <w:rsid w:val="00661692"/>
    <w:rsid w:val="00661EB8"/>
    <w:rsid w:val="006628FB"/>
    <w:rsid w:val="00663D93"/>
    <w:rsid w:val="00665393"/>
    <w:rsid w:val="00667414"/>
    <w:rsid w:val="006706A7"/>
    <w:rsid w:val="006710B0"/>
    <w:rsid w:val="00671CA0"/>
    <w:rsid w:val="00671F73"/>
    <w:rsid w:val="00673734"/>
    <w:rsid w:val="00674668"/>
    <w:rsid w:val="00675B71"/>
    <w:rsid w:val="00677335"/>
    <w:rsid w:val="00677D6C"/>
    <w:rsid w:val="00680348"/>
    <w:rsid w:val="006803DE"/>
    <w:rsid w:val="00681680"/>
    <w:rsid w:val="00681FA8"/>
    <w:rsid w:val="006823E2"/>
    <w:rsid w:val="00683293"/>
    <w:rsid w:val="0068374F"/>
    <w:rsid w:val="0068403C"/>
    <w:rsid w:val="00685BEF"/>
    <w:rsid w:val="00687E30"/>
    <w:rsid w:val="00693F62"/>
    <w:rsid w:val="0069495D"/>
    <w:rsid w:val="0069660C"/>
    <w:rsid w:val="00696619"/>
    <w:rsid w:val="00697887"/>
    <w:rsid w:val="006A0470"/>
    <w:rsid w:val="006A328B"/>
    <w:rsid w:val="006A40F6"/>
    <w:rsid w:val="006B2193"/>
    <w:rsid w:val="006B3B76"/>
    <w:rsid w:val="006B4694"/>
    <w:rsid w:val="006B4B1D"/>
    <w:rsid w:val="006B50C5"/>
    <w:rsid w:val="006B6144"/>
    <w:rsid w:val="006B6D7E"/>
    <w:rsid w:val="006B6E73"/>
    <w:rsid w:val="006B716E"/>
    <w:rsid w:val="006C01C1"/>
    <w:rsid w:val="006C086B"/>
    <w:rsid w:val="006C0C06"/>
    <w:rsid w:val="006C1669"/>
    <w:rsid w:val="006C3301"/>
    <w:rsid w:val="006C3B11"/>
    <w:rsid w:val="006C4C7C"/>
    <w:rsid w:val="006C4DE5"/>
    <w:rsid w:val="006C6220"/>
    <w:rsid w:val="006D0D45"/>
    <w:rsid w:val="006D0E75"/>
    <w:rsid w:val="006D10FC"/>
    <w:rsid w:val="006D19A8"/>
    <w:rsid w:val="006D1BFB"/>
    <w:rsid w:val="006D1D16"/>
    <w:rsid w:val="006D1F6A"/>
    <w:rsid w:val="006D229D"/>
    <w:rsid w:val="006D2412"/>
    <w:rsid w:val="006D2834"/>
    <w:rsid w:val="006D30E4"/>
    <w:rsid w:val="006D4CD9"/>
    <w:rsid w:val="006D63E4"/>
    <w:rsid w:val="006D6851"/>
    <w:rsid w:val="006D77AA"/>
    <w:rsid w:val="006E0AB9"/>
    <w:rsid w:val="006E14D1"/>
    <w:rsid w:val="006E1B84"/>
    <w:rsid w:val="006E20E7"/>
    <w:rsid w:val="006E3654"/>
    <w:rsid w:val="006E4150"/>
    <w:rsid w:val="006E425A"/>
    <w:rsid w:val="006E4662"/>
    <w:rsid w:val="006E6E2C"/>
    <w:rsid w:val="006E72C4"/>
    <w:rsid w:val="006E7845"/>
    <w:rsid w:val="006F1B94"/>
    <w:rsid w:val="006F2233"/>
    <w:rsid w:val="006F4AFA"/>
    <w:rsid w:val="006F4FB0"/>
    <w:rsid w:val="00700CF7"/>
    <w:rsid w:val="007010B5"/>
    <w:rsid w:val="00703561"/>
    <w:rsid w:val="00705E8B"/>
    <w:rsid w:val="00706F6F"/>
    <w:rsid w:val="0070784A"/>
    <w:rsid w:val="00707C63"/>
    <w:rsid w:val="007121B6"/>
    <w:rsid w:val="0071523C"/>
    <w:rsid w:val="0071668E"/>
    <w:rsid w:val="00716FFB"/>
    <w:rsid w:val="007171B4"/>
    <w:rsid w:val="00720232"/>
    <w:rsid w:val="0072043C"/>
    <w:rsid w:val="00720AC5"/>
    <w:rsid w:val="00721127"/>
    <w:rsid w:val="00723388"/>
    <w:rsid w:val="00723679"/>
    <w:rsid w:val="00726D70"/>
    <w:rsid w:val="00727E2D"/>
    <w:rsid w:val="00730185"/>
    <w:rsid w:val="00730B53"/>
    <w:rsid w:val="00730CE4"/>
    <w:rsid w:val="00731A06"/>
    <w:rsid w:val="0073292B"/>
    <w:rsid w:val="0073424E"/>
    <w:rsid w:val="00734EAC"/>
    <w:rsid w:val="00736C5F"/>
    <w:rsid w:val="00737BBB"/>
    <w:rsid w:val="00740252"/>
    <w:rsid w:val="007416BC"/>
    <w:rsid w:val="00741EFC"/>
    <w:rsid w:val="007429AF"/>
    <w:rsid w:val="00743834"/>
    <w:rsid w:val="0074540F"/>
    <w:rsid w:val="00745700"/>
    <w:rsid w:val="00746A51"/>
    <w:rsid w:val="00750447"/>
    <w:rsid w:val="00750520"/>
    <w:rsid w:val="00750803"/>
    <w:rsid w:val="00750D10"/>
    <w:rsid w:val="00753B2A"/>
    <w:rsid w:val="00755177"/>
    <w:rsid w:val="00755BBB"/>
    <w:rsid w:val="007569C4"/>
    <w:rsid w:val="00756C88"/>
    <w:rsid w:val="00757015"/>
    <w:rsid w:val="007570EA"/>
    <w:rsid w:val="007603E7"/>
    <w:rsid w:val="0076079D"/>
    <w:rsid w:val="007609B8"/>
    <w:rsid w:val="00760E2D"/>
    <w:rsid w:val="0076189D"/>
    <w:rsid w:val="00761D66"/>
    <w:rsid w:val="00766558"/>
    <w:rsid w:val="00766AA1"/>
    <w:rsid w:val="00766C6B"/>
    <w:rsid w:val="007678FA"/>
    <w:rsid w:val="00770764"/>
    <w:rsid w:val="00770D88"/>
    <w:rsid w:val="00771C63"/>
    <w:rsid w:val="00771F92"/>
    <w:rsid w:val="00772625"/>
    <w:rsid w:val="00772744"/>
    <w:rsid w:val="00773705"/>
    <w:rsid w:val="00773D66"/>
    <w:rsid w:val="00773E38"/>
    <w:rsid w:val="00775BBC"/>
    <w:rsid w:val="00775DD3"/>
    <w:rsid w:val="0077651D"/>
    <w:rsid w:val="00776EC7"/>
    <w:rsid w:val="00777425"/>
    <w:rsid w:val="0077777B"/>
    <w:rsid w:val="00777C81"/>
    <w:rsid w:val="00777E09"/>
    <w:rsid w:val="007820F2"/>
    <w:rsid w:val="00783AD9"/>
    <w:rsid w:val="00784135"/>
    <w:rsid w:val="0078549D"/>
    <w:rsid w:val="00785A7A"/>
    <w:rsid w:val="00787777"/>
    <w:rsid w:val="007903C1"/>
    <w:rsid w:val="007908EE"/>
    <w:rsid w:val="00791165"/>
    <w:rsid w:val="00792244"/>
    <w:rsid w:val="007935A8"/>
    <w:rsid w:val="00793D31"/>
    <w:rsid w:val="00794184"/>
    <w:rsid w:val="00795CDC"/>
    <w:rsid w:val="00797B32"/>
    <w:rsid w:val="007A3A19"/>
    <w:rsid w:val="007A46E6"/>
    <w:rsid w:val="007A4B6B"/>
    <w:rsid w:val="007A7D1A"/>
    <w:rsid w:val="007A7D83"/>
    <w:rsid w:val="007B10E6"/>
    <w:rsid w:val="007B58EE"/>
    <w:rsid w:val="007B59A8"/>
    <w:rsid w:val="007B662F"/>
    <w:rsid w:val="007C1E55"/>
    <w:rsid w:val="007C34C2"/>
    <w:rsid w:val="007C3DC3"/>
    <w:rsid w:val="007C5AD5"/>
    <w:rsid w:val="007C6A0E"/>
    <w:rsid w:val="007C749F"/>
    <w:rsid w:val="007C7950"/>
    <w:rsid w:val="007D0103"/>
    <w:rsid w:val="007D08FB"/>
    <w:rsid w:val="007D09F2"/>
    <w:rsid w:val="007D0CA5"/>
    <w:rsid w:val="007D20E7"/>
    <w:rsid w:val="007D21A6"/>
    <w:rsid w:val="007D247C"/>
    <w:rsid w:val="007D2841"/>
    <w:rsid w:val="007D2BBB"/>
    <w:rsid w:val="007D4D67"/>
    <w:rsid w:val="007D68B3"/>
    <w:rsid w:val="007D7559"/>
    <w:rsid w:val="007E03CB"/>
    <w:rsid w:val="007E05DF"/>
    <w:rsid w:val="007E1F6D"/>
    <w:rsid w:val="007E3904"/>
    <w:rsid w:val="007E4A81"/>
    <w:rsid w:val="007E5C1D"/>
    <w:rsid w:val="007E7299"/>
    <w:rsid w:val="007F0F68"/>
    <w:rsid w:val="007F14C2"/>
    <w:rsid w:val="007F18F4"/>
    <w:rsid w:val="007F1EB5"/>
    <w:rsid w:val="007F1F39"/>
    <w:rsid w:val="007F35CE"/>
    <w:rsid w:val="007F3CFA"/>
    <w:rsid w:val="007F42CB"/>
    <w:rsid w:val="007F56B7"/>
    <w:rsid w:val="007F7581"/>
    <w:rsid w:val="00800925"/>
    <w:rsid w:val="00801458"/>
    <w:rsid w:val="00804656"/>
    <w:rsid w:val="008046C0"/>
    <w:rsid w:val="008047E0"/>
    <w:rsid w:val="0080591C"/>
    <w:rsid w:val="008062C7"/>
    <w:rsid w:val="0081102C"/>
    <w:rsid w:val="00811142"/>
    <w:rsid w:val="00812A54"/>
    <w:rsid w:val="00814320"/>
    <w:rsid w:val="0081529D"/>
    <w:rsid w:val="00817CA0"/>
    <w:rsid w:val="0082265E"/>
    <w:rsid w:val="0082319C"/>
    <w:rsid w:val="00825695"/>
    <w:rsid w:val="008258BC"/>
    <w:rsid w:val="00830A1A"/>
    <w:rsid w:val="0083388D"/>
    <w:rsid w:val="0083393E"/>
    <w:rsid w:val="00833F39"/>
    <w:rsid w:val="00835133"/>
    <w:rsid w:val="00835CC9"/>
    <w:rsid w:val="00837938"/>
    <w:rsid w:val="00840628"/>
    <w:rsid w:val="00841F77"/>
    <w:rsid w:val="00842357"/>
    <w:rsid w:val="0084246B"/>
    <w:rsid w:val="00842FD9"/>
    <w:rsid w:val="008435FB"/>
    <w:rsid w:val="00843D4F"/>
    <w:rsid w:val="00846084"/>
    <w:rsid w:val="00846422"/>
    <w:rsid w:val="008465A1"/>
    <w:rsid w:val="00846AE7"/>
    <w:rsid w:val="008478E2"/>
    <w:rsid w:val="00850D7E"/>
    <w:rsid w:val="00850DE4"/>
    <w:rsid w:val="008516EF"/>
    <w:rsid w:val="008525A5"/>
    <w:rsid w:val="008537A3"/>
    <w:rsid w:val="008541EA"/>
    <w:rsid w:val="00854B7A"/>
    <w:rsid w:val="008574D9"/>
    <w:rsid w:val="00861862"/>
    <w:rsid w:val="00861C28"/>
    <w:rsid w:val="00863F84"/>
    <w:rsid w:val="00866D11"/>
    <w:rsid w:val="00867692"/>
    <w:rsid w:val="008676C4"/>
    <w:rsid w:val="00870567"/>
    <w:rsid w:val="008707FE"/>
    <w:rsid w:val="00872C89"/>
    <w:rsid w:val="00873299"/>
    <w:rsid w:val="008767DE"/>
    <w:rsid w:val="00876886"/>
    <w:rsid w:val="008803F3"/>
    <w:rsid w:val="0088468F"/>
    <w:rsid w:val="00884E8F"/>
    <w:rsid w:val="00885E61"/>
    <w:rsid w:val="00886429"/>
    <w:rsid w:val="008879EB"/>
    <w:rsid w:val="00887AC1"/>
    <w:rsid w:val="008900D9"/>
    <w:rsid w:val="008906C6"/>
    <w:rsid w:val="008930F6"/>
    <w:rsid w:val="008931CB"/>
    <w:rsid w:val="008934E6"/>
    <w:rsid w:val="00894210"/>
    <w:rsid w:val="0089511A"/>
    <w:rsid w:val="0089630E"/>
    <w:rsid w:val="00896E2A"/>
    <w:rsid w:val="00897A6C"/>
    <w:rsid w:val="008A06C3"/>
    <w:rsid w:val="008A10DF"/>
    <w:rsid w:val="008A1703"/>
    <w:rsid w:val="008A201E"/>
    <w:rsid w:val="008A4350"/>
    <w:rsid w:val="008A4CA5"/>
    <w:rsid w:val="008A7A39"/>
    <w:rsid w:val="008A7DE1"/>
    <w:rsid w:val="008B0C46"/>
    <w:rsid w:val="008B2207"/>
    <w:rsid w:val="008B28A9"/>
    <w:rsid w:val="008B3333"/>
    <w:rsid w:val="008B61C2"/>
    <w:rsid w:val="008B7A60"/>
    <w:rsid w:val="008C10A5"/>
    <w:rsid w:val="008C11B7"/>
    <w:rsid w:val="008C432F"/>
    <w:rsid w:val="008C555B"/>
    <w:rsid w:val="008C699E"/>
    <w:rsid w:val="008D1329"/>
    <w:rsid w:val="008D18D5"/>
    <w:rsid w:val="008D1BD8"/>
    <w:rsid w:val="008D1FE0"/>
    <w:rsid w:val="008D44FF"/>
    <w:rsid w:val="008D4FE5"/>
    <w:rsid w:val="008D703C"/>
    <w:rsid w:val="008D7C8E"/>
    <w:rsid w:val="008E0F15"/>
    <w:rsid w:val="008E23F2"/>
    <w:rsid w:val="008E4004"/>
    <w:rsid w:val="008E62E2"/>
    <w:rsid w:val="008E79BE"/>
    <w:rsid w:val="008E7C6C"/>
    <w:rsid w:val="008F1040"/>
    <w:rsid w:val="008F3096"/>
    <w:rsid w:val="008F41D8"/>
    <w:rsid w:val="008F4213"/>
    <w:rsid w:val="008F430D"/>
    <w:rsid w:val="008F4658"/>
    <w:rsid w:val="008F7056"/>
    <w:rsid w:val="008F7EE1"/>
    <w:rsid w:val="00901CC7"/>
    <w:rsid w:val="009033A1"/>
    <w:rsid w:val="00904091"/>
    <w:rsid w:val="0091165A"/>
    <w:rsid w:val="00914029"/>
    <w:rsid w:val="00915175"/>
    <w:rsid w:val="009159F3"/>
    <w:rsid w:val="00916D4B"/>
    <w:rsid w:val="009207E2"/>
    <w:rsid w:val="0092395D"/>
    <w:rsid w:val="00927BBF"/>
    <w:rsid w:val="00930180"/>
    <w:rsid w:val="00930E90"/>
    <w:rsid w:val="0093126F"/>
    <w:rsid w:val="0093173E"/>
    <w:rsid w:val="00931D16"/>
    <w:rsid w:val="00931DC7"/>
    <w:rsid w:val="00932867"/>
    <w:rsid w:val="009329B3"/>
    <w:rsid w:val="009333D1"/>
    <w:rsid w:val="00933CF9"/>
    <w:rsid w:val="0093646B"/>
    <w:rsid w:val="00936DAB"/>
    <w:rsid w:val="0093768C"/>
    <w:rsid w:val="0094297F"/>
    <w:rsid w:val="00944054"/>
    <w:rsid w:val="009446FA"/>
    <w:rsid w:val="00944EBE"/>
    <w:rsid w:val="00946938"/>
    <w:rsid w:val="009469C2"/>
    <w:rsid w:val="0095000B"/>
    <w:rsid w:val="00950378"/>
    <w:rsid w:val="00950708"/>
    <w:rsid w:val="00950A84"/>
    <w:rsid w:val="009518E8"/>
    <w:rsid w:val="00951F54"/>
    <w:rsid w:val="00953AB8"/>
    <w:rsid w:val="00953CE3"/>
    <w:rsid w:val="009558A8"/>
    <w:rsid w:val="00955936"/>
    <w:rsid w:val="00955EE2"/>
    <w:rsid w:val="00956937"/>
    <w:rsid w:val="00956ADA"/>
    <w:rsid w:val="00965CB7"/>
    <w:rsid w:val="00965F4B"/>
    <w:rsid w:val="00967D53"/>
    <w:rsid w:val="0097009C"/>
    <w:rsid w:val="0097076E"/>
    <w:rsid w:val="00971AAB"/>
    <w:rsid w:val="009721E1"/>
    <w:rsid w:val="0097462F"/>
    <w:rsid w:val="00975029"/>
    <w:rsid w:val="0097513A"/>
    <w:rsid w:val="0097516D"/>
    <w:rsid w:val="00977B39"/>
    <w:rsid w:val="00980D98"/>
    <w:rsid w:val="00981879"/>
    <w:rsid w:val="00981B5E"/>
    <w:rsid w:val="0098247F"/>
    <w:rsid w:val="00982A83"/>
    <w:rsid w:val="00986E61"/>
    <w:rsid w:val="0098700B"/>
    <w:rsid w:val="009877F5"/>
    <w:rsid w:val="00990DE9"/>
    <w:rsid w:val="00991297"/>
    <w:rsid w:val="0099272F"/>
    <w:rsid w:val="00992D16"/>
    <w:rsid w:val="009930F4"/>
    <w:rsid w:val="0099559E"/>
    <w:rsid w:val="00995E42"/>
    <w:rsid w:val="009961F3"/>
    <w:rsid w:val="009963C0"/>
    <w:rsid w:val="00997E77"/>
    <w:rsid w:val="009A0860"/>
    <w:rsid w:val="009A0E11"/>
    <w:rsid w:val="009A1147"/>
    <w:rsid w:val="009A4F15"/>
    <w:rsid w:val="009A5974"/>
    <w:rsid w:val="009A633B"/>
    <w:rsid w:val="009A6C7C"/>
    <w:rsid w:val="009A7B31"/>
    <w:rsid w:val="009B0483"/>
    <w:rsid w:val="009B1457"/>
    <w:rsid w:val="009B2D24"/>
    <w:rsid w:val="009B4D87"/>
    <w:rsid w:val="009B5090"/>
    <w:rsid w:val="009B6D10"/>
    <w:rsid w:val="009B76E4"/>
    <w:rsid w:val="009C1B9A"/>
    <w:rsid w:val="009C3443"/>
    <w:rsid w:val="009C3AB5"/>
    <w:rsid w:val="009C48B9"/>
    <w:rsid w:val="009C5000"/>
    <w:rsid w:val="009C609A"/>
    <w:rsid w:val="009C780B"/>
    <w:rsid w:val="009D06CB"/>
    <w:rsid w:val="009D0D05"/>
    <w:rsid w:val="009D1654"/>
    <w:rsid w:val="009D1DCD"/>
    <w:rsid w:val="009D5BA6"/>
    <w:rsid w:val="009D5DB1"/>
    <w:rsid w:val="009D6013"/>
    <w:rsid w:val="009D76C4"/>
    <w:rsid w:val="009D7AB3"/>
    <w:rsid w:val="009E445C"/>
    <w:rsid w:val="009E504A"/>
    <w:rsid w:val="009E569C"/>
    <w:rsid w:val="009E71D2"/>
    <w:rsid w:val="009E775B"/>
    <w:rsid w:val="009F1C68"/>
    <w:rsid w:val="009F443B"/>
    <w:rsid w:val="009F639D"/>
    <w:rsid w:val="009F70F9"/>
    <w:rsid w:val="009F773B"/>
    <w:rsid w:val="00A01F88"/>
    <w:rsid w:val="00A020B2"/>
    <w:rsid w:val="00A03CC2"/>
    <w:rsid w:val="00A03D4B"/>
    <w:rsid w:val="00A0528D"/>
    <w:rsid w:val="00A06236"/>
    <w:rsid w:val="00A11724"/>
    <w:rsid w:val="00A130A9"/>
    <w:rsid w:val="00A1384E"/>
    <w:rsid w:val="00A157F1"/>
    <w:rsid w:val="00A16676"/>
    <w:rsid w:val="00A2079A"/>
    <w:rsid w:val="00A20E40"/>
    <w:rsid w:val="00A20FAC"/>
    <w:rsid w:val="00A21844"/>
    <w:rsid w:val="00A2259A"/>
    <w:rsid w:val="00A25F6F"/>
    <w:rsid w:val="00A26C85"/>
    <w:rsid w:val="00A27FEE"/>
    <w:rsid w:val="00A31B4C"/>
    <w:rsid w:val="00A33A8B"/>
    <w:rsid w:val="00A35898"/>
    <w:rsid w:val="00A3595D"/>
    <w:rsid w:val="00A41308"/>
    <w:rsid w:val="00A42341"/>
    <w:rsid w:val="00A43369"/>
    <w:rsid w:val="00A439F6"/>
    <w:rsid w:val="00A44FFA"/>
    <w:rsid w:val="00A45FA5"/>
    <w:rsid w:val="00A46728"/>
    <w:rsid w:val="00A502B6"/>
    <w:rsid w:val="00A524FC"/>
    <w:rsid w:val="00A54521"/>
    <w:rsid w:val="00A55561"/>
    <w:rsid w:val="00A5582F"/>
    <w:rsid w:val="00A55863"/>
    <w:rsid w:val="00A5653D"/>
    <w:rsid w:val="00A57845"/>
    <w:rsid w:val="00A63766"/>
    <w:rsid w:val="00A65411"/>
    <w:rsid w:val="00A65C44"/>
    <w:rsid w:val="00A6626D"/>
    <w:rsid w:val="00A66BB1"/>
    <w:rsid w:val="00A673FA"/>
    <w:rsid w:val="00A70425"/>
    <w:rsid w:val="00A70784"/>
    <w:rsid w:val="00A7101C"/>
    <w:rsid w:val="00A719A7"/>
    <w:rsid w:val="00A71D94"/>
    <w:rsid w:val="00A722E2"/>
    <w:rsid w:val="00A73224"/>
    <w:rsid w:val="00A74A14"/>
    <w:rsid w:val="00A773ED"/>
    <w:rsid w:val="00A77A24"/>
    <w:rsid w:val="00A8027F"/>
    <w:rsid w:val="00A8344E"/>
    <w:rsid w:val="00A83985"/>
    <w:rsid w:val="00A841DE"/>
    <w:rsid w:val="00A84A97"/>
    <w:rsid w:val="00A85CC0"/>
    <w:rsid w:val="00A8648D"/>
    <w:rsid w:val="00A9070B"/>
    <w:rsid w:val="00A912F0"/>
    <w:rsid w:val="00A91D2C"/>
    <w:rsid w:val="00A9219C"/>
    <w:rsid w:val="00A92D8A"/>
    <w:rsid w:val="00A94CAF"/>
    <w:rsid w:val="00A9671E"/>
    <w:rsid w:val="00A97F3C"/>
    <w:rsid w:val="00AA2868"/>
    <w:rsid w:val="00AA3862"/>
    <w:rsid w:val="00AA4B8F"/>
    <w:rsid w:val="00AA631A"/>
    <w:rsid w:val="00AA6487"/>
    <w:rsid w:val="00AB1011"/>
    <w:rsid w:val="00AB1A44"/>
    <w:rsid w:val="00AB27A7"/>
    <w:rsid w:val="00AB3C26"/>
    <w:rsid w:val="00AB544E"/>
    <w:rsid w:val="00AB73BF"/>
    <w:rsid w:val="00AC093F"/>
    <w:rsid w:val="00AC0ABF"/>
    <w:rsid w:val="00AC0EEC"/>
    <w:rsid w:val="00AC12DE"/>
    <w:rsid w:val="00AC1D72"/>
    <w:rsid w:val="00AC31C7"/>
    <w:rsid w:val="00AC3D36"/>
    <w:rsid w:val="00AC63ED"/>
    <w:rsid w:val="00AC71EC"/>
    <w:rsid w:val="00AC7E6D"/>
    <w:rsid w:val="00AC7FB7"/>
    <w:rsid w:val="00AD0FF1"/>
    <w:rsid w:val="00AD1A6F"/>
    <w:rsid w:val="00AD2550"/>
    <w:rsid w:val="00AD2C21"/>
    <w:rsid w:val="00AD3217"/>
    <w:rsid w:val="00AD3A37"/>
    <w:rsid w:val="00AD4B6C"/>
    <w:rsid w:val="00AD5C59"/>
    <w:rsid w:val="00AD5E76"/>
    <w:rsid w:val="00AD6358"/>
    <w:rsid w:val="00AE0FA6"/>
    <w:rsid w:val="00AE1751"/>
    <w:rsid w:val="00AE2286"/>
    <w:rsid w:val="00AE29C8"/>
    <w:rsid w:val="00AE57F8"/>
    <w:rsid w:val="00AE6A27"/>
    <w:rsid w:val="00AE6D55"/>
    <w:rsid w:val="00AE74A1"/>
    <w:rsid w:val="00AE7CA5"/>
    <w:rsid w:val="00AF03CB"/>
    <w:rsid w:val="00AF05DA"/>
    <w:rsid w:val="00AF0EA6"/>
    <w:rsid w:val="00AF2367"/>
    <w:rsid w:val="00AF3898"/>
    <w:rsid w:val="00AF57A7"/>
    <w:rsid w:val="00AF67E7"/>
    <w:rsid w:val="00AF6859"/>
    <w:rsid w:val="00AF6A46"/>
    <w:rsid w:val="00AF79A9"/>
    <w:rsid w:val="00B009FA"/>
    <w:rsid w:val="00B00AB9"/>
    <w:rsid w:val="00B012AE"/>
    <w:rsid w:val="00B036D0"/>
    <w:rsid w:val="00B0508C"/>
    <w:rsid w:val="00B06751"/>
    <w:rsid w:val="00B07B34"/>
    <w:rsid w:val="00B10490"/>
    <w:rsid w:val="00B106B7"/>
    <w:rsid w:val="00B1124C"/>
    <w:rsid w:val="00B117EC"/>
    <w:rsid w:val="00B13E62"/>
    <w:rsid w:val="00B17FB7"/>
    <w:rsid w:val="00B204E5"/>
    <w:rsid w:val="00B20922"/>
    <w:rsid w:val="00B21A70"/>
    <w:rsid w:val="00B21CAC"/>
    <w:rsid w:val="00B220BB"/>
    <w:rsid w:val="00B25CF3"/>
    <w:rsid w:val="00B266E9"/>
    <w:rsid w:val="00B2771E"/>
    <w:rsid w:val="00B30C89"/>
    <w:rsid w:val="00B30FB0"/>
    <w:rsid w:val="00B3125E"/>
    <w:rsid w:val="00B31DBE"/>
    <w:rsid w:val="00B32B57"/>
    <w:rsid w:val="00B345CC"/>
    <w:rsid w:val="00B3590F"/>
    <w:rsid w:val="00B3630F"/>
    <w:rsid w:val="00B3687C"/>
    <w:rsid w:val="00B373FC"/>
    <w:rsid w:val="00B3745C"/>
    <w:rsid w:val="00B40BE4"/>
    <w:rsid w:val="00B4238A"/>
    <w:rsid w:val="00B45AFA"/>
    <w:rsid w:val="00B47D70"/>
    <w:rsid w:val="00B50780"/>
    <w:rsid w:val="00B52B7B"/>
    <w:rsid w:val="00B534A6"/>
    <w:rsid w:val="00B56E03"/>
    <w:rsid w:val="00B579C9"/>
    <w:rsid w:val="00B57F28"/>
    <w:rsid w:val="00B61697"/>
    <w:rsid w:val="00B62DBA"/>
    <w:rsid w:val="00B63981"/>
    <w:rsid w:val="00B63BD1"/>
    <w:rsid w:val="00B65A26"/>
    <w:rsid w:val="00B7105D"/>
    <w:rsid w:val="00B732AD"/>
    <w:rsid w:val="00B752C1"/>
    <w:rsid w:val="00B75738"/>
    <w:rsid w:val="00B75BF2"/>
    <w:rsid w:val="00B75E5E"/>
    <w:rsid w:val="00B764C5"/>
    <w:rsid w:val="00B7665A"/>
    <w:rsid w:val="00B77897"/>
    <w:rsid w:val="00B778B7"/>
    <w:rsid w:val="00B77A8C"/>
    <w:rsid w:val="00B77DFB"/>
    <w:rsid w:val="00B8071E"/>
    <w:rsid w:val="00B80D66"/>
    <w:rsid w:val="00B8126A"/>
    <w:rsid w:val="00B81F44"/>
    <w:rsid w:val="00B83479"/>
    <w:rsid w:val="00B837D5"/>
    <w:rsid w:val="00B8391F"/>
    <w:rsid w:val="00B83CF3"/>
    <w:rsid w:val="00B84269"/>
    <w:rsid w:val="00B85260"/>
    <w:rsid w:val="00B8643D"/>
    <w:rsid w:val="00B877C9"/>
    <w:rsid w:val="00B900CB"/>
    <w:rsid w:val="00B90275"/>
    <w:rsid w:val="00B93A18"/>
    <w:rsid w:val="00B95AEB"/>
    <w:rsid w:val="00B966FD"/>
    <w:rsid w:val="00B96ECA"/>
    <w:rsid w:val="00BA27B4"/>
    <w:rsid w:val="00BA27CB"/>
    <w:rsid w:val="00BA2C53"/>
    <w:rsid w:val="00BA4AE9"/>
    <w:rsid w:val="00BA5F9D"/>
    <w:rsid w:val="00BA72A8"/>
    <w:rsid w:val="00BB0778"/>
    <w:rsid w:val="00BB1751"/>
    <w:rsid w:val="00BB2DA2"/>
    <w:rsid w:val="00BB3486"/>
    <w:rsid w:val="00BB3549"/>
    <w:rsid w:val="00BB5BCA"/>
    <w:rsid w:val="00BC033F"/>
    <w:rsid w:val="00BC0923"/>
    <w:rsid w:val="00BC1BB6"/>
    <w:rsid w:val="00BC1C7B"/>
    <w:rsid w:val="00BC21C7"/>
    <w:rsid w:val="00BC29DD"/>
    <w:rsid w:val="00BC67D9"/>
    <w:rsid w:val="00BD0E49"/>
    <w:rsid w:val="00BD27C0"/>
    <w:rsid w:val="00BD35F7"/>
    <w:rsid w:val="00BD5403"/>
    <w:rsid w:val="00BD6334"/>
    <w:rsid w:val="00BD6E01"/>
    <w:rsid w:val="00BD7409"/>
    <w:rsid w:val="00BE0D54"/>
    <w:rsid w:val="00BE15D5"/>
    <w:rsid w:val="00BE3DF8"/>
    <w:rsid w:val="00BE7D8C"/>
    <w:rsid w:val="00BF117D"/>
    <w:rsid w:val="00BF19C9"/>
    <w:rsid w:val="00BF1E90"/>
    <w:rsid w:val="00BF1F6D"/>
    <w:rsid w:val="00BF207F"/>
    <w:rsid w:val="00BF246B"/>
    <w:rsid w:val="00BF2778"/>
    <w:rsid w:val="00BF4765"/>
    <w:rsid w:val="00BF4ABE"/>
    <w:rsid w:val="00BF50BD"/>
    <w:rsid w:val="00BF6969"/>
    <w:rsid w:val="00BF7318"/>
    <w:rsid w:val="00BF736C"/>
    <w:rsid w:val="00BF7D67"/>
    <w:rsid w:val="00C0017F"/>
    <w:rsid w:val="00C020FE"/>
    <w:rsid w:val="00C037D4"/>
    <w:rsid w:val="00C04097"/>
    <w:rsid w:val="00C05983"/>
    <w:rsid w:val="00C06F28"/>
    <w:rsid w:val="00C074F8"/>
    <w:rsid w:val="00C07883"/>
    <w:rsid w:val="00C1099D"/>
    <w:rsid w:val="00C11D3B"/>
    <w:rsid w:val="00C12C21"/>
    <w:rsid w:val="00C1447F"/>
    <w:rsid w:val="00C14B31"/>
    <w:rsid w:val="00C17325"/>
    <w:rsid w:val="00C17FBC"/>
    <w:rsid w:val="00C227B5"/>
    <w:rsid w:val="00C229E1"/>
    <w:rsid w:val="00C236CA"/>
    <w:rsid w:val="00C24BF1"/>
    <w:rsid w:val="00C24D46"/>
    <w:rsid w:val="00C25769"/>
    <w:rsid w:val="00C26D9A"/>
    <w:rsid w:val="00C27400"/>
    <w:rsid w:val="00C27836"/>
    <w:rsid w:val="00C31B3A"/>
    <w:rsid w:val="00C3315A"/>
    <w:rsid w:val="00C3490C"/>
    <w:rsid w:val="00C35A28"/>
    <w:rsid w:val="00C35C2D"/>
    <w:rsid w:val="00C36117"/>
    <w:rsid w:val="00C3652D"/>
    <w:rsid w:val="00C3785F"/>
    <w:rsid w:val="00C4011E"/>
    <w:rsid w:val="00C41997"/>
    <w:rsid w:val="00C4268C"/>
    <w:rsid w:val="00C42A0F"/>
    <w:rsid w:val="00C43186"/>
    <w:rsid w:val="00C434E2"/>
    <w:rsid w:val="00C43623"/>
    <w:rsid w:val="00C444B6"/>
    <w:rsid w:val="00C4502E"/>
    <w:rsid w:val="00C455F1"/>
    <w:rsid w:val="00C45C17"/>
    <w:rsid w:val="00C45D1F"/>
    <w:rsid w:val="00C45FDA"/>
    <w:rsid w:val="00C46719"/>
    <w:rsid w:val="00C541D5"/>
    <w:rsid w:val="00C54C26"/>
    <w:rsid w:val="00C54D73"/>
    <w:rsid w:val="00C55AD6"/>
    <w:rsid w:val="00C56C17"/>
    <w:rsid w:val="00C5730E"/>
    <w:rsid w:val="00C604BB"/>
    <w:rsid w:val="00C6099C"/>
    <w:rsid w:val="00C618D6"/>
    <w:rsid w:val="00C61BE5"/>
    <w:rsid w:val="00C62B0F"/>
    <w:rsid w:val="00C64295"/>
    <w:rsid w:val="00C646E3"/>
    <w:rsid w:val="00C64EEA"/>
    <w:rsid w:val="00C66932"/>
    <w:rsid w:val="00C6719D"/>
    <w:rsid w:val="00C704D2"/>
    <w:rsid w:val="00C72539"/>
    <w:rsid w:val="00C73CD5"/>
    <w:rsid w:val="00C760CA"/>
    <w:rsid w:val="00C768D3"/>
    <w:rsid w:val="00C770F7"/>
    <w:rsid w:val="00C80B98"/>
    <w:rsid w:val="00C82BFD"/>
    <w:rsid w:val="00C874BA"/>
    <w:rsid w:val="00C905BB"/>
    <w:rsid w:val="00C9105C"/>
    <w:rsid w:val="00C9143A"/>
    <w:rsid w:val="00C9145F"/>
    <w:rsid w:val="00C91537"/>
    <w:rsid w:val="00C915F2"/>
    <w:rsid w:val="00C91B5F"/>
    <w:rsid w:val="00C9356C"/>
    <w:rsid w:val="00C93EB8"/>
    <w:rsid w:val="00C96774"/>
    <w:rsid w:val="00CA0C2A"/>
    <w:rsid w:val="00CA1106"/>
    <w:rsid w:val="00CA1ECA"/>
    <w:rsid w:val="00CA21BB"/>
    <w:rsid w:val="00CA25FD"/>
    <w:rsid w:val="00CA4745"/>
    <w:rsid w:val="00CA485E"/>
    <w:rsid w:val="00CA54E0"/>
    <w:rsid w:val="00CB06FC"/>
    <w:rsid w:val="00CB09E7"/>
    <w:rsid w:val="00CB1462"/>
    <w:rsid w:val="00CB1ECD"/>
    <w:rsid w:val="00CB30E8"/>
    <w:rsid w:val="00CB35B2"/>
    <w:rsid w:val="00CB5AF4"/>
    <w:rsid w:val="00CB5B0E"/>
    <w:rsid w:val="00CB78F5"/>
    <w:rsid w:val="00CC27F0"/>
    <w:rsid w:val="00CC51C3"/>
    <w:rsid w:val="00CC540D"/>
    <w:rsid w:val="00CC59AF"/>
    <w:rsid w:val="00CC5A36"/>
    <w:rsid w:val="00CC6EEB"/>
    <w:rsid w:val="00CC7E63"/>
    <w:rsid w:val="00CD0078"/>
    <w:rsid w:val="00CD015B"/>
    <w:rsid w:val="00CD06EA"/>
    <w:rsid w:val="00CD3B82"/>
    <w:rsid w:val="00CD459A"/>
    <w:rsid w:val="00CD66F9"/>
    <w:rsid w:val="00CD7245"/>
    <w:rsid w:val="00CE088D"/>
    <w:rsid w:val="00CE214F"/>
    <w:rsid w:val="00CE374B"/>
    <w:rsid w:val="00CE4718"/>
    <w:rsid w:val="00CE5320"/>
    <w:rsid w:val="00CE57E8"/>
    <w:rsid w:val="00CE5888"/>
    <w:rsid w:val="00CE5B1E"/>
    <w:rsid w:val="00CE61CF"/>
    <w:rsid w:val="00CE70CD"/>
    <w:rsid w:val="00CF027B"/>
    <w:rsid w:val="00CF047B"/>
    <w:rsid w:val="00CF0B25"/>
    <w:rsid w:val="00CF115A"/>
    <w:rsid w:val="00CF1C62"/>
    <w:rsid w:val="00CF36CF"/>
    <w:rsid w:val="00CF3AD1"/>
    <w:rsid w:val="00CF424E"/>
    <w:rsid w:val="00CF4490"/>
    <w:rsid w:val="00CF4E5E"/>
    <w:rsid w:val="00CF5B4D"/>
    <w:rsid w:val="00D0184C"/>
    <w:rsid w:val="00D02931"/>
    <w:rsid w:val="00D02A3F"/>
    <w:rsid w:val="00D03229"/>
    <w:rsid w:val="00D03ACC"/>
    <w:rsid w:val="00D04EE4"/>
    <w:rsid w:val="00D05595"/>
    <w:rsid w:val="00D059DB"/>
    <w:rsid w:val="00D05E4E"/>
    <w:rsid w:val="00D06B1D"/>
    <w:rsid w:val="00D11ACC"/>
    <w:rsid w:val="00D12273"/>
    <w:rsid w:val="00D134D5"/>
    <w:rsid w:val="00D15405"/>
    <w:rsid w:val="00D162C0"/>
    <w:rsid w:val="00D17287"/>
    <w:rsid w:val="00D17F0F"/>
    <w:rsid w:val="00D21BBD"/>
    <w:rsid w:val="00D2217D"/>
    <w:rsid w:val="00D22CFC"/>
    <w:rsid w:val="00D25C5E"/>
    <w:rsid w:val="00D25FD6"/>
    <w:rsid w:val="00D27C8D"/>
    <w:rsid w:val="00D30EE1"/>
    <w:rsid w:val="00D3258A"/>
    <w:rsid w:val="00D343D3"/>
    <w:rsid w:val="00D35E65"/>
    <w:rsid w:val="00D35F24"/>
    <w:rsid w:val="00D36962"/>
    <w:rsid w:val="00D40927"/>
    <w:rsid w:val="00D410FC"/>
    <w:rsid w:val="00D416BE"/>
    <w:rsid w:val="00D43474"/>
    <w:rsid w:val="00D43715"/>
    <w:rsid w:val="00D44312"/>
    <w:rsid w:val="00D44855"/>
    <w:rsid w:val="00D46AE8"/>
    <w:rsid w:val="00D47E18"/>
    <w:rsid w:val="00D522D1"/>
    <w:rsid w:val="00D53A7A"/>
    <w:rsid w:val="00D54742"/>
    <w:rsid w:val="00D54783"/>
    <w:rsid w:val="00D5481A"/>
    <w:rsid w:val="00D5522A"/>
    <w:rsid w:val="00D6125C"/>
    <w:rsid w:val="00D61BE2"/>
    <w:rsid w:val="00D62D32"/>
    <w:rsid w:val="00D64023"/>
    <w:rsid w:val="00D64271"/>
    <w:rsid w:val="00D64432"/>
    <w:rsid w:val="00D65324"/>
    <w:rsid w:val="00D6663E"/>
    <w:rsid w:val="00D66686"/>
    <w:rsid w:val="00D66DB6"/>
    <w:rsid w:val="00D72A49"/>
    <w:rsid w:val="00D73705"/>
    <w:rsid w:val="00D74312"/>
    <w:rsid w:val="00D74335"/>
    <w:rsid w:val="00D755A9"/>
    <w:rsid w:val="00D75EFF"/>
    <w:rsid w:val="00D765B8"/>
    <w:rsid w:val="00D80BAE"/>
    <w:rsid w:val="00D8196A"/>
    <w:rsid w:val="00D819DA"/>
    <w:rsid w:val="00D82393"/>
    <w:rsid w:val="00D8339F"/>
    <w:rsid w:val="00D8429B"/>
    <w:rsid w:val="00D848B8"/>
    <w:rsid w:val="00D849CB"/>
    <w:rsid w:val="00D84D9D"/>
    <w:rsid w:val="00D857B9"/>
    <w:rsid w:val="00D86439"/>
    <w:rsid w:val="00D879BE"/>
    <w:rsid w:val="00D90972"/>
    <w:rsid w:val="00D90CC0"/>
    <w:rsid w:val="00D9129C"/>
    <w:rsid w:val="00D91835"/>
    <w:rsid w:val="00D93157"/>
    <w:rsid w:val="00D9368E"/>
    <w:rsid w:val="00D93764"/>
    <w:rsid w:val="00D9422D"/>
    <w:rsid w:val="00D94424"/>
    <w:rsid w:val="00D94C95"/>
    <w:rsid w:val="00D97A69"/>
    <w:rsid w:val="00D97EAC"/>
    <w:rsid w:val="00DA0F70"/>
    <w:rsid w:val="00DA1ADD"/>
    <w:rsid w:val="00DA20D2"/>
    <w:rsid w:val="00DA2160"/>
    <w:rsid w:val="00DA43D0"/>
    <w:rsid w:val="00DA4CD0"/>
    <w:rsid w:val="00DB108C"/>
    <w:rsid w:val="00DB13B2"/>
    <w:rsid w:val="00DB1625"/>
    <w:rsid w:val="00DB196B"/>
    <w:rsid w:val="00DB1EF3"/>
    <w:rsid w:val="00DB3E27"/>
    <w:rsid w:val="00DB6484"/>
    <w:rsid w:val="00DC1C3C"/>
    <w:rsid w:val="00DC2B86"/>
    <w:rsid w:val="00DC508D"/>
    <w:rsid w:val="00DC6737"/>
    <w:rsid w:val="00DC7048"/>
    <w:rsid w:val="00DC75B2"/>
    <w:rsid w:val="00DC799B"/>
    <w:rsid w:val="00DC7EA5"/>
    <w:rsid w:val="00DC7FB7"/>
    <w:rsid w:val="00DD0909"/>
    <w:rsid w:val="00DD1365"/>
    <w:rsid w:val="00DD1430"/>
    <w:rsid w:val="00DD1D25"/>
    <w:rsid w:val="00DD35A1"/>
    <w:rsid w:val="00DD4567"/>
    <w:rsid w:val="00DD6AD7"/>
    <w:rsid w:val="00DE0037"/>
    <w:rsid w:val="00DE04E7"/>
    <w:rsid w:val="00DE19AA"/>
    <w:rsid w:val="00DE1D15"/>
    <w:rsid w:val="00DE43A3"/>
    <w:rsid w:val="00DE59E9"/>
    <w:rsid w:val="00DE6DE6"/>
    <w:rsid w:val="00DE6F14"/>
    <w:rsid w:val="00DF0230"/>
    <w:rsid w:val="00DF0E28"/>
    <w:rsid w:val="00DF1079"/>
    <w:rsid w:val="00DF3F24"/>
    <w:rsid w:val="00DF4FB2"/>
    <w:rsid w:val="00DF5040"/>
    <w:rsid w:val="00DF5476"/>
    <w:rsid w:val="00E00699"/>
    <w:rsid w:val="00E012FF"/>
    <w:rsid w:val="00E02281"/>
    <w:rsid w:val="00E04D6C"/>
    <w:rsid w:val="00E04E6E"/>
    <w:rsid w:val="00E0569F"/>
    <w:rsid w:val="00E06461"/>
    <w:rsid w:val="00E0681F"/>
    <w:rsid w:val="00E068B5"/>
    <w:rsid w:val="00E07F2E"/>
    <w:rsid w:val="00E1097A"/>
    <w:rsid w:val="00E147B7"/>
    <w:rsid w:val="00E15B74"/>
    <w:rsid w:val="00E17084"/>
    <w:rsid w:val="00E2072B"/>
    <w:rsid w:val="00E21BAA"/>
    <w:rsid w:val="00E22A01"/>
    <w:rsid w:val="00E22E1A"/>
    <w:rsid w:val="00E2319B"/>
    <w:rsid w:val="00E2472A"/>
    <w:rsid w:val="00E27938"/>
    <w:rsid w:val="00E30992"/>
    <w:rsid w:val="00E30CAD"/>
    <w:rsid w:val="00E31D83"/>
    <w:rsid w:val="00E32FB3"/>
    <w:rsid w:val="00E345B0"/>
    <w:rsid w:val="00E34FB8"/>
    <w:rsid w:val="00E370DA"/>
    <w:rsid w:val="00E3745E"/>
    <w:rsid w:val="00E3778A"/>
    <w:rsid w:val="00E400D6"/>
    <w:rsid w:val="00E40845"/>
    <w:rsid w:val="00E41F34"/>
    <w:rsid w:val="00E46584"/>
    <w:rsid w:val="00E47162"/>
    <w:rsid w:val="00E4719E"/>
    <w:rsid w:val="00E4750F"/>
    <w:rsid w:val="00E519DE"/>
    <w:rsid w:val="00E53808"/>
    <w:rsid w:val="00E542D9"/>
    <w:rsid w:val="00E547B1"/>
    <w:rsid w:val="00E54E52"/>
    <w:rsid w:val="00E5526D"/>
    <w:rsid w:val="00E552A6"/>
    <w:rsid w:val="00E5585C"/>
    <w:rsid w:val="00E56518"/>
    <w:rsid w:val="00E57561"/>
    <w:rsid w:val="00E610F3"/>
    <w:rsid w:val="00E61A1C"/>
    <w:rsid w:val="00E61D5F"/>
    <w:rsid w:val="00E621AC"/>
    <w:rsid w:val="00E6319C"/>
    <w:rsid w:val="00E64C6F"/>
    <w:rsid w:val="00E6508C"/>
    <w:rsid w:val="00E6641B"/>
    <w:rsid w:val="00E74C38"/>
    <w:rsid w:val="00E74E13"/>
    <w:rsid w:val="00E75416"/>
    <w:rsid w:val="00E758B5"/>
    <w:rsid w:val="00E76472"/>
    <w:rsid w:val="00E7677A"/>
    <w:rsid w:val="00E77C78"/>
    <w:rsid w:val="00E8075C"/>
    <w:rsid w:val="00E80B4A"/>
    <w:rsid w:val="00E81415"/>
    <w:rsid w:val="00E8173D"/>
    <w:rsid w:val="00E8182F"/>
    <w:rsid w:val="00E81D69"/>
    <w:rsid w:val="00E82FF4"/>
    <w:rsid w:val="00E83277"/>
    <w:rsid w:val="00E8365C"/>
    <w:rsid w:val="00E8371E"/>
    <w:rsid w:val="00E841C4"/>
    <w:rsid w:val="00E845EA"/>
    <w:rsid w:val="00E84C7D"/>
    <w:rsid w:val="00E8669C"/>
    <w:rsid w:val="00E87312"/>
    <w:rsid w:val="00E873F7"/>
    <w:rsid w:val="00E8772C"/>
    <w:rsid w:val="00E87881"/>
    <w:rsid w:val="00E87C9A"/>
    <w:rsid w:val="00E907D3"/>
    <w:rsid w:val="00E9144D"/>
    <w:rsid w:val="00E91E2A"/>
    <w:rsid w:val="00E953BA"/>
    <w:rsid w:val="00E966C3"/>
    <w:rsid w:val="00E96A67"/>
    <w:rsid w:val="00E96CF3"/>
    <w:rsid w:val="00E9748B"/>
    <w:rsid w:val="00E97588"/>
    <w:rsid w:val="00EA1020"/>
    <w:rsid w:val="00EA179F"/>
    <w:rsid w:val="00EA2355"/>
    <w:rsid w:val="00EA4330"/>
    <w:rsid w:val="00EA44AD"/>
    <w:rsid w:val="00EA4C12"/>
    <w:rsid w:val="00EA6575"/>
    <w:rsid w:val="00EA7BB3"/>
    <w:rsid w:val="00EB0119"/>
    <w:rsid w:val="00EB1375"/>
    <w:rsid w:val="00EB1477"/>
    <w:rsid w:val="00EB3D26"/>
    <w:rsid w:val="00EB3E7A"/>
    <w:rsid w:val="00EC207E"/>
    <w:rsid w:val="00EC36B3"/>
    <w:rsid w:val="00EC3D8B"/>
    <w:rsid w:val="00EC4BCF"/>
    <w:rsid w:val="00EC57C1"/>
    <w:rsid w:val="00EC5E9A"/>
    <w:rsid w:val="00EC69BC"/>
    <w:rsid w:val="00EC6CCF"/>
    <w:rsid w:val="00EC6CD5"/>
    <w:rsid w:val="00EC775A"/>
    <w:rsid w:val="00EC7D8C"/>
    <w:rsid w:val="00ED0838"/>
    <w:rsid w:val="00ED2AE4"/>
    <w:rsid w:val="00ED3922"/>
    <w:rsid w:val="00ED404E"/>
    <w:rsid w:val="00ED42B5"/>
    <w:rsid w:val="00ED5205"/>
    <w:rsid w:val="00ED607A"/>
    <w:rsid w:val="00ED6C7A"/>
    <w:rsid w:val="00EE0126"/>
    <w:rsid w:val="00EE0950"/>
    <w:rsid w:val="00EE0AE3"/>
    <w:rsid w:val="00EE2315"/>
    <w:rsid w:val="00EE3339"/>
    <w:rsid w:val="00EE43F3"/>
    <w:rsid w:val="00EE5C2F"/>
    <w:rsid w:val="00EE5E3B"/>
    <w:rsid w:val="00EE6525"/>
    <w:rsid w:val="00EF0047"/>
    <w:rsid w:val="00EF0363"/>
    <w:rsid w:val="00EF0E87"/>
    <w:rsid w:val="00EF0FAE"/>
    <w:rsid w:val="00EF273E"/>
    <w:rsid w:val="00EF3543"/>
    <w:rsid w:val="00EF5F54"/>
    <w:rsid w:val="00EF6024"/>
    <w:rsid w:val="00EF7B20"/>
    <w:rsid w:val="00F00929"/>
    <w:rsid w:val="00F00CB4"/>
    <w:rsid w:val="00F00D88"/>
    <w:rsid w:val="00F020BF"/>
    <w:rsid w:val="00F038BA"/>
    <w:rsid w:val="00F048FA"/>
    <w:rsid w:val="00F04D7D"/>
    <w:rsid w:val="00F05F60"/>
    <w:rsid w:val="00F06213"/>
    <w:rsid w:val="00F06D74"/>
    <w:rsid w:val="00F0767D"/>
    <w:rsid w:val="00F12283"/>
    <w:rsid w:val="00F128A5"/>
    <w:rsid w:val="00F12D18"/>
    <w:rsid w:val="00F138A8"/>
    <w:rsid w:val="00F13B9F"/>
    <w:rsid w:val="00F1573B"/>
    <w:rsid w:val="00F162E2"/>
    <w:rsid w:val="00F16ADC"/>
    <w:rsid w:val="00F16E1A"/>
    <w:rsid w:val="00F1736D"/>
    <w:rsid w:val="00F173B1"/>
    <w:rsid w:val="00F2316C"/>
    <w:rsid w:val="00F24612"/>
    <w:rsid w:val="00F25F2A"/>
    <w:rsid w:val="00F26037"/>
    <w:rsid w:val="00F27999"/>
    <w:rsid w:val="00F317CA"/>
    <w:rsid w:val="00F33733"/>
    <w:rsid w:val="00F33B13"/>
    <w:rsid w:val="00F36464"/>
    <w:rsid w:val="00F40073"/>
    <w:rsid w:val="00F41618"/>
    <w:rsid w:val="00F41C1E"/>
    <w:rsid w:val="00F45380"/>
    <w:rsid w:val="00F45673"/>
    <w:rsid w:val="00F45D71"/>
    <w:rsid w:val="00F464E8"/>
    <w:rsid w:val="00F468BE"/>
    <w:rsid w:val="00F52249"/>
    <w:rsid w:val="00F525D7"/>
    <w:rsid w:val="00F532E0"/>
    <w:rsid w:val="00F54E18"/>
    <w:rsid w:val="00F56CD8"/>
    <w:rsid w:val="00F5716C"/>
    <w:rsid w:val="00F5774B"/>
    <w:rsid w:val="00F57ECB"/>
    <w:rsid w:val="00F600A9"/>
    <w:rsid w:val="00F61FA5"/>
    <w:rsid w:val="00F6346A"/>
    <w:rsid w:val="00F63CEF"/>
    <w:rsid w:val="00F645C1"/>
    <w:rsid w:val="00F6610A"/>
    <w:rsid w:val="00F6738B"/>
    <w:rsid w:val="00F675CF"/>
    <w:rsid w:val="00F7099F"/>
    <w:rsid w:val="00F71415"/>
    <w:rsid w:val="00F71D49"/>
    <w:rsid w:val="00F71DAF"/>
    <w:rsid w:val="00F74075"/>
    <w:rsid w:val="00F74FCB"/>
    <w:rsid w:val="00F76607"/>
    <w:rsid w:val="00F76AE3"/>
    <w:rsid w:val="00F77C5A"/>
    <w:rsid w:val="00F77FD3"/>
    <w:rsid w:val="00F81599"/>
    <w:rsid w:val="00F822E2"/>
    <w:rsid w:val="00F82658"/>
    <w:rsid w:val="00F8287E"/>
    <w:rsid w:val="00F82A46"/>
    <w:rsid w:val="00F82BED"/>
    <w:rsid w:val="00F83DBD"/>
    <w:rsid w:val="00F84224"/>
    <w:rsid w:val="00F8476B"/>
    <w:rsid w:val="00F853CA"/>
    <w:rsid w:val="00F856D6"/>
    <w:rsid w:val="00F85B6D"/>
    <w:rsid w:val="00F85CB6"/>
    <w:rsid w:val="00F8761A"/>
    <w:rsid w:val="00F91E72"/>
    <w:rsid w:val="00F92019"/>
    <w:rsid w:val="00F94FB4"/>
    <w:rsid w:val="00F95267"/>
    <w:rsid w:val="00F956EC"/>
    <w:rsid w:val="00F958B4"/>
    <w:rsid w:val="00F964DC"/>
    <w:rsid w:val="00F968E0"/>
    <w:rsid w:val="00F97B3F"/>
    <w:rsid w:val="00F97B4E"/>
    <w:rsid w:val="00F97FDE"/>
    <w:rsid w:val="00FA019E"/>
    <w:rsid w:val="00FA0EBF"/>
    <w:rsid w:val="00FA1BA9"/>
    <w:rsid w:val="00FA2036"/>
    <w:rsid w:val="00FA60B7"/>
    <w:rsid w:val="00FA66D7"/>
    <w:rsid w:val="00FA7873"/>
    <w:rsid w:val="00FB0BAB"/>
    <w:rsid w:val="00FB2327"/>
    <w:rsid w:val="00FB24A1"/>
    <w:rsid w:val="00FB2C6C"/>
    <w:rsid w:val="00FB4BE9"/>
    <w:rsid w:val="00FB5F32"/>
    <w:rsid w:val="00FC6547"/>
    <w:rsid w:val="00FC65FE"/>
    <w:rsid w:val="00FC6FB3"/>
    <w:rsid w:val="00FC7F9C"/>
    <w:rsid w:val="00FD01BC"/>
    <w:rsid w:val="00FD15A0"/>
    <w:rsid w:val="00FD204C"/>
    <w:rsid w:val="00FD2862"/>
    <w:rsid w:val="00FD30BF"/>
    <w:rsid w:val="00FD38D7"/>
    <w:rsid w:val="00FD3AAC"/>
    <w:rsid w:val="00FD4F70"/>
    <w:rsid w:val="00FD6831"/>
    <w:rsid w:val="00FE00A2"/>
    <w:rsid w:val="00FE1D54"/>
    <w:rsid w:val="00FE2318"/>
    <w:rsid w:val="00FE2DF9"/>
    <w:rsid w:val="00FE472D"/>
    <w:rsid w:val="00FE54D2"/>
    <w:rsid w:val="00FE6B56"/>
    <w:rsid w:val="00FE6B8E"/>
    <w:rsid w:val="00FE7C1C"/>
    <w:rsid w:val="00FE7F17"/>
    <w:rsid w:val="00FF0C93"/>
    <w:rsid w:val="00FF6EEB"/>
    <w:rsid w:val="00FF75F2"/>
    <w:rsid w:val="00FF7FD5"/>
    <w:rsid w:val="0283232E"/>
    <w:rsid w:val="02E5D506"/>
    <w:rsid w:val="02FAA745"/>
    <w:rsid w:val="03E9D6B1"/>
    <w:rsid w:val="0422A66A"/>
    <w:rsid w:val="04ACD1E9"/>
    <w:rsid w:val="04D4E602"/>
    <w:rsid w:val="05238CB2"/>
    <w:rsid w:val="0565CE42"/>
    <w:rsid w:val="0588B42D"/>
    <w:rsid w:val="0637359D"/>
    <w:rsid w:val="0669F49B"/>
    <w:rsid w:val="070C5621"/>
    <w:rsid w:val="070FD7F5"/>
    <w:rsid w:val="0722A663"/>
    <w:rsid w:val="073FFA1D"/>
    <w:rsid w:val="08159F0D"/>
    <w:rsid w:val="083C439B"/>
    <w:rsid w:val="0859CBB3"/>
    <w:rsid w:val="09456F4A"/>
    <w:rsid w:val="097D824B"/>
    <w:rsid w:val="09A9E78A"/>
    <w:rsid w:val="09F5CEE5"/>
    <w:rsid w:val="0A0AEFE3"/>
    <w:rsid w:val="0BFAAB0D"/>
    <w:rsid w:val="0C3620DF"/>
    <w:rsid w:val="0C416769"/>
    <w:rsid w:val="0C6985D9"/>
    <w:rsid w:val="0CD968F0"/>
    <w:rsid w:val="0CD9E3F4"/>
    <w:rsid w:val="0D57DD73"/>
    <w:rsid w:val="0ECE3836"/>
    <w:rsid w:val="0F5986DA"/>
    <w:rsid w:val="0F5A7F48"/>
    <w:rsid w:val="0F7BD54A"/>
    <w:rsid w:val="105600A1"/>
    <w:rsid w:val="10A14336"/>
    <w:rsid w:val="10DA36A0"/>
    <w:rsid w:val="10F6C1DA"/>
    <w:rsid w:val="111D2AB9"/>
    <w:rsid w:val="1181DF67"/>
    <w:rsid w:val="1195781E"/>
    <w:rsid w:val="11964267"/>
    <w:rsid w:val="11A21992"/>
    <w:rsid w:val="11FF4D33"/>
    <w:rsid w:val="12557865"/>
    <w:rsid w:val="1263B678"/>
    <w:rsid w:val="12C5D3E9"/>
    <w:rsid w:val="134BB4AA"/>
    <w:rsid w:val="135C3646"/>
    <w:rsid w:val="13B27F89"/>
    <w:rsid w:val="13CF0B82"/>
    <w:rsid w:val="13F64BC5"/>
    <w:rsid w:val="140A4F7E"/>
    <w:rsid w:val="141D1DEC"/>
    <w:rsid w:val="14704F85"/>
    <w:rsid w:val="14AE679F"/>
    <w:rsid w:val="14CD4BB1"/>
    <w:rsid w:val="157AED1D"/>
    <w:rsid w:val="158339F7"/>
    <w:rsid w:val="158B5953"/>
    <w:rsid w:val="15AF3B5A"/>
    <w:rsid w:val="15ED0F0C"/>
    <w:rsid w:val="1700B7F7"/>
    <w:rsid w:val="17656308"/>
    <w:rsid w:val="17A8938F"/>
    <w:rsid w:val="17C12474"/>
    <w:rsid w:val="17CED27B"/>
    <w:rsid w:val="18D44DC1"/>
    <w:rsid w:val="18F6E9A0"/>
    <w:rsid w:val="195B9314"/>
    <w:rsid w:val="1972155E"/>
    <w:rsid w:val="197E78FC"/>
    <w:rsid w:val="19CE81A5"/>
    <w:rsid w:val="19D6B6A9"/>
    <w:rsid w:val="1AA22DCE"/>
    <w:rsid w:val="1AC6CA6E"/>
    <w:rsid w:val="1ADE389B"/>
    <w:rsid w:val="1B2D4A9C"/>
    <w:rsid w:val="1B4EEB76"/>
    <w:rsid w:val="1B9CB6E8"/>
    <w:rsid w:val="1BC34435"/>
    <w:rsid w:val="1BDEE6EE"/>
    <w:rsid w:val="1BFDFF6E"/>
    <w:rsid w:val="1C01C789"/>
    <w:rsid w:val="1CC81EDE"/>
    <w:rsid w:val="1D1FBC02"/>
    <w:rsid w:val="1DA1C69B"/>
    <w:rsid w:val="1DB2F76C"/>
    <w:rsid w:val="1E7E7C04"/>
    <w:rsid w:val="1E7F5689"/>
    <w:rsid w:val="1EBDB772"/>
    <w:rsid w:val="1FED55D9"/>
    <w:rsid w:val="2005811C"/>
    <w:rsid w:val="209F7AE1"/>
    <w:rsid w:val="20D465E9"/>
    <w:rsid w:val="21025F8A"/>
    <w:rsid w:val="210A7EE6"/>
    <w:rsid w:val="219B9001"/>
    <w:rsid w:val="21B1F4DC"/>
    <w:rsid w:val="21B89BA7"/>
    <w:rsid w:val="21C03B56"/>
    <w:rsid w:val="21EC5FDA"/>
    <w:rsid w:val="22D282AA"/>
    <w:rsid w:val="22DF61DB"/>
    <w:rsid w:val="23152BDE"/>
    <w:rsid w:val="2338F3F9"/>
    <w:rsid w:val="23D8250B"/>
    <w:rsid w:val="246476B3"/>
    <w:rsid w:val="248F68C4"/>
    <w:rsid w:val="25108AB3"/>
    <w:rsid w:val="251DB65D"/>
    <w:rsid w:val="261BF68C"/>
    <w:rsid w:val="266E69AC"/>
    <w:rsid w:val="2676C493"/>
    <w:rsid w:val="26993C1F"/>
    <w:rsid w:val="27063862"/>
    <w:rsid w:val="278CAB32"/>
    <w:rsid w:val="279ADFEA"/>
    <w:rsid w:val="280F323B"/>
    <w:rsid w:val="2838C924"/>
    <w:rsid w:val="28502D1B"/>
    <w:rsid w:val="28A72D40"/>
    <w:rsid w:val="295829DA"/>
    <w:rsid w:val="29B9ADBD"/>
    <w:rsid w:val="2A45F880"/>
    <w:rsid w:val="2AE389AD"/>
    <w:rsid w:val="2C2590E0"/>
    <w:rsid w:val="2CD02EFF"/>
    <w:rsid w:val="2DA34E31"/>
    <w:rsid w:val="2DE6C196"/>
    <w:rsid w:val="2DEEF63B"/>
    <w:rsid w:val="2E33CDBC"/>
    <w:rsid w:val="2E50B1AC"/>
    <w:rsid w:val="2F3F76B9"/>
    <w:rsid w:val="2F9221F4"/>
    <w:rsid w:val="2FF66219"/>
    <w:rsid w:val="31349EBA"/>
    <w:rsid w:val="320FFFD5"/>
    <w:rsid w:val="32204E3D"/>
    <w:rsid w:val="324195F6"/>
    <w:rsid w:val="3308AA9A"/>
    <w:rsid w:val="337FDE83"/>
    <w:rsid w:val="33B0E10F"/>
    <w:rsid w:val="33C40B29"/>
    <w:rsid w:val="33CB1FB1"/>
    <w:rsid w:val="356D0C55"/>
    <w:rsid w:val="357936B8"/>
    <w:rsid w:val="35E89A78"/>
    <w:rsid w:val="36D6364D"/>
    <w:rsid w:val="37212189"/>
    <w:rsid w:val="378F7F8D"/>
    <w:rsid w:val="3853B44D"/>
    <w:rsid w:val="386BE08B"/>
    <w:rsid w:val="38BE20DA"/>
    <w:rsid w:val="39BF831F"/>
    <w:rsid w:val="39FD9857"/>
    <w:rsid w:val="3AA3AD87"/>
    <w:rsid w:val="3ABB424D"/>
    <w:rsid w:val="3B532958"/>
    <w:rsid w:val="3B5F21D6"/>
    <w:rsid w:val="3CFD8C85"/>
    <w:rsid w:val="3D6BB7B8"/>
    <w:rsid w:val="3D71DED6"/>
    <w:rsid w:val="3E16001D"/>
    <w:rsid w:val="3F2DC6AE"/>
    <w:rsid w:val="3FD96BDB"/>
    <w:rsid w:val="40765AF8"/>
    <w:rsid w:val="40AD3E3E"/>
    <w:rsid w:val="41151A1A"/>
    <w:rsid w:val="41213585"/>
    <w:rsid w:val="429BB7E7"/>
    <w:rsid w:val="42FECB0F"/>
    <w:rsid w:val="432A6AB0"/>
    <w:rsid w:val="4353C174"/>
    <w:rsid w:val="43CE3560"/>
    <w:rsid w:val="43D9CA4C"/>
    <w:rsid w:val="43E18501"/>
    <w:rsid w:val="44088E36"/>
    <w:rsid w:val="44B0CE75"/>
    <w:rsid w:val="44DEC816"/>
    <w:rsid w:val="45AB5176"/>
    <w:rsid w:val="4717CD08"/>
    <w:rsid w:val="47390BBB"/>
    <w:rsid w:val="473E36BA"/>
    <w:rsid w:val="479306BF"/>
    <w:rsid w:val="47992DDD"/>
    <w:rsid w:val="4859D2BB"/>
    <w:rsid w:val="48D5A665"/>
    <w:rsid w:val="49B7CCF2"/>
    <w:rsid w:val="4A0B5681"/>
    <w:rsid w:val="4A1A35F2"/>
    <w:rsid w:val="4A68BFF2"/>
    <w:rsid w:val="4A945BB3"/>
    <w:rsid w:val="4AD4289E"/>
    <w:rsid w:val="4AD943ED"/>
    <w:rsid w:val="4AE86365"/>
    <w:rsid w:val="4B33E51E"/>
    <w:rsid w:val="4B6D21B2"/>
    <w:rsid w:val="4B9D21D9"/>
    <w:rsid w:val="4CF22C28"/>
    <w:rsid w:val="4D00D749"/>
    <w:rsid w:val="4D98D8D0"/>
    <w:rsid w:val="4E11C74C"/>
    <w:rsid w:val="4E921486"/>
    <w:rsid w:val="4EB02269"/>
    <w:rsid w:val="4EEC8B14"/>
    <w:rsid w:val="4EED52E6"/>
    <w:rsid w:val="4F6044F2"/>
    <w:rsid w:val="4F74BBD0"/>
    <w:rsid w:val="4F77A6E7"/>
    <w:rsid w:val="4F94FD29"/>
    <w:rsid w:val="512945A6"/>
    <w:rsid w:val="51C75E9B"/>
    <w:rsid w:val="51CDC725"/>
    <w:rsid w:val="5237BD69"/>
    <w:rsid w:val="52877A36"/>
    <w:rsid w:val="53116209"/>
    <w:rsid w:val="5398C217"/>
    <w:rsid w:val="53B02226"/>
    <w:rsid w:val="53CC6D1F"/>
    <w:rsid w:val="5592AEE3"/>
    <w:rsid w:val="559ECA4E"/>
    <w:rsid w:val="55E55F15"/>
    <w:rsid w:val="560CC2B0"/>
    <w:rsid w:val="580C4203"/>
    <w:rsid w:val="585D5362"/>
    <w:rsid w:val="588AB686"/>
    <w:rsid w:val="58BC6ECD"/>
    <w:rsid w:val="58CB19EE"/>
    <w:rsid w:val="59013A80"/>
    <w:rsid w:val="591E2486"/>
    <w:rsid w:val="59280A4A"/>
    <w:rsid w:val="59C6C96C"/>
    <w:rsid w:val="59D8A653"/>
    <w:rsid w:val="5B52BFBC"/>
    <w:rsid w:val="5B70A6DF"/>
    <w:rsid w:val="5B80EC2E"/>
    <w:rsid w:val="5C83BEE9"/>
    <w:rsid w:val="5D24129D"/>
    <w:rsid w:val="5E35C24F"/>
    <w:rsid w:val="5E798A4E"/>
    <w:rsid w:val="5E8E8F5E"/>
    <w:rsid w:val="5E96ED16"/>
    <w:rsid w:val="5EDF644F"/>
    <w:rsid w:val="6005B36F"/>
    <w:rsid w:val="606DE54B"/>
    <w:rsid w:val="6097C0A9"/>
    <w:rsid w:val="60B04B8A"/>
    <w:rsid w:val="61569894"/>
    <w:rsid w:val="61C1E608"/>
    <w:rsid w:val="61CE4F7C"/>
    <w:rsid w:val="61E0B943"/>
    <w:rsid w:val="629A8297"/>
    <w:rsid w:val="641AFFB3"/>
    <w:rsid w:val="646C5B20"/>
    <w:rsid w:val="658035E1"/>
    <w:rsid w:val="65F35942"/>
    <w:rsid w:val="65F7B9F8"/>
    <w:rsid w:val="661E5E86"/>
    <w:rsid w:val="66AAA949"/>
    <w:rsid w:val="67445536"/>
    <w:rsid w:val="67D90910"/>
    <w:rsid w:val="67DA5B25"/>
    <w:rsid w:val="67F0472F"/>
    <w:rsid w:val="68AC7E61"/>
    <w:rsid w:val="69204AF2"/>
    <w:rsid w:val="69390DAD"/>
    <w:rsid w:val="69E41073"/>
    <w:rsid w:val="6A7BAD53"/>
    <w:rsid w:val="6B2A13B5"/>
    <w:rsid w:val="6B465ED5"/>
    <w:rsid w:val="6B64B446"/>
    <w:rsid w:val="6B866C99"/>
    <w:rsid w:val="6B8ABEA1"/>
    <w:rsid w:val="6C07A3A3"/>
    <w:rsid w:val="6C861826"/>
    <w:rsid w:val="6D38DF52"/>
    <w:rsid w:val="6DAE2DAE"/>
    <w:rsid w:val="6DDBAC26"/>
    <w:rsid w:val="6EA0854B"/>
    <w:rsid w:val="6EFB7C66"/>
    <w:rsid w:val="6FCB99C0"/>
    <w:rsid w:val="70D48901"/>
    <w:rsid w:val="71761542"/>
    <w:rsid w:val="719E4D67"/>
    <w:rsid w:val="71BFE6DC"/>
    <w:rsid w:val="72180A87"/>
    <w:rsid w:val="724885E4"/>
    <w:rsid w:val="72C6D1D7"/>
    <w:rsid w:val="72C92576"/>
    <w:rsid w:val="72DF14F3"/>
    <w:rsid w:val="7318F977"/>
    <w:rsid w:val="7327DC3A"/>
    <w:rsid w:val="737294A5"/>
    <w:rsid w:val="73961205"/>
    <w:rsid w:val="74601411"/>
    <w:rsid w:val="74D1C044"/>
    <w:rsid w:val="74D58982"/>
    <w:rsid w:val="74EF7B2D"/>
    <w:rsid w:val="75237626"/>
    <w:rsid w:val="76097D0C"/>
    <w:rsid w:val="76560E7E"/>
    <w:rsid w:val="7659C51D"/>
    <w:rsid w:val="76FA18D1"/>
    <w:rsid w:val="77129239"/>
    <w:rsid w:val="775304B0"/>
    <w:rsid w:val="77A40679"/>
    <w:rsid w:val="7811B6E5"/>
    <w:rsid w:val="792BB512"/>
    <w:rsid w:val="79EF43A5"/>
    <w:rsid w:val="7A2B609F"/>
    <w:rsid w:val="7A79A4DF"/>
    <w:rsid w:val="7AB238E8"/>
    <w:rsid w:val="7C0E84D4"/>
    <w:rsid w:val="7C3C3FBA"/>
    <w:rsid w:val="7C4A2D77"/>
    <w:rsid w:val="7C4F00D9"/>
    <w:rsid w:val="7C597010"/>
    <w:rsid w:val="7DFF2635"/>
    <w:rsid w:val="7E21A67B"/>
    <w:rsid w:val="7E3A3760"/>
    <w:rsid w:val="7E4979F9"/>
    <w:rsid w:val="7E850070"/>
    <w:rsid w:val="7EB3B3B5"/>
    <w:rsid w:val="7EE8C4E6"/>
    <w:rsid w:val="7F8AB7DE"/>
    <w:rsid w:val="7FD04722"/>
    <w:rsid w:val="7FDEC7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8537A3"/>
    <w:rPr>
      <w:sz w:val="20"/>
      <w:szCs w:val="20"/>
    </w:rPr>
  </w:style>
  <w:style w:type="character" w:customStyle="1" w:styleId="FootnoteTextChar">
    <w:name w:val="Footnote Text Char"/>
    <w:basedOn w:val="DefaultParagraphFont"/>
    <w:link w:val="FootnoteText"/>
    <w:uiPriority w:val="99"/>
    <w:semiHidden/>
    <w:rsid w:val="008537A3"/>
    <w:rPr>
      <w:sz w:val="20"/>
      <w:szCs w:val="20"/>
      <w:lang w:val="en-US"/>
    </w:rPr>
  </w:style>
  <w:style w:type="character" w:styleId="FootnoteReference">
    <w:name w:val="footnote reference"/>
    <w:basedOn w:val="DefaultParagraphFont"/>
    <w:uiPriority w:val="99"/>
    <w:semiHidden/>
    <w:unhideWhenUsed/>
    <w:rsid w:val="008537A3"/>
    <w:rPr>
      <w:vertAlign w:val="superscript"/>
    </w:rPr>
  </w:style>
  <w:style w:type="character" w:styleId="Hyperlink">
    <w:name w:val="Hyperlink"/>
    <w:basedOn w:val="DefaultParagraphFont"/>
    <w:uiPriority w:val="99"/>
    <w:unhideWhenUsed/>
    <w:rsid w:val="002F2378"/>
    <w:rPr>
      <w:color w:val="0563C1" w:themeColor="hyperlink"/>
      <w:u w:val="single"/>
    </w:rPr>
  </w:style>
  <w:style w:type="character" w:styleId="UnresolvedMention">
    <w:name w:val="Unresolved Mention"/>
    <w:basedOn w:val="DefaultParagraphFont"/>
    <w:uiPriority w:val="99"/>
    <w:semiHidden/>
    <w:unhideWhenUsed/>
    <w:rsid w:val="002F2378"/>
    <w:rPr>
      <w:color w:val="605E5C"/>
      <w:shd w:val="clear" w:color="auto" w:fill="E1DFDD"/>
    </w:rPr>
  </w:style>
  <w:style w:type="character" w:styleId="Mention">
    <w:name w:val="Mention"/>
    <w:basedOn w:val="DefaultParagraphFont"/>
    <w:uiPriority w:val="99"/>
    <w:unhideWhenUsed/>
    <w:rsid w:val="00A66BB1"/>
    <w:rPr>
      <w:color w:val="2B579A"/>
      <w:shd w:val="clear" w:color="auto" w:fill="E1DFDD"/>
    </w:rPr>
  </w:style>
  <w:style w:type="paragraph" w:styleId="NormalWeb">
    <w:name w:val="Normal (Web)"/>
    <w:basedOn w:val="Normal"/>
    <w:uiPriority w:val="99"/>
    <w:semiHidden/>
    <w:unhideWhenUsed/>
    <w:rsid w:val="00F13B9F"/>
    <w:rPr>
      <w:rFonts w:ascii="Times New Roman" w:hAnsi="Times New Roman" w:cs="Times New Roman"/>
      <w:sz w:val="24"/>
      <w:szCs w:val="24"/>
    </w:rPr>
  </w:style>
  <w:style w:type="character" w:customStyle="1" w:styleId="ui-provider">
    <w:name w:val="ui-provider"/>
    <w:basedOn w:val="DefaultParagraphFont"/>
    <w:rsid w:val="00700CF7"/>
  </w:style>
  <w:style w:type="character" w:customStyle="1" w:styleId="normaltextrun">
    <w:name w:val="normaltextrun"/>
    <w:basedOn w:val="DefaultParagraphFont"/>
    <w:rsid w:val="00D53A7A"/>
  </w:style>
  <w:style w:type="character" w:customStyle="1" w:styleId="eop">
    <w:name w:val="eop"/>
    <w:basedOn w:val="DefaultParagraphFont"/>
    <w:rsid w:val="008D44FF"/>
  </w:style>
  <w:style w:type="paragraph" w:customStyle="1" w:styleId="pf0">
    <w:name w:val="pf0"/>
    <w:basedOn w:val="Normal"/>
    <w:rsid w:val="00416AFF"/>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416AFF"/>
    <w:rPr>
      <w:rFonts w:ascii="Segoe UI" w:hAnsi="Segoe UI" w:cs="Segoe UI" w:hint="default"/>
      <w:sz w:val="18"/>
      <w:szCs w:val="18"/>
    </w:rPr>
  </w:style>
  <w:style w:type="paragraph" w:customStyle="1" w:styleId="paragraph">
    <w:name w:val="paragraph"/>
    <w:basedOn w:val="Normal"/>
    <w:rsid w:val="00E547B1"/>
    <w:pPr>
      <w:widowControl/>
      <w:spacing w:before="100" w:beforeAutospacing="1" w:after="100" w:afterAutospacing="1"/>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7791">
      <w:bodyDiv w:val="1"/>
      <w:marLeft w:val="0"/>
      <w:marRight w:val="0"/>
      <w:marTop w:val="0"/>
      <w:marBottom w:val="0"/>
      <w:divBdr>
        <w:top w:val="none" w:sz="0" w:space="0" w:color="auto"/>
        <w:left w:val="none" w:sz="0" w:space="0" w:color="auto"/>
        <w:bottom w:val="none" w:sz="0" w:space="0" w:color="auto"/>
        <w:right w:val="none" w:sz="0" w:space="0" w:color="auto"/>
      </w:divBdr>
    </w:div>
    <w:div w:id="459692348">
      <w:bodyDiv w:val="1"/>
      <w:marLeft w:val="0"/>
      <w:marRight w:val="0"/>
      <w:marTop w:val="0"/>
      <w:marBottom w:val="0"/>
      <w:divBdr>
        <w:top w:val="none" w:sz="0" w:space="0" w:color="auto"/>
        <w:left w:val="none" w:sz="0" w:space="0" w:color="auto"/>
        <w:bottom w:val="none" w:sz="0" w:space="0" w:color="auto"/>
        <w:right w:val="none" w:sz="0" w:space="0" w:color="auto"/>
      </w:divBdr>
    </w:div>
    <w:div w:id="506752006">
      <w:bodyDiv w:val="1"/>
      <w:marLeft w:val="0"/>
      <w:marRight w:val="0"/>
      <w:marTop w:val="0"/>
      <w:marBottom w:val="0"/>
      <w:divBdr>
        <w:top w:val="none" w:sz="0" w:space="0" w:color="auto"/>
        <w:left w:val="none" w:sz="0" w:space="0" w:color="auto"/>
        <w:bottom w:val="none" w:sz="0" w:space="0" w:color="auto"/>
        <w:right w:val="none" w:sz="0" w:space="0" w:color="auto"/>
      </w:divBdr>
    </w:div>
    <w:div w:id="831483614">
      <w:bodyDiv w:val="1"/>
      <w:marLeft w:val="0"/>
      <w:marRight w:val="0"/>
      <w:marTop w:val="0"/>
      <w:marBottom w:val="0"/>
      <w:divBdr>
        <w:top w:val="none" w:sz="0" w:space="0" w:color="auto"/>
        <w:left w:val="none" w:sz="0" w:space="0" w:color="auto"/>
        <w:bottom w:val="none" w:sz="0" w:space="0" w:color="auto"/>
        <w:right w:val="none" w:sz="0" w:space="0" w:color="auto"/>
      </w:divBdr>
    </w:div>
    <w:div w:id="897714491">
      <w:bodyDiv w:val="1"/>
      <w:marLeft w:val="0"/>
      <w:marRight w:val="0"/>
      <w:marTop w:val="0"/>
      <w:marBottom w:val="0"/>
      <w:divBdr>
        <w:top w:val="none" w:sz="0" w:space="0" w:color="auto"/>
        <w:left w:val="none" w:sz="0" w:space="0" w:color="auto"/>
        <w:bottom w:val="none" w:sz="0" w:space="0" w:color="auto"/>
        <w:right w:val="none" w:sz="0" w:space="0" w:color="auto"/>
      </w:divBdr>
    </w:div>
    <w:div w:id="1537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vic.gov.au/425600-new-homes-regional-victoria" TargetMode="External"/><Relationship Id="rId2" Type="http://schemas.openxmlformats.org/officeDocument/2006/relationships/hyperlink" Target="https://www.homes.vic.gov.au/big-housing-build" TargetMode="External"/><Relationship Id="rId1" Type="http://schemas.openxmlformats.org/officeDocument/2006/relationships/hyperlink" Target="https://www.vic.gov.au/housing-statement" TargetMode="External"/><Relationship Id="rId5" Type="http://schemas.openxmlformats.org/officeDocument/2006/relationships/hyperlink" Target="https://vahhf.org.au" TargetMode="External"/><Relationship Id="rId4" Type="http://schemas.openxmlformats.org/officeDocument/2006/relationships/hyperlink" Target="https://www.dffh.vic.gov.au/victorian-government-response-parliamentary-inquiry-homelessness-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2024-07-01T04:51:00Z</dcterms:created>
  <dcterms:modified xsi:type="dcterms:W3CDTF">2024-07-01T04:51:00Z</dcterms:modified>
  <cp:category/>
</cp:coreProperties>
</file>