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5B633" w14:textId="09F6B570" w:rsidR="0099433E" w:rsidRPr="0099433E" w:rsidRDefault="0099433E" w:rsidP="0099433E">
      <w:pPr>
        <w:pStyle w:val="Heading9"/>
        <w:rPr>
          <w:i w:val="0"/>
          <w:sz w:val="24"/>
          <w:szCs w:val="24"/>
          <w:lang w:val="en-AU"/>
        </w:rPr>
      </w:pPr>
      <w:bookmarkStart w:id="0" w:name="_GoBack"/>
      <w:bookmarkEnd w:id="0"/>
    </w:p>
    <w:p w14:paraId="5B55B634" w14:textId="77777777" w:rsidR="00205899" w:rsidRPr="001E7A79" w:rsidRDefault="00103150" w:rsidP="00205899">
      <w:pPr>
        <w:pStyle w:val="Heading9"/>
        <w:jc w:val="right"/>
        <w:rPr>
          <w:rStyle w:val="ParagraphnumberingChar"/>
          <w:rFonts w:eastAsiaTheme="majorEastAsia"/>
          <w:i w:val="0"/>
          <w:sz w:val="28"/>
          <w:lang w:val="en-AU"/>
        </w:rPr>
      </w:pPr>
      <w:r w:rsidRPr="001E7A79">
        <w:rPr>
          <w:i w:val="0"/>
          <w:sz w:val="28"/>
          <w:lang w:val="en-AU"/>
        </w:rPr>
        <w:t>Schedule</w:t>
      </w:r>
    </w:p>
    <w:p w14:paraId="5B55B635" w14:textId="77777777" w:rsidR="00205899" w:rsidRPr="001E7A79" w:rsidRDefault="000B2CC3" w:rsidP="00205899">
      <w:pPr>
        <w:pStyle w:val="Title"/>
      </w:pPr>
      <w:r w:rsidRPr="001E7A79">
        <w:rPr>
          <w:color w:val="0070C0"/>
        </w:rPr>
        <w:t>Land Transport Infrastructure Projects</w:t>
      </w:r>
    </w:p>
    <w:p w14:paraId="5B55B636" w14:textId="77777777" w:rsidR="00103150" w:rsidRPr="001E7A79" w:rsidRDefault="00103150" w:rsidP="00103150">
      <w:pPr>
        <w:pStyle w:val="Subtitle"/>
      </w:pPr>
      <w:r w:rsidRPr="001E7A79">
        <w:t xml:space="preserve">FEDERATION FUNDING AGREEMENT – </w:t>
      </w:r>
      <w:r w:rsidR="007452B9" w:rsidRPr="001E7A79">
        <w:t>INFRASTRUCTURE</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91"/>
        <w:gridCol w:w="7938"/>
      </w:tblGrid>
      <w:tr w:rsidR="00205899" w:rsidRPr="001E7A79" w14:paraId="5B55B638" w14:textId="77777777" w:rsidTr="000327D6">
        <w:tc>
          <w:tcPr>
            <w:tcW w:w="9629" w:type="dxa"/>
            <w:gridSpan w:val="2"/>
            <w:shd w:val="clear" w:color="auto" w:fill="auto"/>
          </w:tcPr>
          <w:p w14:paraId="5B55B637" w14:textId="77777777" w:rsidR="00205899" w:rsidRPr="001E7A79" w:rsidRDefault="00205899" w:rsidP="00A34292">
            <w:pPr>
              <w:pStyle w:val="Tableformat"/>
              <w:rPr>
                <w:b/>
                <w:color w:val="auto"/>
                <w:lang w:val="en-AU"/>
              </w:rPr>
            </w:pPr>
            <w:r w:rsidRPr="001E7A79">
              <w:rPr>
                <w:b/>
                <w:color w:val="auto"/>
                <w:lang w:val="en-AU"/>
              </w:rPr>
              <w:t>Table 1: Formalities and operation of schedule</w:t>
            </w:r>
          </w:p>
        </w:tc>
      </w:tr>
      <w:tr w:rsidR="00205899" w:rsidRPr="001E7A79" w14:paraId="5B55B644" w14:textId="77777777" w:rsidTr="000327D6">
        <w:tc>
          <w:tcPr>
            <w:tcW w:w="1691" w:type="dxa"/>
            <w:shd w:val="clear" w:color="auto" w:fill="auto"/>
          </w:tcPr>
          <w:p w14:paraId="5B55B639" w14:textId="77777777" w:rsidR="00205899" w:rsidRPr="001E7A79" w:rsidRDefault="00205899" w:rsidP="00A34292">
            <w:pPr>
              <w:pStyle w:val="Tableformat"/>
              <w:rPr>
                <w:color w:val="auto"/>
                <w:lang w:val="en-AU"/>
              </w:rPr>
            </w:pPr>
            <w:r w:rsidRPr="001E7A79">
              <w:rPr>
                <w:color w:val="auto"/>
                <w:lang w:val="en-AU"/>
              </w:rPr>
              <w:t>Parties</w:t>
            </w:r>
          </w:p>
        </w:tc>
        <w:tc>
          <w:tcPr>
            <w:tcW w:w="7938" w:type="dxa"/>
            <w:shd w:val="clear" w:color="auto" w:fill="auto"/>
          </w:tcPr>
          <w:p w14:paraId="5B55B63A" w14:textId="77777777" w:rsidR="00911A92" w:rsidRPr="00A47CDD" w:rsidRDefault="00205899" w:rsidP="00911A92">
            <w:pPr>
              <w:pStyle w:val="Tableformat"/>
              <w:rPr>
                <w:color w:val="0070C0"/>
                <w:lang w:val="en-AU"/>
              </w:rPr>
            </w:pPr>
            <w:r w:rsidRPr="00A47CDD">
              <w:rPr>
                <w:color w:val="0070C0"/>
                <w:lang w:val="en-AU"/>
              </w:rPr>
              <w:t>Commonwealth</w:t>
            </w:r>
          </w:p>
          <w:p w14:paraId="5B55B63B" w14:textId="77777777" w:rsidR="000B2CC3" w:rsidRPr="001E7A79" w:rsidRDefault="009A1E2A" w:rsidP="00911A92">
            <w:pPr>
              <w:pStyle w:val="Tableformat"/>
              <w:rPr>
                <w:color w:val="0070C0"/>
                <w:lang w:val="en-AU"/>
              </w:rPr>
            </w:pPr>
            <w:r w:rsidRPr="001E7A79">
              <w:rPr>
                <w:color w:val="0070C0"/>
                <w:lang w:val="en-AU"/>
              </w:rPr>
              <w:t>[</w:t>
            </w:r>
            <w:r w:rsidR="000B2CC3" w:rsidRPr="001E7A79">
              <w:rPr>
                <w:color w:val="0070C0"/>
                <w:lang w:val="en-AU"/>
              </w:rPr>
              <w:t>New South Wales</w:t>
            </w:r>
          </w:p>
          <w:p w14:paraId="5B55B63C" w14:textId="77777777" w:rsidR="000B2CC3" w:rsidRPr="001E7A79" w:rsidRDefault="000B2CC3" w:rsidP="00911A92">
            <w:pPr>
              <w:pStyle w:val="Tableformat"/>
              <w:rPr>
                <w:color w:val="0070C0"/>
                <w:lang w:val="en-AU"/>
              </w:rPr>
            </w:pPr>
            <w:r w:rsidRPr="001E7A79">
              <w:rPr>
                <w:color w:val="0070C0"/>
                <w:lang w:val="en-AU"/>
              </w:rPr>
              <w:t>Victoria</w:t>
            </w:r>
          </w:p>
          <w:p w14:paraId="5B55B63D" w14:textId="77777777" w:rsidR="000B2CC3" w:rsidRPr="001E7A79" w:rsidRDefault="000B2CC3" w:rsidP="00911A92">
            <w:pPr>
              <w:pStyle w:val="Tableformat"/>
              <w:rPr>
                <w:color w:val="0070C0"/>
                <w:lang w:val="en-AU"/>
              </w:rPr>
            </w:pPr>
            <w:r w:rsidRPr="001E7A79">
              <w:rPr>
                <w:color w:val="0070C0"/>
                <w:lang w:val="en-AU"/>
              </w:rPr>
              <w:t>Queensland</w:t>
            </w:r>
          </w:p>
          <w:p w14:paraId="5B55B63E" w14:textId="77777777" w:rsidR="000B2CC3" w:rsidRPr="001E7A79" w:rsidRDefault="000B2CC3" w:rsidP="00911A92">
            <w:pPr>
              <w:pStyle w:val="Tableformat"/>
              <w:rPr>
                <w:color w:val="0070C0"/>
                <w:lang w:val="en-AU"/>
              </w:rPr>
            </w:pPr>
            <w:r w:rsidRPr="001E7A79">
              <w:rPr>
                <w:color w:val="0070C0"/>
                <w:lang w:val="en-AU"/>
              </w:rPr>
              <w:t>Western Australia</w:t>
            </w:r>
          </w:p>
          <w:p w14:paraId="5B55B63F" w14:textId="77777777" w:rsidR="000B2CC3" w:rsidRPr="001E7A79" w:rsidRDefault="000B2CC3" w:rsidP="00911A92">
            <w:pPr>
              <w:pStyle w:val="Tableformat"/>
              <w:rPr>
                <w:color w:val="0070C0"/>
                <w:lang w:val="en-AU"/>
              </w:rPr>
            </w:pPr>
            <w:r w:rsidRPr="001E7A79">
              <w:rPr>
                <w:color w:val="0070C0"/>
                <w:lang w:val="en-AU"/>
              </w:rPr>
              <w:t>South Australia</w:t>
            </w:r>
          </w:p>
          <w:p w14:paraId="5B55B640" w14:textId="77777777" w:rsidR="00D95ABA" w:rsidRPr="001E7A79" w:rsidRDefault="00D95ABA" w:rsidP="00911A92">
            <w:pPr>
              <w:pStyle w:val="Tableformat"/>
              <w:rPr>
                <w:color w:val="0070C0"/>
                <w:lang w:val="en-AU"/>
              </w:rPr>
            </w:pPr>
            <w:r w:rsidRPr="001E7A79">
              <w:rPr>
                <w:color w:val="0070C0"/>
                <w:lang w:val="en-AU"/>
              </w:rPr>
              <w:t>Tasmania</w:t>
            </w:r>
          </w:p>
          <w:p w14:paraId="5B55B641" w14:textId="77777777" w:rsidR="000B2CC3" w:rsidRPr="001E7A79" w:rsidRDefault="000B2CC3" w:rsidP="00911A92">
            <w:pPr>
              <w:pStyle w:val="Tableformat"/>
              <w:rPr>
                <w:color w:val="0070C0"/>
                <w:lang w:val="en-AU"/>
              </w:rPr>
            </w:pPr>
            <w:r w:rsidRPr="001E7A79">
              <w:rPr>
                <w:color w:val="0070C0"/>
                <w:lang w:val="en-AU"/>
              </w:rPr>
              <w:t>Australian Capital Territory</w:t>
            </w:r>
          </w:p>
          <w:p w14:paraId="5B55B642" w14:textId="77777777" w:rsidR="00911A92" w:rsidRPr="001E7A79" w:rsidRDefault="000B2CC3" w:rsidP="00911A92">
            <w:pPr>
              <w:pStyle w:val="Tableformat"/>
              <w:rPr>
                <w:color w:val="0070C0"/>
                <w:lang w:val="en-AU"/>
              </w:rPr>
            </w:pPr>
            <w:r w:rsidRPr="001E7A79">
              <w:rPr>
                <w:color w:val="0070C0"/>
                <w:lang w:val="en-AU"/>
              </w:rPr>
              <w:t>Northern Territory</w:t>
            </w:r>
            <w:r w:rsidR="00103150" w:rsidRPr="001E7A79">
              <w:rPr>
                <w:color w:val="0070C0"/>
                <w:lang w:val="en-AU"/>
              </w:rPr>
              <w:t xml:space="preserve">] </w:t>
            </w:r>
            <w:r w:rsidR="00911A92" w:rsidRPr="001E7A79">
              <w:rPr>
                <w:color w:val="0070C0"/>
                <w:lang w:val="en-AU"/>
              </w:rPr>
              <w:t xml:space="preserve"> </w:t>
            </w:r>
          </w:p>
          <w:p w14:paraId="5B55B643" w14:textId="77777777" w:rsidR="00D95ABA" w:rsidRPr="001E7A79" w:rsidRDefault="00D95ABA" w:rsidP="00911A92">
            <w:pPr>
              <w:pStyle w:val="Tableformat"/>
              <w:rPr>
                <w:color w:val="auto"/>
                <w:lang w:val="en-AU"/>
              </w:rPr>
            </w:pPr>
            <w:r w:rsidRPr="001E7A79">
              <w:rPr>
                <w:color w:val="0070C0"/>
                <w:lang w:val="en-AU"/>
              </w:rPr>
              <w:t xml:space="preserve">All </w:t>
            </w:r>
            <w:r w:rsidR="00B90A8C" w:rsidRPr="001E7A79">
              <w:rPr>
                <w:color w:val="0070C0"/>
                <w:lang w:val="en-AU"/>
              </w:rPr>
              <w:t>Parties</w:t>
            </w:r>
            <w:r w:rsidRPr="001E7A79">
              <w:rPr>
                <w:color w:val="0070C0"/>
                <w:lang w:val="en-AU"/>
              </w:rPr>
              <w:t xml:space="preserve"> apart from the Commonwealth are referred to as ‘States’ in this </w:t>
            </w:r>
            <w:r w:rsidR="000C2B57" w:rsidRPr="001E7A79">
              <w:rPr>
                <w:color w:val="0070C0"/>
                <w:lang w:val="en-AU"/>
              </w:rPr>
              <w:t>Schedule</w:t>
            </w:r>
            <w:r w:rsidRPr="001E7A79">
              <w:rPr>
                <w:color w:val="0070C0"/>
                <w:lang w:val="en-AU"/>
              </w:rPr>
              <w:t>.</w:t>
            </w:r>
          </w:p>
        </w:tc>
      </w:tr>
      <w:tr w:rsidR="00205899" w:rsidRPr="001E7A79" w14:paraId="5B55B647" w14:textId="77777777" w:rsidTr="000327D6">
        <w:tc>
          <w:tcPr>
            <w:tcW w:w="1691" w:type="dxa"/>
            <w:shd w:val="clear" w:color="auto" w:fill="auto"/>
          </w:tcPr>
          <w:p w14:paraId="5B55B645" w14:textId="77777777" w:rsidR="00205899" w:rsidRPr="001E7A79" w:rsidRDefault="00205899" w:rsidP="00A34292">
            <w:pPr>
              <w:pStyle w:val="Tableformat"/>
              <w:rPr>
                <w:color w:val="auto"/>
                <w:lang w:val="en-AU"/>
              </w:rPr>
            </w:pPr>
            <w:r w:rsidRPr="001E7A79">
              <w:rPr>
                <w:color w:val="auto"/>
                <w:lang w:val="en-AU"/>
              </w:rPr>
              <w:t>Duration</w:t>
            </w:r>
          </w:p>
        </w:tc>
        <w:tc>
          <w:tcPr>
            <w:tcW w:w="7938" w:type="dxa"/>
            <w:shd w:val="clear" w:color="auto" w:fill="auto"/>
          </w:tcPr>
          <w:p w14:paraId="5B55B646" w14:textId="77777777" w:rsidR="00205899" w:rsidRPr="001E7A79" w:rsidRDefault="00103150" w:rsidP="00103150">
            <w:pPr>
              <w:pStyle w:val="Tableformat"/>
              <w:rPr>
                <w:color w:val="auto"/>
                <w:lang w:val="en-AU"/>
              </w:rPr>
            </w:pPr>
            <w:r w:rsidRPr="00A47CDD">
              <w:rPr>
                <w:color w:val="0070C0"/>
                <w:lang w:val="en-AU"/>
              </w:rPr>
              <w:t xml:space="preserve">This Schedule is expected to expire on </w:t>
            </w:r>
            <w:r w:rsidR="000B2CC3" w:rsidRPr="001E7A79">
              <w:rPr>
                <w:color w:val="0070C0"/>
                <w:lang w:val="en-AU"/>
              </w:rPr>
              <w:t>30 June 2029</w:t>
            </w:r>
            <w:r w:rsidRPr="00A47CDD">
              <w:rPr>
                <w:color w:val="0070C0"/>
                <w:lang w:val="en-AU"/>
              </w:rPr>
              <w:t>.</w:t>
            </w:r>
          </w:p>
        </w:tc>
      </w:tr>
      <w:tr w:rsidR="00205899" w:rsidRPr="001E7A79" w14:paraId="5B55B659" w14:textId="77777777" w:rsidTr="000327D6">
        <w:tc>
          <w:tcPr>
            <w:tcW w:w="1691" w:type="dxa"/>
            <w:shd w:val="clear" w:color="auto" w:fill="auto"/>
          </w:tcPr>
          <w:p w14:paraId="5B55B648" w14:textId="77777777" w:rsidR="00205899" w:rsidRPr="001E7A79" w:rsidRDefault="00205899" w:rsidP="00A34292">
            <w:pPr>
              <w:pStyle w:val="Tableformat"/>
              <w:rPr>
                <w:color w:val="auto"/>
                <w:lang w:val="en-AU"/>
              </w:rPr>
            </w:pPr>
            <w:r w:rsidRPr="001E7A79">
              <w:rPr>
                <w:color w:val="auto"/>
                <w:lang w:val="en-AU"/>
              </w:rPr>
              <w:t>Purpose</w:t>
            </w:r>
          </w:p>
        </w:tc>
        <w:tc>
          <w:tcPr>
            <w:tcW w:w="7938" w:type="dxa"/>
            <w:shd w:val="clear" w:color="auto" w:fill="auto"/>
          </w:tcPr>
          <w:p w14:paraId="5B55B649" w14:textId="77777777" w:rsidR="00D95ABA" w:rsidRPr="001E7A79" w:rsidRDefault="00D95ABA" w:rsidP="00D95ABA">
            <w:pPr>
              <w:pStyle w:val="Tableformat"/>
              <w:rPr>
                <w:color w:val="0070C0"/>
                <w:lang w:val="en-AU"/>
              </w:rPr>
            </w:pPr>
            <w:r w:rsidRPr="001E7A79">
              <w:rPr>
                <w:b/>
                <w:color w:val="0070C0"/>
                <w:lang w:val="en-AU"/>
              </w:rPr>
              <w:t>Objective</w:t>
            </w:r>
            <w:r w:rsidR="0024285A" w:rsidRPr="001E7A79">
              <w:rPr>
                <w:b/>
                <w:color w:val="0070C0"/>
                <w:lang w:val="en-AU"/>
              </w:rPr>
              <w:t>s</w:t>
            </w:r>
            <w:r w:rsidRPr="001E7A79">
              <w:rPr>
                <w:color w:val="0070C0"/>
                <w:lang w:val="en-AU"/>
              </w:rPr>
              <w:t>:</w:t>
            </w:r>
          </w:p>
          <w:p w14:paraId="5B55B64A" w14:textId="77777777" w:rsidR="00595C16" w:rsidRPr="001E7A79" w:rsidRDefault="00D95ABA" w:rsidP="00D95ABA">
            <w:pPr>
              <w:pStyle w:val="Tableformat"/>
              <w:rPr>
                <w:color w:val="0070C0"/>
                <w:lang w:val="en-AU"/>
              </w:rPr>
            </w:pPr>
            <w:r w:rsidRPr="001E7A79">
              <w:rPr>
                <w:color w:val="0070C0"/>
                <w:lang w:val="en-AU"/>
              </w:rPr>
              <w:t>Through their</w:t>
            </w:r>
            <w:r w:rsidR="00370750" w:rsidRPr="001E7A79">
              <w:rPr>
                <w:color w:val="0070C0"/>
                <w:lang w:val="en-AU"/>
              </w:rPr>
              <w:t xml:space="preserve"> partnership and</w:t>
            </w:r>
            <w:r w:rsidRPr="001E7A79">
              <w:rPr>
                <w:color w:val="0070C0"/>
                <w:lang w:val="en-AU"/>
              </w:rPr>
              <w:t xml:space="preserve"> joint investment under this </w:t>
            </w:r>
            <w:r w:rsidR="00C97515" w:rsidRPr="001E7A79">
              <w:rPr>
                <w:color w:val="0070C0"/>
                <w:lang w:val="en-AU"/>
              </w:rPr>
              <w:t>Schedule</w:t>
            </w:r>
            <w:r w:rsidRPr="001E7A79">
              <w:rPr>
                <w:color w:val="0070C0"/>
                <w:lang w:val="en-AU"/>
              </w:rPr>
              <w:t xml:space="preserve">, the Parties aspire to deliver a national </w:t>
            </w:r>
            <w:r w:rsidR="00430F88" w:rsidRPr="001E7A79">
              <w:rPr>
                <w:color w:val="0070C0"/>
                <w:lang w:val="en-AU"/>
              </w:rPr>
              <w:t xml:space="preserve">land </w:t>
            </w:r>
            <w:r w:rsidRPr="001E7A79">
              <w:rPr>
                <w:color w:val="0070C0"/>
                <w:lang w:val="en-AU"/>
              </w:rPr>
              <w:t xml:space="preserve">transport system that </w:t>
            </w:r>
            <w:r w:rsidR="00165369" w:rsidRPr="001E7A79">
              <w:rPr>
                <w:color w:val="0070C0"/>
                <w:lang w:val="en-AU"/>
              </w:rPr>
              <w:t xml:space="preserve">contributes to productivity, </w:t>
            </w:r>
            <w:r w:rsidR="00117CB2" w:rsidRPr="001E7A79">
              <w:rPr>
                <w:color w:val="0070C0"/>
                <w:lang w:val="en-AU"/>
              </w:rPr>
              <w:t xml:space="preserve">sustainability, safety, network resilience, </w:t>
            </w:r>
            <w:r w:rsidR="00165369" w:rsidRPr="001E7A79">
              <w:rPr>
                <w:color w:val="0070C0"/>
                <w:lang w:val="en-AU"/>
              </w:rPr>
              <w:t>liveability,</w:t>
            </w:r>
            <w:r w:rsidR="00D43EF8" w:rsidRPr="001E7A79">
              <w:rPr>
                <w:color w:val="0070C0"/>
                <w:lang w:val="en-AU"/>
              </w:rPr>
              <w:t xml:space="preserve"> </w:t>
            </w:r>
            <w:r w:rsidR="00117CB2" w:rsidRPr="001E7A79">
              <w:rPr>
                <w:color w:val="0070C0"/>
                <w:lang w:val="en-AU"/>
              </w:rPr>
              <w:t xml:space="preserve">and </w:t>
            </w:r>
            <w:r w:rsidR="00C15273" w:rsidRPr="001E7A79">
              <w:rPr>
                <w:color w:val="0070C0"/>
                <w:lang w:val="en-AU"/>
              </w:rPr>
              <w:t>housing supply and population growth</w:t>
            </w:r>
            <w:r w:rsidR="00C52CBC" w:rsidRPr="001E7A79">
              <w:rPr>
                <w:color w:val="0070C0"/>
                <w:lang w:val="en-AU"/>
              </w:rPr>
              <w:t xml:space="preserve"> as guided by the Infrastructure Policy Statement</w:t>
            </w:r>
            <w:r w:rsidR="00D43EF8" w:rsidRPr="001E7A79">
              <w:rPr>
                <w:color w:val="0070C0"/>
                <w:lang w:val="en-AU"/>
              </w:rPr>
              <w:t xml:space="preserve">. </w:t>
            </w:r>
          </w:p>
          <w:p w14:paraId="5B55B64B" w14:textId="77777777" w:rsidR="00D95ABA" w:rsidRDefault="00430F88" w:rsidP="00D95ABA">
            <w:pPr>
              <w:pStyle w:val="Tableformat"/>
              <w:rPr>
                <w:color w:val="0070C0"/>
                <w:lang w:val="en-AU"/>
              </w:rPr>
            </w:pPr>
            <w:r w:rsidRPr="001E7A79">
              <w:rPr>
                <w:color w:val="0070C0"/>
                <w:lang w:val="en-AU"/>
              </w:rPr>
              <w:t xml:space="preserve">The Parties also seek to leverage their joint investment to deliver wider </w:t>
            </w:r>
            <w:r w:rsidR="00250C38" w:rsidRPr="001E7A79">
              <w:rPr>
                <w:color w:val="0070C0"/>
                <w:lang w:val="en-AU"/>
              </w:rPr>
              <w:t xml:space="preserve">economic, social, and environmental </w:t>
            </w:r>
            <w:r w:rsidRPr="001E7A79">
              <w:rPr>
                <w:color w:val="0070C0"/>
                <w:lang w:val="en-AU"/>
              </w:rPr>
              <w:t xml:space="preserve">benefits through </w:t>
            </w:r>
            <w:r w:rsidR="00165369" w:rsidRPr="001E7A79">
              <w:rPr>
                <w:color w:val="0070C0"/>
                <w:lang w:val="en-AU"/>
              </w:rPr>
              <w:t>project delivery</w:t>
            </w:r>
            <w:r w:rsidR="00D43EF8" w:rsidRPr="001E7A79">
              <w:rPr>
                <w:color w:val="0070C0"/>
                <w:lang w:val="en-AU"/>
              </w:rPr>
              <w:t xml:space="preserve">, including supporting Australian industries and businesses, </w:t>
            </w:r>
            <w:r w:rsidR="00250C38" w:rsidRPr="001E7A79">
              <w:rPr>
                <w:color w:val="0070C0"/>
                <w:lang w:val="en-AU"/>
              </w:rPr>
              <w:t xml:space="preserve">growing local </w:t>
            </w:r>
            <w:r w:rsidR="00165369" w:rsidRPr="001E7A79">
              <w:rPr>
                <w:color w:val="0070C0"/>
                <w:lang w:val="en-AU"/>
              </w:rPr>
              <w:t>employment opportunities</w:t>
            </w:r>
            <w:r w:rsidR="00250C38" w:rsidRPr="001E7A79">
              <w:rPr>
                <w:color w:val="0070C0"/>
                <w:lang w:val="en-AU"/>
              </w:rPr>
              <w:t>, advancing skills development and workforce diversity, and reducing embodied emissions</w:t>
            </w:r>
            <w:r w:rsidRPr="001E7A79">
              <w:rPr>
                <w:color w:val="0070C0"/>
                <w:lang w:val="en-AU"/>
              </w:rPr>
              <w:t>.</w:t>
            </w:r>
          </w:p>
          <w:p w14:paraId="5B55B64C" w14:textId="77777777" w:rsidR="003019FE" w:rsidRPr="00543CCB" w:rsidRDefault="00543CCB" w:rsidP="00543CCB">
            <w:pPr>
              <w:pStyle w:val="Tableformat"/>
              <w:rPr>
                <w:color w:val="0070C0"/>
                <w:lang w:val="en-AU"/>
              </w:rPr>
            </w:pPr>
            <w:r w:rsidRPr="00B97CE9">
              <w:rPr>
                <w:color w:val="0070C0"/>
                <w:lang w:val="en-AU"/>
              </w:rPr>
              <w:t>This Schedule has been developed in accordance with the FFA Principles and based on reform recommendations outlined in the independent review of the National Partnership Agreement on Land Transport Infrastructure Projects 2019 – 2024, conducted by Jane Halton AO PSM.</w:t>
            </w:r>
          </w:p>
          <w:p w14:paraId="5B55B64D" w14:textId="77777777" w:rsidR="00D95ABA" w:rsidRPr="001E7A79" w:rsidRDefault="00D95ABA" w:rsidP="00D95ABA">
            <w:pPr>
              <w:pStyle w:val="Tableformat"/>
              <w:rPr>
                <w:color w:val="0070C0"/>
                <w:lang w:val="en-AU"/>
              </w:rPr>
            </w:pPr>
          </w:p>
          <w:p w14:paraId="5B55B64E" w14:textId="77777777" w:rsidR="00D95ABA" w:rsidRPr="001E7A79" w:rsidRDefault="00D95ABA" w:rsidP="00D95ABA">
            <w:pPr>
              <w:pStyle w:val="Tableformat"/>
              <w:rPr>
                <w:color w:val="0070C0"/>
                <w:lang w:val="en-AU"/>
              </w:rPr>
            </w:pPr>
            <w:r w:rsidRPr="001E7A79">
              <w:rPr>
                <w:b/>
                <w:color w:val="0070C0"/>
                <w:lang w:val="en-AU"/>
              </w:rPr>
              <w:t>Outcomes</w:t>
            </w:r>
            <w:r w:rsidRPr="001E7A79">
              <w:rPr>
                <w:color w:val="0070C0"/>
                <w:lang w:val="en-AU"/>
              </w:rPr>
              <w:t>:</w:t>
            </w:r>
          </w:p>
          <w:p w14:paraId="5B55B64F" w14:textId="77777777" w:rsidR="00D95ABA" w:rsidRPr="001E7A79" w:rsidRDefault="00D95ABA" w:rsidP="00D95ABA">
            <w:pPr>
              <w:pStyle w:val="Tableformat"/>
              <w:rPr>
                <w:color w:val="0070C0"/>
                <w:lang w:val="en-AU"/>
              </w:rPr>
            </w:pPr>
            <w:r w:rsidRPr="001E7A79">
              <w:rPr>
                <w:color w:val="0070C0"/>
                <w:lang w:val="en-AU"/>
              </w:rPr>
              <w:t xml:space="preserve">This </w:t>
            </w:r>
            <w:r w:rsidR="00C97515" w:rsidRPr="001E7A79">
              <w:rPr>
                <w:color w:val="0070C0"/>
                <w:lang w:val="en-AU"/>
              </w:rPr>
              <w:t>Schedule</w:t>
            </w:r>
            <w:r w:rsidRPr="001E7A79">
              <w:rPr>
                <w:color w:val="0070C0"/>
                <w:lang w:val="en-AU"/>
              </w:rPr>
              <w:t xml:space="preserve"> will facilitate the efficient and effective delivery of </w:t>
            </w:r>
            <w:r w:rsidR="00430F88" w:rsidRPr="001E7A79">
              <w:rPr>
                <w:color w:val="0070C0"/>
                <w:lang w:val="en-AU"/>
              </w:rPr>
              <w:t xml:space="preserve">land transport </w:t>
            </w:r>
            <w:r w:rsidRPr="001E7A79">
              <w:rPr>
                <w:color w:val="0070C0"/>
                <w:lang w:val="en-AU"/>
              </w:rPr>
              <w:t>infrastructure Projects</w:t>
            </w:r>
            <w:r w:rsidR="009A29AE" w:rsidRPr="001E7A79">
              <w:rPr>
                <w:color w:val="0070C0"/>
                <w:lang w:val="en-AU"/>
              </w:rPr>
              <w:t xml:space="preserve"> </w:t>
            </w:r>
            <w:r w:rsidRPr="001E7A79">
              <w:rPr>
                <w:color w:val="0070C0"/>
                <w:lang w:val="en-AU"/>
              </w:rPr>
              <w:t xml:space="preserve">identified in </w:t>
            </w:r>
            <w:r w:rsidR="00C97515" w:rsidRPr="001E7A79">
              <w:rPr>
                <w:color w:val="0070C0"/>
                <w:lang w:val="en-AU"/>
              </w:rPr>
              <w:t>Tables 2A to H</w:t>
            </w:r>
            <w:r w:rsidRPr="001E7A79">
              <w:rPr>
                <w:color w:val="0070C0"/>
                <w:lang w:val="en-AU"/>
              </w:rPr>
              <w:t>. Delivery of the Projects will support Commonwealth and State objectives for their joint infrastructure investments, including:</w:t>
            </w:r>
          </w:p>
          <w:p w14:paraId="5B55B650" w14:textId="77777777" w:rsidR="00D95ABA" w:rsidRPr="001E7A79" w:rsidRDefault="00D95ABA" w:rsidP="00C62598">
            <w:pPr>
              <w:pStyle w:val="Tableformat"/>
              <w:numPr>
                <w:ilvl w:val="0"/>
                <w:numId w:val="3"/>
              </w:numPr>
              <w:rPr>
                <w:color w:val="0070C0"/>
                <w:lang w:val="en-AU"/>
              </w:rPr>
            </w:pPr>
            <w:r w:rsidRPr="001E7A79">
              <w:rPr>
                <w:color w:val="0070C0"/>
                <w:lang w:val="en-AU"/>
              </w:rPr>
              <w:lastRenderedPageBreak/>
              <w:t>new</w:t>
            </w:r>
            <w:r w:rsidR="00250C38" w:rsidRPr="001E7A79">
              <w:rPr>
                <w:color w:val="0070C0"/>
                <w:lang w:val="en-AU"/>
              </w:rPr>
              <w:t>,</w:t>
            </w:r>
            <w:r w:rsidRPr="001E7A79">
              <w:rPr>
                <w:color w:val="0070C0"/>
                <w:lang w:val="en-AU"/>
              </w:rPr>
              <w:t xml:space="preserve"> upgraded</w:t>
            </w:r>
            <w:r w:rsidR="00250C38" w:rsidRPr="001E7A79">
              <w:rPr>
                <w:color w:val="0070C0"/>
                <w:lang w:val="en-AU"/>
              </w:rPr>
              <w:t>, and maint</w:t>
            </w:r>
            <w:r w:rsidR="002113C9" w:rsidRPr="001E7A79">
              <w:rPr>
                <w:color w:val="0070C0"/>
                <w:lang w:val="en-AU"/>
              </w:rPr>
              <w:t xml:space="preserve">ained </w:t>
            </w:r>
            <w:r w:rsidR="00EF682D" w:rsidRPr="001E7A79">
              <w:rPr>
                <w:color w:val="0070C0"/>
                <w:lang w:val="en-AU"/>
              </w:rPr>
              <w:t xml:space="preserve">land </w:t>
            </w:r>
            <w:r w:rsidR="0034357D" w:rsidRPr="001E7A79">
              <w:rPr>
                <w:color w:val="0070C0"/>
                <w:lang w:val="en-AU"/>
              </w:rPr>
              <w:t>transport</w:t>
            </w:r>
            <w:r w:rsidRPr="001E7A79">
              <w:rPr>
                <w:color w:val="0070C0"/>
                <w:lang w:val="en-AU"/>
              </w:rPr>
              <w:t xml:space="preserve"> infrastructure that improves safety, </w:t>
            </w:r>
            <w:r w:rsidR="004C79F6" w:rsidRPr="001E7A79">
              <w:rPr>
                <w:color w:val="0070C0"/>
                <w:lang w:val="en-AU"/>
              </w:rPr>
              <w:t>enhances connectivity</w:t>
            </w:r>
            <w:r w:rsidRPr="001E7A79">
              <w:rPr>
                <w:color w:val="0070C0"/>
                <w:lang w:val="en-AU"/>
              </w:rPr>
              <w:t xml:space="preserve"> and supports productivity;</w:t>
            </w:r>
          </w:p>
          <w:p w14:paraId="5B55B651" w14:textId="77777777" w:rsidR="00330F6F" w:rsidRPr="001E7A79" w:rsidRDefault="00330F6F" w:rsidP="00C62598">
            <w:pPr>
              <w:pStyle w:val="Tableformat"/>
              <w:numPr>
                <w:ilvl w:val="0"/>
                <w:numId w:val="3"/>
              </w:numPr>
              <w:rPr>
                <w:color w:val="0070C0"/>
                <w:lang w:val="en-AU"/>
              </w:rPr>
            </w:pPr>
            <w:r w:rsidRPr="001E7A79">
              <w:rPr>
                <w:color w:val="0070C0"/>
                <w:lang w:val="en-AU"/>
              </w:rPr>
              <w:t>strengthening the resilience of national land transport networks and associated supply chains;</w:t>
            </w:r>
          </w:p>
          <w:p w14:paraId="5B55B652" w14:textId="77777777" w:rsidR="00330F6F" w:rsidRPr="001E7A79" w:rsidRDefault="00330F6F" w:rsidP="00C62598">
            <w:pPr>
              <w:pStyle w:val="Tableformat"/>
              <w:numPr>
                <w:ilvl w:val="0"/>
                <w:numId w:val="3"/>
              </w:numPr>
              <w:rPr>
                <w:color w:val="0070C0"/>
                <w:lang w:val="en-AU"/>
              </w:rPr>
            </w:pPr>
            <w:r w:rsidRPr="001E7A79">
              <w:rPr>
                <w:color w:val="0070C0"/>
                <w:lang w:val="en-AU"/>
              </w:rPr>
              <w:t>advancing e</w:t>
            </w:r>
            <w:r w:rsidR="00470363" w:rsidRPr="001E7A79">
              <w:rPr>
                <w:color w:val="0070C0"/>
                <w:lang w:val="en-AU"/>
              </w:rPr>
              <w:t>conomic outcomes</w:t>
            </w:r>
            <w:r w:rsidR="00904943" w:rsidRPr="001E7A79">
              <w:rPr>
                <w:color w:val="0070C0"/>
                <w:lang w:val="en-AU"/>
              </w:rPr>
              <w:t>, and training and employment opportunities for Australia’s workforce, including</w:t>
            </w:r>
            <w:r w:rsidRPr="001E7A79">
              <w:rPr>
                <w:color w:val="0070C0"/>
                <w:lang w:val="en-AU"/>
              </w:rPr>
              <w:t xml:space="preserve"> First Nations</w:t>
            </w:r>
            <w:r w:rsidR="00904943" w:rsidRPr="001E7A79">
              <w:rPr>
                <w:color w:val="0070C0"/>
                <w:lang w:val="en-AU"/>
              </w:rPr>
              <w:t xml:space="preserve"> jobseekers</w:t>
            </w:r>
            <w:r w:rsidR="00F456E3" w:rsidRPr="001E7A79">
              <w:rPr>
                <w:color w:val="0070C0"/>
                <w:lang w:val="en-AU"/>
              </w:rPr>
              <w:t>;</w:t>
            </w:r>
          </w:p>
          <w:p w14:paraId="5B55B653" w14:textId="77777777" w:rsidR="00F456E3" w:rsidRPr="001341A9" w:rsidRDefault="00F456E3" w:rsidP="00C62598">
            <w:pPr>
              <w:pStyle w:val="Tableformat"/>
              <w:numPr>
                <w:ilvl w:val="0"/>
                <w:numId w:val="3"/>
              </w:numPr>
              <w:rPr>
                <w:color w:val="0070C0"/>
                <w:lang w:val="en-AU"/>
              </w:rPr>
            </w:pPr>
            <w:r w:rsidRPr="001E7A79">
              <w:rPr>
                <w:color w:val="0070C0"/>
                <w:lang w:val="en-AU"/>
              </w:rPr>
              <w:t xml:space="preserve">reducing transport and infrastructure </w:t>
            </w:r>
            <w:r w:rsidR="00470363" w:rsidRPr="001E7A79">
              <w:rPr>
                <w:color w:val="0070C0"/>
                <w:lang w:val="en-AU"/>
              </w:rPr>
              <w:t xml:space="preserve">embodied </w:t>
            </w:r>
            <w:r w:rsidRPr="001E7A79">
              <w:rPr>
                <w:color w:val="0070C0"/>
                <w:lang w:val="en-AU"/>
              </w:rPr>
              <w:t xml:space="preserve">emissions to </w:t>
            </w:r>
            <w:r w:rsidRPr="001341A9">
              <w:rPr>
                <w:color w:val="0070C0"/>
                <w:lang w:val="en-AU"/>
              </w:rPr>
              <w:t xml:space="preserve">support </w:t>
            </w:r>
            <w:r w:rsidR="001415A5" w:rsidRPr="001341A9">
              <w:rPr>
                <w:color w:val="0070C0"/>
                <w:lang w:val="en-AU"/>
              </w:rPr>
              <w:t>Australia’s commitment to Net Zero by 20</w:t>
            </w:r>
            <w:r w:rsidR="00880DB4" w:rsidRPr="001341A9">
              <w:rPr>
                <w:color w:val="0070C0"/>
                <w:lang w:val="en-AU"/>
              </w:rPr>
              <w:t>50</w:t>
            </w:r>
            <w:r w:rsidRPr="001341A9">
              <w:rPr>
                <w:color w:val="0070C0"/>
                <w:lang w:val="en-AU"/>
              </w:rPr>
              <w:t xml:space="preserve">; </w:t>
            </w:r>
          </w:p>
          <w:p w14:paraId="5B55B654" w14:textId="77777777" w:rsidR="00D95ABA" w:rsidRPr="000E5B59" w:rsidRDefault="00D95ABA" w:rsidP="00C62598">
            <w:pPr>
              <w:pStyle w:val="Tableformat"/>
              <w:numPr>
                <w:ilvl w:val="0"/>
                <w:numId w:val="3"/>
              </w:numPr>
              <w:rPr>
                <w:color w:val="0070C0"/>
                <w:lang w:val="en-AU"/>
              </w:rPr>
            </w:pPr>
            <w:r w:rsidRPr="000E5B59">
              <w:rPr>
                <w:color w:val="0070C0"/>
                <w:lang w:val="en-AU"/>
              </w:rPr>
              <w:t xml:space="preserve">promoting a competitive infrastructure market </w:t>
            </w:r>
            <w:r w:rsidR="000B687B" w:rsidRPr="000E5B59">
              <w:rPr>
                <w:color w:val="0070C0"/>
                <w:lang w:val="en-AU"/>
              </w:rPr>
              <w:t xml:space="preserve">and </w:t>
            </w:r>
            <w:r w:rsidR="0011589A" w:rsidRPr="000E5B59">
              <w:rPr>
                <w:color w:val="0070C0"/>
                <w:lang w:val="en-AU"/>
              </w:rPr>
              <w:t>improve</w:t>
            </w:r>
            <w:r w:rsidR="000B687B" w:rsidRPr="000E5B59">
              <w:rPr>
                <w:color w:val="0070C0"/>
                <w:lang w:val="en-AU"/>
              </w:rPr>
              <w:t xml:space="preserve">d </w:t>
            </w:r>
            <w:r w:rsidR="0011589A" w:rsidRPr="000E5B59">
              <w:rPr>
                <w:color w:val="0070C0"/>
                <w:lang w:val="en-AU"/>
              </w:rPr>
              <w:t>productivity in the construction sector</w:t>
            </w:r>
            <w:r w:rsidR="000B687B" w:rsidRPr="000E5B59">
              <w:rPr>
                <w:color w:val="0070C0"/>
                <w:lang w:val="en-AU"/>
              </w:rPr>
              <w:t>, and supporting</w:t>
            </w:r>
            <w:r w:rsidR="0034357D" w:rsidRPr="000E5B59">
              <w:rPr>
                <w:color w:val="0070C0"/>
                <w:lang w:val="en-AU"/>
              </w:rPr>
              <w:t xml:space="preserve"> </w:t>
            </w:r>
            <w:r w:rsidR="004029E9" w:rsidRPr="000E5B59">
              <w:rPr>
                <w:color w:val="0070C0"/>
                <w:lang w:val="en-AU"/>
              </w:rPr>
              <w:t>the</w:t>
            </w:r>
            <w:r w:rsidR="0034357D" w:rsidRPr="000E5B59">
              <w:rPr>
                <w:color w:val="0070C0"/>
                <w:lang w:val="en-AU"/>
              </w:rPr>
              <w:t xml:space="preserve"> priorities</w:t>
            </w:r>
            <w:r w:rsidR="004029E9" w:rsidRPr="000E5B59">
              <w:rPr>
                <w:color w:val="0070C0"/>
                <w:lang w:val="en-AU"/>
              </w:rPr>
              <w:t xml:space="preserve"> set out at Term </w:t>
            </w:r>
            <w:r w:rsidR="003707EE" w:rsidRPr="000E5B59">
              <w:rPr>
                <w:color w:val="0070C0"/>
                <w:lang w:val="en-AU"/>
              </w:rPr>
              <w:t>20</w:t>
            </w:r>
            <w:r w:rsidR="004029E9" w:rsidRPr="000E5B59">
              <w:rPr>
                <w:color w:val="0070C0"/>
                <w:lang w:val="en-AU"/>
              </w:rPr>
              <w:t>.</w:t>
            </w:r>
            <w:r w:rsidRPr="000E5B59">
              <w:rPr>
                <w:color w:val="0070C0"/>
                <w:lang w:val="en-AU"/>
              </w:rPr>
              <w:t xml:space="preserve"> </w:t>
            </w:r>
          </w:p>
          <w:p w14:paraId="5B55B655" w14:textId="77777777" w:rsidR="004029E9" w:rsidRPr="001E7A79" w:rsidRDefault="004029E9" w:rsidP="004029E9">
            <w:pPr>
              <w:pStyle w:val="Tableformat"/>
              <w:ind w:left="720"/>
              <w:rPr>
                <w:color w:val="0070C0"/>
                <w:lang w:val="en-AU"/>
              </w:rPr>
            </w:pPr>
          </w:p>
          <w:p w14:paraId="5B55B656" w14:textId="77777777" w:rsidR="00D95ABA" w:rsidRPr="001E7A79" w:rsidRDefault="00D95ABA" w:rsidP="00D95ABA">
            <w:pPr>
              <w:pStyle w:val="Tableformat"/>
              <w:rPr>
                <w:color w:val="0070C0"/>
                <w:lang w:val="en-AU"/>
              </w:rPr>
            </w:pPr>
            <w:r w:rsidRPr="001E7A79">
              <w:rPr>
                <w:b/>
                <w:color w:val="0070C0"/>
                <w:lang w:val="en-AU"/>
              </w:rPr>
              <w:t>Outputs</w:t>
            </w:r>
            <w:r w:rsidRPr="001E7A79">
              <w:rPr>
                <w:color w:val="0070C0"/>
                <w:lang w:val="en-AU"/>
              </w:rPr>
              <w:t>:</w:t>
            </w:r>
          </w:p>
          <w:p w14:paraId="5B55B657" w14:textId="77777777" w:rsidR="00D95ABA" w:rsidRPr="001E7A79" w:rsidRDefault="00D95ABA" w:rsidP="00D95ABA">
            <w:pPr>
              <w:pStyle w:val="Tableformat"/>
              <w:rPr>
                <w:color w:val="0070C0"/>
                <w:lang w:val="en-AU"/>
              </w:rPr>
            </w:pPr>
            <w:r w:rsidRPr="001E7A79">
              <w:rPr>
                <w:color w:val="0070C0"/>
                <w:lang w:val="en-AU"/>
              </w:rPr>
              <w:t xml:space="preserve">The objectives and outcomes of this </w:t>
            </w:r>
            <w:r w:rsidR="000C2B57" w:rsidRPr="001E7A79">
              <w:rPr>
                <w:color w:val="0070C0"/>
                <w:lang w:val="en-AU"/>
              </w:rPr>
              <w:t xml:space="preserve">Schedule </w:t>
            </w:r>
            <w:r w:rsidRPr="001E7A79">
              <w:rPr>
                <w:color w:val="0070C0"/>
                <w:lang w:val="en-AU"/>
              </w:rPr>
              <w:t xml:space="preserve">will be achieved by the successful </w:t>
            </w:r>
            <w:r w:rsidR="00C1407E" w:rsidRPr="001E7A79">
              <w:rPr>
                <w:color w:val="0070C0"/>
                <w:lang w:val="en-AU"/>
              </w:rPr>
              <w:t xml:space="preserve">planning and </w:t>
            </w:r>
            <w:r w:rsidRPr="001E7A79">
              <w:rPr>
                <w:color w:val="0070C0"/>
                <w:lang w:val="en-AU"/>
              </w:rPr>
              <w:t xml:space="preserve">delivery of transport infrastructure Projects, as set out in Tables </w:t>
            </w:r>
            <w:r w:rsidR="00D911AF" w:rsidRPr="001E7A79">
              <w:rPr>
                <w:color w:val="0070C0"/>
                <w:lang w:val="en-AU"/>
              </w:rPr>
              <w:t>2A to H</w:t>
            </w:r>
            <w:r w:rsidRPr="001E7A79">
              <w:rPr>
                <w:color w:val="0070C0"/>
                <w:lang w:val="en-AU"/>
              </w:rPr>
              <w:t xml:space="preserve"> and measured by performance </w:t>
            </w:r>
            <w:r w:rsidR="00C97515" w:rsidRPr="001E7A79">
              <w:rPr>
                <w:color w:val="0070C0"/>
                <w:lang w:val="en-AU"/>
              </w:rPr>
              <w:t>indicators</w:t>
            </w:r>
            <w:r w:rsidRPr="001E7A79">
              <w:rPr>
                <w:color w:val="0070C0"/>
                <w:lang w:val="en-AU"/>
              </w:rPr>
              <w:t xml:space="preserve"> outlined at </w:t>
            </w:r>
            <w:r w:rsidR="00462E28" w:rsidRPr="001E7A79">
              <w:rPr>
                <w:color w:val="0070C0"/>
                <w:lang w:val="en-AU"/>
              </w:rPr>
              <w:t>T</w:t>
            </w:r>
            <w:r w:rsidR="00D911AF" w:rsidRPr="001E7A79">
              <w:rPr>
                <w:color w:val="0070C0"/>
                <w:lang w:val="en-AU"/>
              </w:rPr>
              <w:t xml:space="preserve">erm </w:t>
            </w:r>
            <w:r w:rsidR="001718E3" w:rsidRPr="001E7A79">
              <w:rPr>
                <w:color w:val="0070C0"/>
                <w:lang w:val="en-AU"/>
              </w:rPr>
              <w:t>2</w:t>
            </w:r>
            <w:r w:rsidR="00207D73">
              <w:rPr>
                <w:color w:val="0070C0"/>
                <w:lang w:val="en-AU"/>
              </w:rPr>
              <w:t>2</w:t>
            </w:r>
            <w:r w:rsidRPr="001E7A79">
              <w:rPr>
                <w:color w:val="0070C0"/>
                <w:lang w:val="en-AU"/>
              </w:rPr>
              <w:t>.</w:t>
            </w:r>
          </w:p>
          <w:p w14:paraId="5B55B658" w14:textId="77777777" w:rsidR="00F3721F" w:rsidRPr="001E7A79" w:rsidRDefault="00320441" w:rsidP="00161447">
            <w:pPr>
              <w:pStyle w:val="Tableformat"/>
              <w:rPr>
                <w:color w:val="0070C0"/>
                <w:lang w:val="en-AU"/>
              </w:rPr>
            </w:pPr>
            <w:r w:rsidRPr="001E7A79">
              <w:rPr>
                <w:color w:val="0070C0"/>
                <w:lang w:val="en-AU"/>
              </w:rPr>
              <w:t xml:space="preserve">This </w:t>
            </w:r>
            <w:r w:rsidR="000C2B57" w:rsidRPr="001E7A79">
              <w:rPr>
                <w:color w:val="0070C0"/>
                <w:lang w:val="en-AU"/>
              </w:rPr>
              <w:t xml:space="preserve">Schedule </w:t>
            </w:r>
            <w:r w:rsidR="003C1FED" w:rsidRPr="001E7A79">
              <w:rPr>
                <w:color w:val="0070C0"/>
                <w:lang w:val="en-AU"/>
              </w:rPr>
              <w:t>will enable more effective</w:t>
            </w:r>
            <w:r w:rsidRPr="001E7A79">
              <w:rPr>
                <w:color w:val="0070C0"/>
                <w:lang w:val="en-AU"/>
              </w:rPr>
              <w:t xml:space="preserve"> priority setting, risk management, funding flows, delivery, accountability and transparency of joint</w:t>
            </w:r>
            <w:r w:rsidR="003C1FED" w:rsidRPr="001E7A79">
              <w:rPr>
                <w:color w:val="0070C0"/>
                <w:lang w:val="en-AU"/>
              </w:rPr>
              <w:t xml:space="preserve"> </w:t>
            </w:r>
            <w:r w:rsidRPr="001E7A79">
              <w:rPr>
                <w:color w:val="0070C0"/>
                <w:lang w:val="en-AU"/>
              </w:rPr>
              <w:t>investments.</w:t>
            </w:r>
          </w:p>
        </w:tc>
      </w:tr>
      <w:tr w:rsidR="00205899" w:rsidRPr="001E7A79" w14:paraId="5B55B65D" w14:textId="77777777" w:rsidTr="000327D6">
        <w:tc>
          <w:tcPr>
            <w:tcW w:w="1691" w:type="dxa"/>
            <w:shd w:val="clear" w:color="auto" w:fill="auto"/>
          </w:tcPr>
          <w:p w14:paraId="5B55B65A" w14:textId="77777777" w:rsidR="00205899" w:rsidRPr="001E7A79" w:rsidRDefault="00205899" w:rsidP="00A34292">
            <w:pPr>
              <w:pStyle w:val="Tableformat"/>
              <w:rPr>
                <w:color w:val="auto"/>
                <w:lang w:val="en-AU"/>
              </w:rPr>
            </w:pPr>
            <w:r w:rsidRPr="001E7A79">
              <w:rPr>
                <w:color w:val="auto"/>
                <w:lang w:val="en-AU"/>
              </w:rPr>
              <w:lastRenderedPageBreak/>
              <w:t>Estimated financial contributions</w:t>
            </w:r>
          </w:p>
        </w:tc>
        <w:tc>
          <w:tcPr>
            <w:tcW w:w="7938" w:type="dxa"/>
            <w:shd w:val="clear" w:color="auto" w:fill="auto"/>
          </w:tcPr>
          <w:p w14:paraId="5B55B65B" w14:textId="77777777" w:rsidR="00250C38" w:rsidRPr="001E7A79" w:rsidRDefault="00491703" w:rsidP="00551D3A">
            <w:pPr>
              <w:pStyle w:val="Tableformat"/>
              <w:rPr>
                <w:color w:val="0070C0"/>
                <w:lang w:val="en-AU"/>
              </w:rPr>
            </w:pPr>
            <w:r w:rsidRPr="001E7A79">
              <w:rPr>
                <w:color w:val="0070C0"/>
                <w:lang w:val="en-AU"/>
              </w:rPr>
              <w:t>Details of the Commonwealth</w:t>
            </w:r>
            <w:r w:rsidR="003F2F81" w:rsidRPr="001E7A79">
              <w:rPr>
                <w:color w:val="0070C0"/>
                <w:lang w:val="en-AU"/>
              </w:rPr>
              <w:t>’s</w:t>
            </w:r>
            <w:r w:rsidR="00F67A3C" w:rsidRPr="001E7A79">
              <w:rPr>
                <w:color w:val="0070C0"/>
                <w:lang w:val="en-AU"/>
              </w:rPr>
              <w:t xml:space="preserve"> and</w:t>
            </w:r>
            <w:r w:rsidRPr="001E7A79">
              <w:rPr>
                <w:color w:val="0070C0"/>
                <w:lang w:val="en-AU"/>
              </w:rPr>
              <w:t xml:space="preserve"> the States’</w:t>
            </w:r>
            <w:r w:rsidR="00F67A3C" w:rsidRPr="001E7A79">
              <w:rPr>
                <w:color w:val="0070C0"/>
                <w:lang w:val="en-AU"/>
              </w:rPr>
              <w:t xml:space="preserve"> </w:t>
            </w:r>
            <w:r w:rsidRPr="001E7A79">
              <w:rPr>
                <w:color w:val="0070C0"/>
                <w:lang w:val="en-AU"/>
              </w:rPr>
              <w:t>estimated financial contributions to the operation of the Schedule are set out in Tables 2A to H.</w:t>
            </w:r>
            <w:r w:rsidR="000E658D" w:rsidRPr="001E7A79">
              <w:rPr>
                <w:color w:val="0070C0"/>
                <w:lang w:val="en-AU"/>
              </w:rPr>
              <w:t xml:space="preserve"> </w:t>
            </w:r>
          </w:p>
          <w:p w14:paraId="5B55B65C" w14:textId="77777777" w:rsidR="007766A2" w:rsidRPr="001E7A79" w:rsidRDefault="00250C38" w:rsidP="00551D3A">
            <w:pPr>
              <w:pStyle w:val="Tableformat"/>
              <w:rPr>
                <w:i/>
                <w:color w:val="0070C0"/>
                <w:lang w:val="en-AU"/>
              </w:rPr>
            </w:pPr>
            <w:r w:rsidRPr="001E7A79">
              <w:rPr>
                <w:color w:val="0070C0"/>
                <w:lang w:val="en-AU"/>
              </w:rPr>
              <w:t>Commonwealth contributions will be provided upon the achievement of agreed project milestones by the relevant State.</w:t>
            </w:r>
          </w:p>
        </w:tc>
      </w:tr>
      <w:tr w:rsidR="00205899" w:rsidRPr="001E7A79" w14:paraId="5B55B715" w14:textId="77777777" w:rsidTr="000327D6">
        <w:tc>
          <w:tcPr>
            <w:tcW w:w="1691" w:type="dxa"/>
            <w:shd w:val="clear" w:color="auto" w:fill="auto"/>
          </w:tcPr>
          <w:p w14:paraId="5B55B65E" w14:textId="77777777" w:rsidR="00205899" w:rsidRPr="001E7A79" w:rsidRDefault="00205899" w:rsidP="00A34292">
            <w:pPr>
              <w:pStyle w:val="Tableformat"/>
              <w:rPr>
                <w:color w:val="auto"/>
                <w:lang w:val="en-AU"/>
              </w:rPr>
            </w:pPr>
            <w:r w:rsidRPr="001E7A79">
              <w:rPr>
                <w:color w:val="auto"/>
                <w:lang w:val="en-AU"/>
              </w:rPr>
              <w:t>Additional terms</w:t>
            </w:r>
          </w:p>
        </w:tc>
        <w:tc>
          <w:tcPr>
            <w:tcW w:w="7938" w:type="dxa"/>
            <w:shd w:val="clear" w:color="auto" w:fill="auto"/>
          </w:tcPr>
          <w:p w14:paraId="5B55B65F" w14:textId="77777777" w:rsidR="00F533F5" w:rsidRPr="009226E8" w:rsidRDefault="00D330B6" w:rsidP="005B7DB5">
            <w:pPr>
              <w:pStyle w:val="Tableformat"/>
              <w:spacing w:line="256" w:lineRule="auto"/>
              <w:rPr>
                <w:b/>
                <w:color w:val="0070C0"/>
                <w:u w:val="single"/>
                <w:lang w:val="en-AU"/>
              </w:rPr>
            </w:pPr>
            <w:r w:rsidRPr="009226E8">
              <w:rPr>
                <w:b/>
                <w:color w:val="0070C0"/>
                <w:u w:val="single"/>
                <w:lang w:val="en-AU"/>
              </w:rPr>
              <w:t>Legislative framework and supporting documents</w:t>
            </w:r>
          </w:p>
          <w:p w14:paraId="5B55B660" w14:textId="77777777" w:rsidR="00D330B6" w:rsidRPr="009226E8" w:rsidRDefault="00D330B6" w:rsidP="00C62598">
            <w:pPr>
              <w:pStyle w:val="Tableformat"/>
              <w:numPr>
                <w:ilvl w:val="0"/>
                <w:numId w:val="4"/>
              </w:numPr>
              <w:spacing w:line="256" w:lineRule="auto"/>
              <w:rPr>
                <w:color w:val="0070C0"/>
                <w:lang w:val="en-AU"/>
              </w:rPr>
            </w:pPr>
            <w:bookmarkStart w:id="1" w:name="OLE_LINK1"/>
            <w:r w:rsidRPr="009226E8">
              <w:rPr>
                <w:color w:val="0070C0"/>
                <w:lang w:val="en-AU"/>
              </w:rPr>
              <w:t xml:space="preserve">This Schedule governs Commonwealth funding provided for land transport infrastructure Projects administered under the </w:t>
            </w:r>
            <w:r w:rsidRPr="009226E8">
              <w:rPr>
                <w:i/>
                <w:color w:val="0070C0"/>
                <w:lang w:val="en-AU"/>
              </w:rPr>
              <w:t>National Land Transport Act 2014</w:t>
            </w:r>
            <w:r w:rsidRPr="009226E8">
              <w:rPr>
                <w:color w:val="0070C0"/>
                <w:lang w:val="en-AU"/>
              </w:rPr>
              <w:t xml:space="preserve"> (NLT Act). Accordingly, this </w:t>
            </w:r>
            <w:r w:rsidR="0043258F" w:rsidRPr="009226E8">
              <w:rPr>
                <w:color w:val="0070C0"/>
                <w:lang w:val="en-AU"/>
              </w:rPr>
              <w:t>Schedule</w:t>
            </w:r>
            <w:r w:rsidRPr="009226E8">
              <w:rPr>
                <w:color w:val="0070C0"/>
                <w:lang w:val="en-AU"/>
              </w:rPr>
              <w:t xml:space="preserve"> must be read in conjunction with the provisions of the NLT Act.</w:t>
            </w:r>
            <w:bookmarkEnd w:id="1"/>
          </w:p>
          <w:p w14:paraId="5B55B661" w14:textId="77777777" w:rsidR="00F456E3" w:rsidRPr="009226E8" w:rsidRDefault="00F456E3" w:rsidP="00C62598">
            <w:pPr>
              <w:pStyle w:val="Tableformat"/>
              <w:numPr>
                <w:ilvl w:val="1"/>
                <w:numId w:val="4"/>
              </w:numPr>
              <w:spacing w:line="256" w:lineRule="auto"/>
              <w:rPr>
                <w:color w:val="0070C0"/>
                <w:lang w:val="en-AU"/>
              </w:rPr>
            </w:pPr>
            <w:r w:rsidRPr="009226E8">
              <w:rPr>
                <w:color w:val="0070C0"/>
                <w:lang w:val="en-AU"/>
              </w:rPr>
              <w:t>In the event that the NLT Act is amended</w:t>
            </w:r>
            <w:r w:rsidR="00470363" w:rsidRPr="009226E8">
              <w:rPr>
                <w:color w:val="0070C0"/>
                <w:lang w:val="en-AU"/>
              </w:rPr>
              <w:t>,</w:t>
            </w:r>
            <w:r w:rsidR="0072401D" w:rsidRPr="009226E8">
              <w:rPr>
                <w:color w:val="0070C0"/>
                <w:lang w:val="en-AU"/>
              </w:rPr>
              <w:t xml:space="preserve"> </w:t>
            </w:r>
            <w:r w:rsidRPr="009226E8">
              <w:rPr>
                <w:color w:val="0070C0"/>
                <w:lang w:val="en-AU"/>
              </w:rPr>
              <w:t>repealed</w:t>
            </w:r>
            <w:r w:rsidR="00470363" w:rsidRPr="009226E8">
              <w:rPr>
                <w:color w:val="0070C0"/>
                <w:lang w:val="en-AU"/>
              </w:rPr>
              <w:t xml:space="preserve"> or replaced</w:t>
            </w:r>
            <w:r w:rsidRPr="009226E8">
              <w:rPr>
                <w:color w:val="0070C0"/>
                <w:lang w:val="en-AU"/>
              </w:rPr>
              <w:t>, the Schedule will be reviewed by all Parties.</w:t>
            </w:r>
          </w:p>
          <w:p w14:paraId="5B55B662" w14:textId="77777777" w:rsidR="00C25836" w:rsidRPr="009226E8" w:rsidRDefault="00825D31" w:rsidP="00C25836">
            <w:pPr>
              <w:pStyle w:val="Tableformat"/>
              <w:numPr>
                <w:ilvl w:val="1"/>
                <w:numId w:val="4"/>
              </w:numPr>
              <w:spacing w:line="256" w:lineRule="auto"/>
              <w:rPr>
                <w:color w:val="0070C0"/>
                <w:lang w:val="en-AU"/>
              </w:rPr>
            </w:pPr>
            <w:r w:rsidRPr="009226E8">
              <w:rPr>
                <w:color w:val="0070C0"/>
                <w:lang w:val="en-AU"/>
              </w:rPr>
              <w:t>This Schedule is not a funding agreement for the purposes of section 4 of the NLT Act.</w:t>
            </w:r>
          </w:p>
          <w:p w14:paraId="5B55B663" w14:textId="77777777" w:rsidR="00D330B6" w:rsidRPr="009226E8" w:rsidRDefault="00D330B6" w:rsidP="00C62598">
            <w:pPr>
              <w:pStyle w:val="Tableformat"/>
              <w:numPr>
                <w:ilvl w:val="0"/>
                <w:numId w:val="4"/>
              </w:numPr>
              <w:spacing w:line="256" w:lineRule="auto"/>
              <w:rPr>
                <w:color w:val="0070C0"/>
                <w:lang w:val="en-AU"/>
              </w:rPr>
            </w:pPr>
            <w:r w:rsidRPr="009226E8">
              <w:rPr>
                <w:color w:val="0070C0"/>
                <w:lang w:val="en-AU"/>
              </w:rPr>
              <w:t>This Schedule must be read in conjunction with the</w:t>
            </w:r>
            <w:r w:rsidR="00187FF1" w:rsidRPr="009226E8">
              <w:rPr>
                <w:color w:val="0070C0"/>
                <w:lang w:val="en-AU"/>
              </w:rPr>
              <w:t xml:space="preserve"> </w:t>
            </w:r>
            <w:r w:rsidRPr="009226E8">
              <w:rPr>
                <w:color w:val="0070C0"/>
                <w:lang w:val="en-AU"/>
              </w:rPr>
              <w:t>Notes on Administration, which outline the administrative requirements associated with this Schedule.</w:t>
            </w:r>
          </w:p>
          <w:p w14:paraId="5B55B664" w14:textId="77777777" w:rsidR="002C09D8" w:rsidRPr="009226E8" w:rsidRDefault="002C09D8" w:rsidP="00C62598">
            <w:pPr>
              <w:pStyle w:val="Tableformat"/>
              <w:numPr>
                <w:ilvl w:val="0"/>
                <w:numId w:val="4"/>
              </w:numPr>
              <w:spacing w:line="256" w:lineRule="auto"/>
              <w:rPr>
                <w:color w:val="0070C0"/>
                <w:lang w:val="en-AU"/>
              </w:rPr>
            </w:pPr>
            <w:r w:rsidRPr="009226E8">
              <w:rPr>
                <w:color w:val="0070C0"/>
                <w:lang w:val="en-AU"/>
              </w:rPr>
              <w:lastRenderedPageBreak/>
              <w:t>The Notes on Administration will be agreed by Senior Officials from each jurisdiction and may be updated from time to time. Material changes to the Notes on Administration must be agreed by Senior Officials from each jurisdiction</w:t>
            </w:r>
            <w:r w:rsidR="009C4C73" w:rsidRPr="009226E8">
              <w:rPr>
                <w:color w:val="0070C0"/>
                <w:lang w:val="en-AU"/>
              </w:rPr>
              <w:t>.</w:t>
            </w:r>
          </w:p>
          <w:p w14:paraId="5B55B665" w14:textId="77777777" w:rsidR="00D330B6" w:rsidRPr="009226E8" w:rsidRDefault="00D330B6" w:rsidP="00C62598">
            <w:pPr>
              <w:pStyle w:val="Tableformat"/>
              <w:numPr>
                <w:ilvl w:val="0"/>
                <w:numId w:val="4"/>
              </w:numPr>
              <w:spacing w:line="256" w:lineRule="auto"/>
              <w:rPr>
                <w:color w:val="0070C0"/>
                <w:lang w:val="en-AU"/>
              </w:rPr>
            </w:pPr>
            <w:r w:rsidRPr="009226E8">
              <w:rPr>
                <w:color w:val="0070C0"/>
                <w:lang w:val="en-AU"/>
              </w:rPr>
              <w:t xml:space="preserve">The Notes on Administration </w:t>
            </w:r>
            <w:r w:rsidR="00F456E3" w:rsidRPr="009226E8">
              <w:rPr>
                <w:color w:val="0070C0"/>
                <w:lang w:val="en-AU"/>
              </w:rPr>
              <w:t>is intended to provide clear</w:t>
            </w:r>
            <w:r w:rsidR="003D545C" w:rsidRPr="009226E8">
              <w:rPr>
                <w:color w:val="0070C0"/>
                <w:lang w:val="en-AU"/>
              </w:rPr>
              <w:t xml:space="preserve"> </w:t>
            </w:r>
            <w:r w:rsidR="00F456E3" w:rsidRPr="009226E8">
              <w:rPr>
                <w:color w:val="0070C0"/>
                <w:lang w:val="en-AU"/>
              </w:rPr>
              <w:t>guidance</w:t>
            </w:r>
            <w:r w:rsidR="0068543B" w:rsidRPr="009226E8">
              <w:rPr>
                <w:color w:val="0070C0"/>
                <w:lang w:val="en-AU"/>
              </w:rPr>
              <w:t xml:space="preserve"> that is readily understood, promote consistency in administrative practises</w:t>
            </w:r>
            <w:r w:rsidR="00F456E3" w:rsidRPr="009226E8">
              <w:rPr>
                <w:color w:val="0070C0"/>
                <w:lang w:val="en-AU"/>
              </w:rPr>
              <w:t xml:space="preserve"> and minimise </w:t>
            </w:r>
            <w:r w:rsidRPr="009226E8">
              <w:rPr>
                <w:color w:val="0070C0"/>
                <w:lang w:val="en-AU"/>
              </w:rPr>
              <w:t xml:space="preserve">administrative burden for all </w:t>
            </w:r>
            <w:r w:rsidR="000A057D" w:rsidRPr="009226E8">
              <w:rPr>
                <w:color w:val="0070C0"/>
                <w:lang w:val="en-AU"/>
              </w:rPr>
              <w:t>P</w:t>
            </w:r>
            <w:r w:rsidRPr="009226E8">
              <w:rPr>
                <w:color w:val="0070C0"/>
                <w:lang w:val="en-AU"/>
              </w:rPr>
              <w:t>arties.</w:t>
            </w:r>
          </w:p>
          <w:p w14:paraId="5B55B666" w14:textId="77777777" w:rsidR="00123293" w:rsidRPr="009226E8" w:rsidRDefault="00123293" w:rsidP="00C62598">
            <w:pPr>
              <w:pStyle w:val="Tableformat"/>
              <w:numPr>
                <w:ilvl w:val="0"/>
                <w:numId w:val="4"/>
              </w:numPr>
              <w:spacing w:line="256" w:lineRule="auto"/>
              <w:rPr>
                <w:color w:val="0070C0"/>
                <w:lang w:val="en-AU"/>
              </w:rPr>
            </w:pPr>
            <w:r w:rsidRPr="009226E8">
              <w:rPr>
                <w:color w:val="0070C0"/>
                <w:lang w:val="en-AU"/>
              </w:rPr>
              <w:t xml:space="preserve">There will be a post-implementation review of the Notes on Administration </w:t>
            </w:r>
            <w:r w:rsidR="00F456E3" w:rsidRPr="009226E8">
              <w:rPr>
                <w:color w:val="0070C0"/>
                <w:lang w:val="en-AU"/>
              </w:rPr>
              <w:t xml:space="preserve">within </w:t>
            </w:r>
            <w:r w:rsidR="009C4C73" w:rsidRPr="009226E8">
              <w:rPr>
                <w:color w:val="0070C0"/>
                <w:lang w:val="en-AU"/>
              </w:rPr>
              <w:t xml:space="preserve">18 </w:t>
            </w:r>
            <w:r w:rsidRPr="009226E8">
              <w:rPr>
                <w:color w:val="0070C0"/>
                <w:lang w:val="en-AU"/>
              </w:rPr>
              <w:t xml:space="preserve">months </w:t>
            </w:r>
            <w:r w:rsidR="00F456E3" w:rsidRPr="009226E8">
              <w:rPr>
                <w:color w:val="0070C0"/>
                <w:lang w:val="en-AU"/>
              </w:rPr>
              <w:t xml:space="preserve">of </w:t>
            </w:r>
            <w:r w:rsidRPr="009226E8">
              <w:rPr>
                <w:color w:val="0070C0"/>
                <w:lang w:val="en-AU"/>
              </w:rPr>
              <w:t>the Notes on Administration t</w:t>
            </w:r>
            <w:r w:rsidR="00A95857" w:rsidRPr="009226E8">
              <w:rPr>
                <w:color w:val="0070C0"/>
                <w:lang w:val="en-AU"/>
              </w:rPr>
              <w:t>a</w:t>
            </w:r>
            <w:r w:rsidRPr="009226E8">
              <w:rPr>
                <w:color w:val="0070C0"/>
                <w:lang w:val="en-AU"/>
              </w:rPr>
              <w:t>k</w:t>
            </w:r>
            <w:r w:rsidR="00F456E3" w:rsidRPr="009226E8">
              <w:rPr>
                <w:color w:val="0070C0"/>
                <w:lang w:val="en-AU"/>
              </w:rPr>
              <w:t>ing</w:t>
            </w:r>
            <w:r w:rsidRPr="009226E8">
              <w:rPr>
                <w:color w:val="0070C0"/>
                <w:lang w:val="en-AU"/>
              </w:rPr>
              <w:t xml:space="preserve"> effect. </w:t>
            </w:r>
          </w:p>
          <w:p w14:paraId="5B55B667" w14:textId="77777777" w:rsidR="00187FF1" w:rsidRPr="009226E8" w:rsidRDefault="00187FF1" w:rsidP="00C62598">
            <w:pPr>
              <w:pStyle w:val="Tableformat"/>
              <w:numPr>
                <w:ilvl w:val="0"/>
                <w:numId w:val="4"/>
              </w:numPr>
              <w:spacing w:line="256" w:lineRule="auto"/>
              <w:rPr>
                <w:color w:val="0070C0"/>
                <w:lang w:val="en-AU"/>
              </w:rPr>
            </w:pPr>
            <w:r w:rsidRPr="009226E8">
              <w:rPr>
                <w:color w:val="0070C0"/>
                <w:lang w:val="en-AU"/>
              </w:rPr>
              <w:t xml:space="preserve">Where this </w:t>
            </w:r>
            <w:r w:rsidR="0043258F" w:rsidRPr="009226E8">
              <w:rPr>
                <w:color w:val="0070C0"/>
                <w:lang w:val="en-AU"/>
              </w:rPr>
              <w:t>Schedule</w:t>
            </w:r>
            <w:r w:rsidRPr="009226E8">
              <w:rPr>
                <w:color w:val="0070C0"/>
                <w:lang w:val="en-AU"/>
              </w:rPr>
              <w:t xml:space="preserve"> or the Notes on Administration are inconsistent with the terms of the NLT Act, the terms of the NLT Act will prevail.</w:t>
            </w:r>
          </w:p>
          <w:p w14:paraId="5B55B668" w14:textId="77777777" w:rsidR="0088694B" w:rsidRPr="009226E8" w:rsidRDefault="00187FF1" w:rsidP="00E70169">
            <w:pPr>
              <w:pStyle w:val="Tableformat"/>
              <w:numPr>
                <w:ilvl w:val="0"/>
                <w:numId w:val="4"/>
              </w:numPr>
              <w:spacing w:line="256" w:lineRule="auto"/>
              <w:rPr>
                <w:color w:val="0070C0"/>
                <w:lang w:val="en-AU"/>
              </w:rPr>
            </w:pPr>
            <w:r w:rsidRPr="009226E8">
              <w:rPr>
                <w:color w:val="0070C0"/>
                <w:lang w:val="en-AU"/>
              </w:rPr>
              <w:t xml:space="preserve">If any inconsistencies arise between the terms and conditions contained in this </w:t>
            </w:r>
            <w:r w:rsidR="0043258F" w:rsidRPr="009226E8">
              <w:rPr>
                <w:color w:val="0070C0"/>
                <w:lang w:val="en-AU"/>
              </w:rPr>
              <w:t>Schedule</w:t>
            </w:r>
            <w:r w:rsidRPr="009226E8">
              <w:rPr>
                <w:color w:val="0070C0"/>
                <w:lang w:val="en-AU"/>
              </w:rPr>
              <w:t xml:space="preserve"> and any part of the Notes on Administration, the terms and conditions contained in this </w:t>
            </w:r>
            <w:r w:rsidR="0043258F" w:rsidRPr="009226E8">
              <w:rPr>
                <w:color w:val="0070C0"/>
                <w:lang w:val="en-AU"/>
              </w:rPr>
              <w:t>Schedule</w:t>
            </w:r>
            <w:r w:rsidRPr="009226E8">
              <w:rPr>
                <w:color w:val="0070C0"/>
                <w:lang w:val="en-AU"/>
              </w:rPr>
              <w:t xml:space="preserve"> will prevail.</w:t>
            </w:r>
          </w:p>
          <w:p w14:paraId="5B55B669" w14:textId="77777777" w:rsidR="0051580B" w:rsidRPr="009226E8" w:rsidRDefault="00FE6C0B" w:rsidP="00C62598">
            <w:pPr>
              <w:pStyle w:val="Tableformat"/>
              <w:numPr>
                <w:ilvl w:val="0"/>
                <w:numId w:val="4"/>
              </w:numPr>
              <w:spacing w:line="256" w:lineRule="auto"/>
              <w:rPr>
                <w:color w:val="0070C0"/>
                <w:lang w:val="en-AU"/>
              </w:rPr>
            </w:pPr>
            <w:r w:rsidRPr="009226E8">
              <w:rPr>
                <w:color w:val="0070C0"/>
                <w:lang w:val="en-AU"/>
              </w:rPr>
              <w:t xml:space="preserve">Commonwealth funding provided under this </w:t>
            </w:r>
            <w:r w:rsidR="00CF482A" w:rsidRPr="009226E8">
              <w:rPr>
                <w:color w:val="0070C0"/>
                <w:lang w:val="en-AU"/>
              </w:rPr>
              <w:t>Schedule</w:t>
            </w:r>
            <w:r w:rsidRPr="009226E8">
              <w:rPr>
                <w:color w:val="0070C0"/>
                <w:lang w:val="en-AU"/>
              </w:rPr>
              <w:t xml:space="preserve"> does not include equity or loans.</w:t>
            </w:r>
          </w:p>
          <w:p w14:paraId="5B55B66A" w14:textId="77777777" w:rsidR="005B7DB5" w:rsidRPr="009226E8" w:rsidRDefault="005B7DB5" w:rsidP="009E5929">
            <w:pPr>
              <w:pStyle w:val="Tableformat"/>
              <w:keepNext/>
              <w:spacing w:line="257" w:lineRule="auto"/>
              <w:rPr>
                <w:b/>
                <w:color w:val="0070C0"/>
                <w:u w:val="single"/>
                <w:lang w:val="en-AU"/>
              </w:rPr>
            </w:pPr>
            <w:r w:rsidRPr="009226E8">
              <w:rPr>
                <w:b/>
                <w:color w:val="0070C0"/>
                <w:u w:val="single"/>
                <w:lang w:val="en-AU"/>
              </w:rPr>
              <w:t>Roles</w:t>
            </w:r>
          </w:p>
          <w:p w14:paraId="5B55B66B" w14:textId="77777777" w:rsidR="00A34292" w:rsidRPr="009226E8" w:rsidRDefault="00A34292" w:rsidP="00C62598">
            <w:pPr>
              <w:pStyle w:val="Tableformat"/>
              <w:numPr>
                <w:ilvl w:val="0"/>
                <w:numId w:val="4"/>
              </w:numPr>
              <w:spacing w:line="256" w:lineRule="auto"/>
              <w:rPr>
                <w:color w:val="0070C0"/>
                <w:lang w:val="en-AU"/>
              </w:rPr>
            </w:pPr>
            <w:r w:rsidRPr="009226E8">
              <w:rPr>
                <w:color w:val="0070C0"/>
                <w:lang w:val="en-AU"/>
              </w:rPr>
              <w:t xml:space="preserve">In addition to Clause 19 of the </w:t>
            </w:r>
            <w:hyperlink r:id="rId12" w:history="1">
              <w:r w:rsidRPr="009226E8">
                <w:rPr>
                  <w:rStyle w:val="Hyperlink"/>
                  <w:lang w:val="en-AU"/>
                </w:rPr>
                <w:t>FFA – Infrastructure</w:t>
              </w:r>
            </w:hyperlink>
            <w:r w:rsidRPr="009226E8">
              <w:rPr>
                <w:color w:val="0070C0"/>
                <w:lang w:val="en-AU"/>
              </w:rPr>
              <w:t xml:space="preserve"> (Role of the Commonwealth), the Commonwealth</w:t>
            </w:r>
            <w:r w:rsidR="00CF6DD7" w:rsidRPr="009226E8">
              <w:rPr>
                <w:color w:val="0070C0"/>
                <w:lang w:val="en-AU"/>
              </w:rPr>
              <w:t xml:space="preserve"> (as represented by the</w:t>
            </w:r>
            <w:r w:rsidR="001D0719" w:rsidRPr="009226E8">
              <w:rPr>
                <w:color w:val="0070C0"/>
                <w:lang w:val="en-AU"/>
              </w:rPr>
              <w:t xml:space="preserve"> relevant Commonwealth</w:t>
            </w:r>
            <w:r w:rsidR="00CF6DD7" w:rsidRPr="009226E8">
              <w:rPr>
                <w:color w:val="0070C0"/>
                <w:lang w:val="en-AU"/>
              </w:rPr>
              <w:t xml:space="preserve"> department)</w:t>
            </w:r>
            <w:r w:rsidRPr="009226E8">
              <w:rPr>
                <w:color w:val="0070C0"/>
                <w:lang w:val="en-AU"/>
              </w:rPr>
              <w:t xml:space="preserve"> will:</w:t>
            </w:r>
          </w:p>
          <w:p w14:paraId="5B55B66C" w14:textId="77777777" w:rsidR="00EC4BFA" w:rsidRPr="009226E8" w:rsidRDefault="00EC4BFA" w:rsidP="00C62598">
            <w:pPr>
              <w:pStyle w:val="Tableformat"/>
              <w:numPr>
                <w:ilvl w:val="1"/>
                <w:numId w:val="4"/>
              </w:numPr>
              <w:spacing w:line="256" w:lineRule="auto"/>
              <w:rPr>
                <w:color w:val="0070C0"/>
                <w:lang w:val="en-AU"/>
              </w:rPr>
            </w:pPr>
            <w:r w:rsidRPr="009226E8">
              <w:rPr>
                <w:color w:val="0070C0"/>
                <w:lang w:val="en-AU"/>
              </w:rPr>
              <w:t xml:space="preserve">provide a financial contribution, where agreed, to </w:t>
            </w:r>
            <w:r w:rsidR="009A29AE" w:rsidRPr="009226E8">
              <w:rPr>
                <w:color w:val="0070C0"/>
                <w:lang w:val="en-AU"/>
              </w:rPr>
              <w:t xml:space="preserve">the </w:t>
            </w:r>
            <w:r w:rsidRPr="009226E8">
              <w:rPr>
                <w:color w:val="0070C0"/>
                <w:lang w:val="en-AU"/>
              </w:rPr>
              <w:t>Projects</w:t>
            </w:r>
            <w:r w:rsidR="009A29AE" w:rsidRPr="009226E8">
              <w:rPr>
                <w:color w:val="0070C0"/>
                <w:lang w:val="en-AU"/>
              </w:rPr>
              <w:t xml:space="preserve"> </w:t>
            </w:r>
            <w:r w:rsidRPr="009226E8">
              <w:rPr>
                <w:color w:val="0070C0"/>
                <w:lang w:val="en-AU"/>
              </w:rPr>
              <w:t>set out in Tables 2A to H, to support the implementation of this Schedule;</w:t>
            </w:r>
          </w:p>
          <w:p w14:paraId="5B55B66D" w14:textId="77777777" w:rsidR="007321C3" w:rsidRPr="009226E8" w:rsidRDefault="007321C3" w:rsidP="00C62598">
            <w:pPr>
              <w:pStyle w:val="Tableformat"/>
              <w:numPr>
                <w:ilvl w:val="1"/>
                <w:numId w:val="4"/>
              </w:numPr>
              <w:spacing w:line="256" w:lineRule="auto"/>
              <w:rPr>
                <w:color w:val="0070C0"/>
                <w:lang w:val="en-AU"/>
              </w:rPr>
            </w:pPr>
            <w:r w:rsidRPr="009226E8">
              <w:rPr>
                <w:color w:val="0070C0"/>
                <w:lang w:val="en-AU"/>
              </w:rPr>
              <w:t>be an informed investor, in partnership with States, in land transport infrastructure projects</w:t>
            </w:r>
            <w:r w:rsidR="008158E1" w:rsidRPr="009226E8">
              <w:rPr>
                <w:color w:val="0070C0"/>
                <w:lang w:val="en-AU"/>
              </w:rPr>
              <w:t xml:space="preserve">, </w:t>
            </w:r>
            <w:r w:rsidR="0072401D" w:rsidRPr="009226E8">
              <w:rPr>
                <w:color w:val="0070C0"/>
                <w:lang w:val="en-AU"/>
              </w:rPr>
              <w:t>including by having</w:t>
            </w:r>
            <w:r w:rsidR="008158E1" w:rsidRPr="009226E8">
              <w:rPr>
                <w:color w:val="0070C0"/>
                <w:lang w:val="en-AU"/>
              </w:rPr>
              <w:t xml:space="preserve"> </w:t>
            </w:r>
            <w:r w:rsidR="00FC129E" w:rsidRPr="009226E8">
              <w:rPr>
                <w:color w:val="0070C0"/>
                <w:lang w:val="en-AU"/>
              </w:rPr>
              <w:t xml:space="preserve">equal </w:t>
            </w:r>
            <w:r w:rsidR="008158E1" w:rsidRPr="009226E8">
              <w:rPr>
                <w:color w:val="0070C0"/>
                <w:lang w:val="en-AU"/>
              </w:rPr>
              <w:t>access to information that supports long-term investment decision</w:t>
            </w:r>
            <w:r w:rsidR="0072401D" w:rsidRPr="009226E8">
              <w:rPr>
                <w:color w:val="0070C0"/>
                <w:lang w:val="en-AU"/>
              </w:rPr>
              <w:t>-</w:t>
            </w:r>
            <w:r w:rsidR="008158E1" w:rsidRPr="009226E8">
              <w:rPr>
                <w:color w:val="0070C0"/>
                <w:lang w:val="en-AU"/>
              </w:rPr>
              <w:t>making and enables effective oversight of investment risks</w:t>
            </w:r>
            <w:r w:rsidRPr="009226E8">
              <w:rPr>
                <w:color w:val="0070C0"/>
                <w:lang w:val="en-AU"/>
              </w:rPr>
              <w:t>;</w:t>
            </w:r>
          </w:p>
          <w:p w14:paraId="5B55B66E" w14:textId="77777777" w:rsidR="005E4A56" w:rsidRPr="009226E8" w:rsidRDefault="009C1F79" w:rsidP="00C62598">
            <w:pPr>
              <w:pStyle w:val="Tableformat"/>
              <w:numPr>
                <w:ilvl w:val="1"/>
                <w:numId w:val="4"/>
              </w:numPr>
              <w:spacing w:line="256" w:lineRule="auto"/>
              <w:rPr>
                <w:color w:val="0070C0"/>
                <w:lang w:val="en-AU"/>
              </w:rPr>
            </w:pPr>
            <w:r w:rsidRPr="009226E8">
              <w:rPr>
                <w:color w:val="0070C0"/>
                <w:lang w:val="en-AU"/>
              </w:rPr>
              <w:t xml:space="preserve">be responsible for assessing and </w:t>
            </w:r>
            <w:r w:rsidR="00F42895" w:rsidRPr="009226E8">
              <w:rPr>
                <w:color w:val="0070C0"/>
                <w:lang w:val="en-AU"/>
              </w:rPr>
              <w:t xml:space="preserve">agreeing </w:t>
            </w:r>
            <w:r w:rsidRPr="009226E8">
              <w:rPr>
                <w:color w:val="0070C0"/>
                <w:lang w:val="en-AU"/>
              </w:rPr>
              <w:t>which Projects</w:t>
            </w:r>
            <w:r w:rsidR="009A29AE" w:rsidRPr="009226E8">
              <w:rPr>
                <w:color w:val="0070C0"/>
                <w:lang w:val="en-AU"/>
              </w:rPr>
              <w:t xml:space="preserve"> </w:t>
            </w:r>
            <w:r w:rsidRPr="009226E8">
              <w:rPr>
                <w:color w:val="0070C0"/>
                <w:lang w:val="en-AU"/>
              </w:rPr>
              <w:t>are to be funded under this Schedule</w:t>
            </w:r>
            <w:r w:rsidR="007321C3" w:rsidRPr="009226E8">
              <w:rPr>
                <w:color w:val="0070C0"/>
                <w:lang w:val="en-AU"/>
              </w:rPr>
              <w:t>, informed by expert advice</w:t>
            </w:r>
            <w:r w:rsidR="006B377C" w:rsidRPr="009226E8">
              <w:rPr>
                <w:color w:val="0070C0"/>
                <w:lang w:val="en-AU"/>
              </w:rPr>
              <w:t>, State Annual Infrastructure Plans,</w:t>
            </w:r>
            <w:r w:rsidR="007321C3" w:rsidRPr="009226E8">
              <w:rPr>
                <w:color w:val="0070C0"/>
                <w:lang w:val="en-AU"/>
              </w:rPr>
              <w:t xml:space="preserve"> and State priorities</w:t>
            </w:r>
            <w:r w:rsidRPr="009226E8">
              <w:rPr>
                <w:color w:val="0070C0"/>
                <w:lang w:val="en-AU"/>
              </w:rPr>
              <w:t>;</w:t>
            </w:r>
          </w:p>
          <w:p w14:paraId="5B55B66F" w14:textId="77777777" w:rsidR="000050A2" w:rsidRPr="009226E8" w:rsidRDefault="000050A2" w:rsidP="00C62598">
            <w:pPr>
              <w:pStyle w:val="Tableformat"/>
              <w:numPr>
                <w:ilvl w:val="1"/>
                <w:numId w:val="4"/>
              </w:numPr>
              <w:spacing w:line="256" w:lineRule="auto"/>
              <w:rPr>
                <w:color w:val="0070C0"/>
                <w:lang w:val="en-AU"/>
              </w:rPr>
            </w:pPr>
            <w:r w:rsidRPr="009226E8">
              <w:rPr>
                <w:color w:val="0070C0"/>
                <w:lang w:val="en-AU"/>
              </w:rPr>
              <w:t>ensure the timely completion of assessment and decision-making processes as set out in the Notes on Administration;</w:t>
            </w:r>
          </w:p>
          <w:p w14:paraId="5B55B670" w14:textId="77777777" w:rsidR="007321C3" w:rsidRPr="009226E8" w:rsidRDefault="007321C3" w:rsidP="00C62598">
            <w:pPr>
              <w:pStyle w:val="Tableformat"/>
              <w:numPr>
                <w:ilvl w:val="1"/>
                <w:numId w:val="4"/>
              </w:numPr>
              <w:spacing w:line="256" w:lineRule="auto"/>
              <w:rPr>
                <w:color w:val="0070C0"/>
                <w:lang w:val="en-AU"/>
              </w:rPr>
            </w:pPr>
            <w:r w:rsidRPr="009226E8">
              <w:rPr>
                <w:color w:val="0070C0"/>
                <w:lang w:val="en-AU"/>
              </w:rPr>
              <w:lastRenderedPageBreak/>
              <w:t>provide leadership</w:t>
            </w:r>
            <w:r w:rsidR="00BB72AC" w:rsidRPr="009226E8">
              <w:rPr>
                <w:color w:val="0070C0"/>
                <w:lang w:val="en-AU"/>
              </w:rPr>
              <w:t>, when required,</w:t>
            </w:r>
            <w:r w:rsidR="0062235A" w:rsidRPr="009226E8">
              <w:rPr>
                <w:color w:val="0070C0"/>
                <w:lang w:val="en-AU"/>
              </w:rPr>
              <w:t xml:space="preserve"> on cross-border </w:t>
            </w:r>
            <w:r w:rsidR="00BB72AC" w:rsidRPr="009226E8">
              <w:rPr>
                <w:color w:val="0070C0"/>
                <w:lang w:val="en-AU"/>
              </w:rPr>
              <w:t xml:space="preserve">projects of </w:t>
            </w:r>
            <w:r w:rsidR="0062235A" w:rsidRPr="009226E8">
              <w:rPr>
                <w:color w:val="0070C0"/>
                <w:lang w:val="en-AU"/>
              </w:rPr>
              <w:t>significan</w:t>
            </w:r>
            <w:r w:rsidR="00BB72AC" w:rsidRPr="009226E8">
              <w:rPr>
                <w:color w:val="0070C0"/>
                <w:lang w:val="en-AU"/>
              </w:rPr>
              <w:t>ce</w:t>
            </w:r>
            <w:r w:rsidR="0062235A" w:rsidRPr="009226E8">
              <w:rPr>
                <w:color w:val="0070C0"/>
                <w:lang w:val="en-AU"/>
              </w:rPr>
              <w:t>;</w:t>
            </w:r>
            <w:r w:rsidR="00645CCC" w:rsidRPr="009226E8">
              <w:rPr>
                <w:color w:val="0070C0"/>
                <w:lang w:val="en-AU"/>
              </w:rPr>
              <w:t xml:space="preserve"> </w:t>
            </w:r>
          </w:p>
          <w:p w14:paraId="5B55B671" w14:textId="77777777" w:rsidR="005F4251" w:rsidRPr="009226E8" w:rsidRDefault="005F4251" w:rsidP="00C62598">
            <w:pPr>
              <w:pStyle w:val="Tableformat"/>
              <w:numPr>
                <w:ilvl w:val="1"/>
                <w:numId w:val="4"/>
              </w:numPr>
              <w:spacing w:line="256" w:lineRule="auto"/>
              <w:rPr>
                <w:color w:val="0070C0"/>
                <w:lang w:val="en-AU"/>
              </w:rPr>
            </w:pPr>
            <w:r w:rsidRPr="009226E8">
              <w:rPr>
                <w:color w:val="0070C0"/>
                <w:lang w:val="en-AU"/>
              </w:rPr>
              <w:t xml:space="preserve">have oversight of the delivery of </w:t>
            </w:r>
            <w:r w:rsidR="00907E36" w:rsidRPr="009226E8">
              <w:rPr>
                <w:color w:val="0070C0"/>
                <w:lang w:val="en-AU"/>
              </w:rPr>
              <w:t xml:space="preserve">outputs and </w:t>
            </w:r>
            <w:r w:rsidR="0081692C" w:rsidRPr="009226E8">
              <w:rPr>
                <w:color w:val="0070C0"/>
                <w:lang w:val="en-AU"/>
              </w:rPr>
              <w:t xml:space="preserve">monitor and </w:t>
            </w:r>
            <w:r w:rsidR="00907E36" w:rsidRPr="009226E8">
              <w:rPr>
                <w:color w:val="0070C0"/>
                <w:lang w:val="en-AU"/>
              </w:rPr>
              <w:t xml:space="preserve">evaluate </w:t>
            </w:r>
            <w:r w:rsidR="001C616C" w:rsidRPr="009226E8">
              <w:rPr>
                <w:color w:val="0070C0"/>
                <w:lang w:val="en-AU"/>
              </w:rPr>
              <w:t xml:space="preserve">the </w:t>
            </w:r>
            <w:r w:rsidR="008158E1" w:rsidRPr="009226E8">
              <w:rPr>
                <w:color w:val="0070C0"/>
                <w:lang w:val="en-AU"/>
              </w:rPr>
              <w:t>investment o</w:t>
            </w:r>
            <w:r w:rsidRPr="009226E8">
              <w:rPr>
                <w:color w:val="0070C0"/>
                <w:lang w:val="en-AU"/>
              </w:rPr>
              <w:t>utcomes</w:t>
            </w:r>
            <w:r w:rsidR="008158E1" w:rsidRPr="009226E8">
              <w:rPr>
                <w:color w:val="0070C0"/>
                <w:lang w:val="en-AU"/>
              </w:rPr>
              <w:t xml:space="preserve"> listed at </w:t>
            </w:r>
            <w:r w:rsidR="002E3EB6" w:rsidRPr="009226E8">
              <w:rPr>
                <w:color w:val="0070C0"/>
                <w:lang w:val="en-AU"/>
              </w:rPr>
              <w:t>Term</w:t>
            </w:r>
            <w:r w:rsidR="008158E1" w:rsidRPr="009226E8">
              <w:rPr>
                <w:color w:val="0070C0"/>
                <w:lang w:val="en-AU"/>
              </w:rPr>
              <w:t>s 1</w:t>
            </w:r>
            <w:r w:rsidR="001C7E4F" w:rsidRPr="009226E8">
              <w:rPr>
                <w:color w:val="0070C0"/>
                <w:lang w:val="en-AU"/>
              </w:rPr>
              <w:t>9</w:t>
            </w:r>
            <w:r w:rsidR="008158E1" w:rsidRPr="009226E8">
              <w:rPr>
                <w:color w:val="0070C0"/>
                <w:lang w:val="en-AU"/>
              </w:rPr>
              <w:t>-2</w:t>
            </w:r>
            <w:r w:rsidR="00207D73" w:rsidRPr="009226E8">
              <w:rPr>
                <w:color w:val="0070C0"/>
                <w:lang w:val="en-AU"/>
              </w:rPr>
              <w:t>6</w:t>
            </w:r>
            <w:r w:rsidRPr="009226E8">
              <w:rPr>
                <w:color w:val="0070C0"/>
                <w:lang w:val="en-AU"/>
              </w:rPr>
              <w:t>;</w:t>
            </w:r>
          </w:p>
          <w:p w14:paraId="5B55B672" w14:textId="77777777" w:rsidR="00834475" w:rsidRPr="009226E8" w:rsidRDefault="00202D46" w:rsidP="00C62598">
            <w:pPr>
              <w:pStyle w:val="Tableformat"/>
              <w:numPr>
                <w:ilvl w:val="1"/>
                <w:numId w:val="4"/>
              </w:numPr>
              <w:spacing w:line="256" w:lineRule="auto"/>
              <w:rPr>
                <w:color w:val="0070C0"/>
                <w:lang w:val="en-AU"/>
              </w:rPr>
            </w:pPr>
            <w:r w:rsidRPr="009226E8">
              <w:rPr>
                <w:color w:val="0070C0"/>
                <w:lang w:val="en-AU"/>
              </w:rPr>
              <w:t>c</w:t>
            </w:r>
            <w:r w:rsidR="00834475" w:rsidRPr="009226E8">
              <w:rPr>
                <w:color w:val="0070C0"/>
                <w:lang w:val="en-AU"/>
              </w:rPr>
              <w:t>oordina</w:t>
            </w:r>
            <w:r w:rsidR="005B67FF" w:rsidRPr="009226E8">
              <w:rPr>
                <w:color w:val="0070C0"/>
                <w:lang w:val="en-AU"/>
              </w:rPr>
              <w:t>te</w:t>
            </w:r>
            <w:r w:rsidR="00834475" w:rsidRPr="009226E8">
              <w:rPr>
                <w:color w:val="0070C0"/>
                <w:lang w:val="en-AU"/>
              </w:rPr>
              <w:t xml:space="preserve"> the development</w:t>
            </w:r>
            <w:r w:rsidR="007321C3" w:rsidRPr="009226E8">
              <w:rPr>
                <w:color w:val="0070C0"/>
                <w:lang w:val="en-AU"/>
              </w:rPr>
              <w:t>, review</w:t>
            </w:r>
            <w:r w:rsidR="00F92946" w:rsidRPr="009226E8">
              <w:rPr>
                <w:color w:val="0070C0"/>
                <w:lang w:val="en-AU"/>
              </w:rPr>
              <w:t xml:space="preserve"> and </w:t>
            </w:r>
            <w:r w:rsidR="00834475" w:rsidRPr="009226E8">
              <w:rPr>
                <w:color w:val="0070C0"/>
                <w:lang w:val="en-AU"/>
              </w:rPr>
              <w:t xml:space="preserve">revision of </w:t>
            </w:r>
            <w:r w:rsidR="00752C15" w:rsidRPr="009226E8">
              <w:rPr>
                <w:color w:val="0070C0"/>
                <w:lang w:val="en-AU"/>
              </w:rPr>
              <w:t xml:space="preserve">the </w:t>
            </w:r>
            <w:r w:rsidR="00EB67AE" w:rsidRPr="009226E8">
              <w:rPr>
                <w:color w:val="0070C0"/>
                <w:lang w:val="en-AU"/>
              </w:rPr>
              <w:t>Notes on Administration</w:t>
            </w:r>
            <w:r w:rsidR="007321C3" w:rsidRPr="009226E8">
              <w:rPr>
                <w:color w:val="0070C0"/>
                <w:lang w:val="en-AU"/>
              </w:rPr>
              <w:t xml:space="preserve"> in consultation with all Parties; and</w:t>
            </w:r>
          </w:p>
          <w:p w14:paraId="5B55B673" w14:textId="77777777" w:rsidR="007321C3" w:rsidRPr="009226E8" w:rsidRDefault="007321C3" w:rsidP="00C62598">
            <w:pPr>
              <w:pStyle w:val="Tableformat"/>
              <w:numPr>
                <w:ilvl w:val="1"/>
                <w:numId w:val="4"/>
              </w:numPr>
              <w:spacing w:line="256" w:lineRule="auto"/>
              <w:rPr>
                <w:color w:val="0070C0"/>
                <w:lang w:val="en-AU"/>
              </w:rPr>
            </w:pPr>
            <w:r w:rsidRPr="009226E8">
              <w:rPr>
                <w:color w:val="0070C0"/>
                <w:lang w:val="en-AU"/>
              </w:rPr>
              <w:t>coordinate the review and revision of the Schedule under Term 1(a)</w:t>
            </w:r>
            <w:r w:rsidR="001D74BD" w:rsidRPr="009226E8">
              <w:rPr>
                <w:color w:val="0070C0"/>
                <w:lang w:val="en-AU"/>
              </w:rPr>
              <w:t>.</w:t>
            </w:r>
          </w:p>
          <w:p w14:paraId="5B55B674" w14:textId="77777777" w:rsidR="000F4995" w:rsidRPr="009226E8" w:rsidRDefault="00CF6DD7" w:rsidP="00C62598">
            <w:pPr>
              <w:pStyle w:val="Tableformat"/>
              <w:numPr>
                <w:ilvl w:val="0"/>
                <w:numId w:val="4"/>
              </w:numPr>
              <w:spacing w:line="256" w:lineRule="auto"/>
              <w:rPr>
                <w:color w:val="0070C0"/>
                <w:lang w:val="en-AU"/>
              </w:rPr>
            </w:pPr>
            <w:r w:rsidRPr="009226E8">
              <w:rPr>
                <w:color w:val="0070C0"/>
                <w:lang w:val="en-AU"/>
              </w:rPr>
              <w:t xml:space="preserve">Infrastructure Australia is </w:t>
            </w:r>
            <w:r w:rsidR="00C945B2" w:rsidRPr="009226E8">
              <w:rPr>
                <w:color w:val="0070C0"/>
                <w:lang w:val="en-AU"/>
              </w:rPr>
              <w:t xml:space="preserve">the Commonwealth’s </w:t>
            </w:r>
            <w:r w:rsidR="00E04D5C" w:rsidRPr="009226E8">
              <w:rPr>
                <w:color w:val="0070C0"/>
                <w:lang w:val="en-AU"/>
              </w:rPr>
              <w:t xml:space="preserve">independent </w:t>
            </w:r>
            <w:r w:rsidRPr="009226E8">
              <w:rPr>
                <w:color w:val="0070C0"/>
                <w:lang w:val="en-AU"/>
              </w:rPr>
              <w:t xml:space="preserve">expert </w:t>
            </w:r>
            <w:r w:rsidR="00E04D5C" w:rsidRPr="009226E8">
              <w:rPr>
                <w:color w:val="0070C0"/>
                <w:lang w:val="en-AU"/>
              </w:rPr>
              <w:t xml:space="preserve">adviser on nationally significant </w:t>
            </w:r>
            <w:r w:rsidRPr="009226E8">
              <w:rPr>
                <w:color w:val="0070C0"/>
                <w:lang w:val="en-AU"/>
              </w:rPr>
              <w:t xml:space="preserve">land transport </w:t>
            </w:r>
            <w:r w:rsidR="00E04D5C" w:rsidRPr="009226E8">
              <w:rPr>
                <w:color w:val="0070C0"/>
                <w:lang w:val="en-AU"/>
              </w:rPr>
              <w:t>infrastructure</w:t>
            </w:r>
            <w:r w:rsidRPr="009226E8">
              <w:rPr>
                <w:color w:val="0070C0"/>
                <w:lang w:val="en-AU"/>
              </w:rPr>
              <w:t xml:space="preserve"> investments</w:t>
            </w:r>
            <w:r w:rsidR="00C945B2" w:rsidRPr="009226E8">
              <w:rPr>
                <w:color w:val="0070C0"/>
                <w:lang w:val="en-AU"/>
              </w:rPr>
              <w:t xml:space="preserve"> </w:t>
            </w:r>
            <w:r w:rsidR="001B6D03" w:rsidRPr="009226E8">
              <w:rPr>
                <w:color w:val="0070C0"/>
                <w:lang w:val="en-AU"/>
              </w:rPr>
              <w:t xml:space="preserve">and its role </w:t>
            </w:r>
            <w:r w:rsidR="00C945B2" w:rsidRPr="009226E8">
              <w:rPr>
                <w:color w:val="0070C0"/>
                <w:lang w:val="en-AU"/>
              </w:rPr>
              <w:t>includ</w:t>
            </w:r>
            <w:r w:rsidR="001B6D03" w:rsidRPr="009226E8">
              <w:rPr>
                <w:color w:val="0070C0"/>
                <w:lang w:val="en-AU"/>
              </w:rPr>
              <w:t>es</w:t>
            </w:r>
            <w:r w:rsidR="00C945B2" w:rsidRPr="009226E8">
              <w:rPr>
                <w:color w:val="0070C0"/>
                <w:lang w:val="en-AU"/>
              </w:rPr>
              <w:t>:</w:t>
            </w:r>
            <w:r w:rsidR="00E04D5C" w:rsidRPr="009226E8">
              <w:rPr>
                <w:color w:val="0070C0"/>
                <w:lang w:val="en-AU"/>
              </w:rPr>
              <w:t xml:space="preserve"> </w:t>
            </w:r>
          </w:p>
          <w:p w14:paraId="5B55B675" w14:textId="77777777" w:rsidR="001B6D03" w:rsidRPr="009226E8" w:rsidRDefault="005E632F" w:rsidP="00C62598">
            <w:pPr>
              <w:pStyle w:val="Tableformat"/>
              <w:numPr>
                <w:ilvl w:val="1"/>
                <w:numId w:val="4"/>
              </w:numPr>
              <w:spacing w:line="256" w:lineRule="auto"/>
              <w:rPr>
                <w:color w:val="0070C0"/>
                <w:lang w:val="en-AU"/>
              </w:rPr>
            </w:pPr>
            <w:r w:rsidRPr="009226E8">
              <w:rPr>
                <w:color w:val="0070C0"/>
                <w:lang w:val="en-AU"/>
              </w:rPr>
              <w:t>p</w:t>
            </w:r>
            <w:r w:rsidR="00C945B2" w:rsidRPr="009226E8">
              <w:rPr>
                <w:color w:val="0070C0"/>
                <w:lang w:val="en-AU"/>
              </w:rPr>
              <w:t>roviding s</w:t>
            </w:r>
            <w:r w:rsidR="00EF5186" w:rsidRPr="009226E8">
              <w:rPr>
                <w:color w:val="0070C0"/>
                <w:lang w:val="en-AU"/>
              </w:rPr>
              <w:t>trategic advice, throughout the project lifecycle, as determined by the Minister</w:t>
            </w:r>
            <w:r w:rsidR="001D74BD" w:rsidRPr="009226E8">
              <w:rPr>
                <w:color w:val="0070C0"/>
                <w:lang w:val="en-AU"/>
              </w:rPr>
              <w:t>;</w:t>
            </w:r>
          </w:p>
          <w:p w14:paraId="5B55B676" w14:textId="77777777" w:rsidR="00EF5186" w:rsidRPr="009226E8" w:rsidRDefault="001B6D03" w:rsidP="00C62598">
            <w:pPr>
              <w:pStyle w:val="Tableformat"/>
              <w:numPr>
                <w:ilvl w:val="1"/>
                <w:numId w:val="4"/>
              </w:numPr>
              <w:spacing w:line="256" w:lineRule="auto"/>
              <w:rPr>
                <w:color w:val="0070C0"/>
                <w:lang w:val="en-AU"/>
              </w:rPr>
            </w:pPr>
            <w:r w:rsidRPr="009226E8">
              <w:rPr>
                <w:color w:val="0070C0"/>
                <w:lang w:val="en-AU"/>
              </w:rPr>
              <w:t xml:space="preserve">evaluating and endorsing evaluations of </w:t>
            </w:r>
            <w:r w:rsidR="00E04D5C" w:rsidRPr="009226E8">
              <w:rPr>
                <w:color w:val="0070C0"/>
                <w:lang w:val="en-AU"/>
              </w:rPr>
              <w:t>business cases for Projects where a State is seeking a Commonwealth funding contribution greater than</w:t>
            </w:r>
            <w:r w:rsidR="00785E66" w:rsidRPr="009226E8">
              <w:rPr>
                <w:color w:val="0070C0"/>
                <w:lang w:val="en-AU"/>
              </w:rPr>
              <w:t xml:space="preserve"> or equal to</w:t>
            </w:r>
            <w:r w:rsidR="00E04D5C" w:rsidRPr="009226E8">
              <w:rPr>
                <w:color w:val="0070C0"/>
                <w:lang w:val="en-AU"/>
              </w:rPr>
              <w:t xml:space="preserve"> the threshold set out in the</w:t>
            </w:r>
            <w:r w:rsidR="00C945B2" w:rsidRPr="009226E8">
              <w:rPr>
                <w:color w:val="0070C0"/>
                <w:lang w:val="en-AU"/>
              </w:rPr>
              <w:t xml:space="preserve"> </w:t>
            </w:r>
            <w:r w:rsidR="00785E66" w:rsidRPr="009226E8">
              <w:rPr>
                <w:color w:val="0070C0"/>
                <w:lang w:val="en-AU"/>
              </w:rPr>
              <w:t>Notes on Administration</w:t>
            </w:r>
            <w:r w:rsidR="00E04D5C" w:rsidRPr="009226E8">
              <w:rPr>
                <w:color w:val="0070C0"/>
                <w:lang w:val="en-AU"/>
              </w:rPr>
              <w:t xml:space="preserve">; </w:t>
            </w:r>
            <w:r w:rsidR="00EF5186" w:rsidRPr="009226E8">
              <w:rPr>
                <w:color w:val="0070C0"/>
                <w:lang w:val="en-AU"/>
              </w:rPr>
              <w:t>and</w:t>
            </w:r>
          </w:p>
          <w:p w14:paraId="5B55B677" w14:textId="77777777" w:rsidR="00E04D5C" w:rsidRPr="009226E8" w:rsidRDefault="005E632F" w:rsidP="00C62598">
            <w:pPr>
              <w:pStyle w:val="Tableformat"/>
              <w:numPr>
                <w:ilvl w:val="1"/>
                <w:numId w:val="4"/>
              </w:numPr>
              <w:spacing w:line="256" w:lineRule="auto"/>
              <w:rPr>
                <w:color w:val="0070C0"/>
                <w:lang w:val="en-AU"/>
              </w:rPr>
            </w:pPr>
            <w:r w:rsidRPr="009226E8">
              <w:rPr>
                <w:color w:val="0070C0"/>
                <w:lang w:val="en-AU"/>
              </w:rPr>
              <w:t>u</w:t>
            </w:r>
            <w:r w:rsidR="00C945B2" w:rsidRPr="009226E8">
              <w:rPr>
                <w:color w:val="0070C0"/>
                <w:lang w:val="en-AU"/>
              </w:rPr>
              <w:t xml:space="preserve">ndertaking </w:t>
            </w:r>
            <w:r w:rsidR="009C4C73" w:rsidRPr="009226E8">
              <w:rPr>
                <w:color w:val="0070C0"/>
                <w:lang w:val="en-AU"/>
              </w:rPr>
              <w:t xml:space="preserve">periodic </w:t>
            </w:r>
            <w:r w:rsidR="00A93F7B" w:rsidRPr="009226E8">
              <w:rPr>
                <w:color w:val="0070C0"/>
                <w:lang w:val="en-AU"/>
              </w:rPr>
              <w:t xml:space="preserve">post-completion </w:t>
            </w:r>
            <w:r w:rsidR="001B6D03" w:rsidRPr="009226E8">
              <w:rPr>
                <w:color w:val="0070C0"/>
                <w:lang w:val="en-AU"/>
              </w:rPr>
              <w:t xml:space="preserve">evaluations </w:t>
            </w:r>
            <w:r w:rsidR="00E04D5C" w:rsidRPr="009226E8">
              <w:rPr>
                <w:color w:val="0070C0"/>
                <w:lang w:val="en-AU"/>
              </w:rPr>
              <w:t xml:space="preserve">of </w:t>
            </w:r>
            <w:r w:rsidR="009C4C73" w:rsidRPr="009226E8">
              <w:rPr>
                <w:color w:val="0070C0"/>
                <w:lang w:val="en-AU"/>
              </w:rPr>
              <w:t xml:space="preserve">select </w:t>
            </w:r>
            <w:r w:rsidR="00E04D5C" w:rsidRPr="009226E8">
              <w:rPr>
                <w:color w:val="0070C0"/>
                <w:lang w:val="en-AU"/>
              </w:rPr>
              <w:t>projects against targets set before or during deliver</w:t>
            </w:r>
            <w:r w:rsidR="000D57C8" w:rsidRPr="009226E8">
              <w:rPr>
                <w:color w:val="0070C0"/>
                <w:lang w:val="en-AU"/>
              </w:rPr>
              <w:t>y</w:t>
            </w:r>
            <w:r w:rsidR="00E04D5C" w:rsidRPr="009226E8">
              <w:rPr>
                <w:color w:val="0070C0"/>
                <w:lang w:val="en-AU"/>
              </w:rPr>
              <w:t>.</w:t>
            </w:r>
          </w:p>
          <w:p w14:paraId="5B55B678" w14:textId="77777777" w:rsidR="00A34292" w:rsidRPr="009226E8" w:rsidRDefault="00A34292" w:rsidP="00C62598">
            <w:pPr>
              <w:pStyle w:val="Tableformat"/>
              <w:numPr>
                <w:ilvl w:val="0"/>
                <w:numId w:val="4"/>
              </w:numPr>
              <w:spacing w:line="256" w:lineRule="auto"/>
              <w:rPr>
                <w:color w:val="0070C0"/>
                <w:lang w:val="en-AU"/>
              </w:rPr>
            </w:pPr>
            <w:r w:rsidRPr="009226E8">
              <w:rPr>
                <w:color w:val="0070C0"/>
                <w:lang w:val="en-AU"/>
              </w:rPr>
              <w:t xml:space="preserve">In addition to </w:t>
            </w:r>
            <w:r w:rsidR="00AF2808" w:rsidRPr="009226E8">
              <w:rPr>
                <w:color w:val="0070C0"/>
                <w:lang w:val="en-AU"/>
              </w:rPr>
              <w:t xml:space="preserve">Clause 20 of the </w:t>
            </w:r>
            <w:hyperlink r:id="rId13" w:history="1">
              <w:r w:rsidR="00AF2808" w:rsidRPr="009226E8">
                <w:rPr>
                  <w:rStyle w:val="Hyperlink"/>
                  <w:lang w:val="en-AU"/>
                </w:rPr>
                <w:t>FFA – Infrastructure</w:t>
              </w:r>
            </w:hyperlink>
            <w:r w:rsidR="00AF2808" w:rsidRPr="009226E8">
              <w:rPr>
                <w:color w:val="0070C0"/>
                <w:lang w:val="en-AU"/>
              </w:rPr>
              <w:t xml:space="preserve"> (Role of the States and Territories), States will be responsible for:</w:t>
            </w:r>
          </w:p>
          <w:p w14:paraId="5B55B679" w14:textId="77777777" w:rsidR="0000694D" w:rsidRPr="009226E8" w:rsidRDefault="0000694D" w:rsidP="00C62598">
            <w:pPr>
              <w:pStyle w:val="Tableformat"/>
              <w:numPr>
                <w:ilvl w:val="1"/>
                <w:numId w:val="4"/>
              </w:numPr>
              <w:spacing w:line="256" w:lineRule="auto"/>
              <w:rPr>
                <w:color w:val="0070C0"/>
                <w:lang w:val="en-AU"/>
              </w:rPr>
            </w:pPr>
            <w:r w:rsidRPr="009226E8">
              <w:rPr>
                <w:color w:val="0070C0"/>
                <w:lang w:val="en-AU"/>
              </w:rPr>
              <w:t xml:space="preserve">providing a financial </w:t>
            </w:r>
            <w:r w:rsidR="00D22A35" w:rsidRPr="009226E8">
              <w:rPr>
                <w:color w:val="0070C0"/>
                <w:lang w:val="en-AU"/>
              </w:rPr>
              <w:t xml:space="preserve">or in-kind </w:t>
            </w:r>
            <w:r w:rsidRPr="009226E8">
              <w:rPr>
                <w:color w:val="0070C0"/>
                <w:lang w:val="en-AU"/>
              </w:rPr>
              <w:t>contribution</w:t>
            </w:r>
            <w:r w:rsidR="006420AD" w:rsidRPr="009226E8">
              <w:rPr>
                <w:color w:val="0070C0"/>
                <w:lang w:val="en-AU"/>
              </w:rPr>
              <w:t xml:space="preserve"> </w:t>
            </w:r>
            <w:r w:rsidRPr="009226E8">
              <w:rPr>
                <w:color w:val="0070C0"/>
                <w:lang w:val="en-AU"/>
              </w:rPr>
              <w:t xml:space="preserve">where agreed, to </w:t>
            </w:r>
            <w:r w:rsidR="009A29AE" w:rsidRPr="009226E8">
              <w:rPr>
                <w:color w:val="0070C0"/>
                <w:lang w:val="en-AU"/>
              </w:rPr>
              <w:t xml:space="preserve">the </w:t>
            </w:r>
            <w:r w:rsidRPr="009226E8">
              <w:rPr>
                <w:color w:val="0070C0"/>
                <w:lang w:val="en-AU"/>
              </w:rPr>
              <w:t>Projects set out in Tables 2A to H, to support the implementation of this Schedule;</w:t>
            </w:r>
          </w:p>
          <w:p w14:paraId="5B55B67A" w14:textId="77777777" w:rsidR="00743199" w:rsidRPr="009226E8" w:rsidRDefault="00446A6F" w:rsidP="00C62598">
            <w:pPr>
              <w:pStyle w:val="Tableformat"/>
              <w:numPr>
                <w:ilvl w:val="1"/>
                <w:numId w:val="4"/>
              </w:numPr>
              <w:spacing w:line="256" w:lineRule="auto"/>
              <w:rPr>
                <w:color w:val="0070C0"/>
                <w:lang w:val="en-AU"/>
              </w:rPr>
            </w:pPr>
            <w:r w:rsidRPr="009226E8">
              <w:rPr>
                <w:color w:val="0070C0"/>
                <w:lang w:val="en-AU"/>
              </w:rPr>
              <w:t>p</w:t>
            </w:r>
            <w:r w:rsidR="004037A6" w:rsidRPr="009226E8">
              <w:rPr>
                <w:color w:val="0070C0"/>
                <w:lang w:val="en-AU"/>
              </w:rPr>
              <w:t>roject planning and delivery</w:t>
            </w:r>
            <w:r w:rsidR="00EA3482" w:rsidRPr="009226E8">
              <w:rPr>
                <w:color w:val="0070C0"/>
                <w:lang w:val="en-AU"/>
              </w:rPr>
              <w:t xml:space="preserve">, noting </w:t>
            </w:r>
            <w:r w:rsidR="00743199" w:rsidRPr="009226E8">
              <w:rPr>
                <w:color w:val="0070C0"/>
                <w:lang w:val="en-AU"/>
              </w:rPr>
              <w:t>States</w:t>
            </w:r>
            <w:r w:rsidR="005B7DB5" w:rsidRPr="009226E8">
              <w:rPr>
                <w:color w:val="0070C0"/>
                <w:lang w:val="en-AU"/>
              </w:rPr>
              <w:t xml:space="preserve"> </w:t>
            </w:r>
            <w:r w:rsidR="00EA3482" w:rsidRPr="009226E8">
              <w:rPr>
                <w:color w:val="0070C0"/>
                <w:lang w:val="en-AU"/>
              </w:rPr>
              <w:t>have</w:t>
            </w:r>
            <w:r w:rsidR="00961D53" w:rsidRPr="009226E8">
              <w:rPr>
                <w:color w:val="0070C0"/>
                <w:lang w:val="en-AU"/>
              </w:rPr>
              <w:t xml:space="preserve"> the</w:t>
            </w:r>
            <w:r w:rsidR="00CE0100" w:rsidRPr="009226E8">
              <w:rPr>
                <w:color w:val="0070C0"/>
                <w:lang w:val="en-AU"/>
              </w:rPr>
              <w:t xml:space="preserve"> </w:t>
            </w:r>
            <w:r w:rsidR="00EA3482" w:rsidRPr="009226E8">
              <w:rPr>
                <w:color w:val="0070C0"/>
                <w:lang w:val="en-AU"/>
              </w:rPr>
              <w:t xml:space="preserve">requisite knowledge and </w:t>
            </w:r>
            <w:r w:rsidR="00743199" w:rsidRPr="009226E8">
              <w:rPr>
                <w:color w:val="0070C0"/>
                <w:lang w:val="en-AU"/>
              </w:rPr>
              <w:t xml:space="preserve">expertise </w:t>
            </w:r>
            <w:r w:rsidR="00EA3482" w:rsidRPr="009226E8">
              <w:rPr>
                <w:color w:val="0070C0"/>
                <w:lang w:val="en-AU"/>
              </w:rPr>
              <w:t>to</w:t>
            </w:r>
            <w:r w:rsidR="001D6A33" w:rsidRPr="009226E8">
              <w:rPr>
                <w:color w:val="0070C0"/>
                <w:lang w:val="en-AU"/>
              </w:rPr>
              <w:t xml:space="preserve"> ensure the successful delivery of projects</w:t>
            </w:r>
            <w:r w:rsidR="004109A2" w:rsidRPr="009226E8">
              <w:rPr>
                <w:color w:val="0070C0"/>
                <w:lang w:val="en-AU"/>
              </w:rPr>
              <w:t xml:space="preserve"> through effective planning and risk-management processes</w:t>
            </w:r>
            <w:r w:rsidR="00A215F1" w:rsidRPr="009226E8">
              <w:rPr>
                <w:color w:val="0070C0"/>
                <w:lang w:val="en-AU"/>
              </w:rPr>
              <w:t>;</w:t>
            </w:r>
          </w:p>
          <w:p w14:paraId="5B55B67B" w14:textId="77777777" w:rsidR="00AF2808" w:rsidRPr="009226E8" w:rsidRDefault="00FC45F2" w:rsidP="00C62598">
            <w:pPr>
              <w:pStyle w:val="Tableformat"/>
              <w:numPr>
                <w:ilvl w:val="1"/>
                <w:numId w:val="4"/>
              </w:numPr>
              <w:spacing w:line="256" w:lineRule="auto"/>
              <w:rPr>
                <w:color w:val="0070C0"/>
                <w:lang w:val="en-AU"/>
              </w:rPr>
            </w:pPr>
            <w:r w:rsidRPr="009226E8">
              <w:rPr>
                <w:color w:val="0070C0"/>
                <w:lang w:val="en-AU"/>
              </w:rPr>
              <w:t>develop</w:t>
            </w:r>
            <w:r w:rsidR="00297E65" w:rsidRPr="009226E8">
              <w:rPr>
                <w:color w:val="0070C0"/>
                <w:lang w:val="en-AU"/>
              </w:rPr>
              <w:t>ing</w:t>
            </w:r>
            <w:r w:rsidRPr="009226E8">
              <w:rPr>
                <w:color w:val="0070C0"/>
                <w:lang w:val="en-AU"/>
              </w:rPr>
              <w:t xml:space="preserve"> and provid</w:t>
            </w:r>
            <w:r w:rsidR="00297E65" w:rsidRPr="009226E8">
              <w:rPr>
                <w:color w:val="0070C0"/>
                <w:lang w:val="en-AU"/>
              </w:rPr>
              <w:t>ing</w:t>
            </w:r>
            <w:r w:rsidRPr="009226E8">
              <w:rPr>
                <w:color w:val="0070C0"/>
                <w:lang w:val="en-AU"/>
              </w:rPr>
              <w:t xml:space="preserve"> the Commonwealth with an </w:t>
            </w:r>
            <w:r w:rsidR="004029E9" w:rsidRPr="009226E8">
              <w:rPr>
                <w:color w:val="0070C0"/>
                <w:lang w:val="en-AU"/>
              </w:rPr>
              <w:t>A</w:t>
            </w:r>
            <w:r w:rsidRPr="009226E8">
              <w:rPr>
                <w:color w:val="0070C0"/>
                <w:lang w:val="en-AU"/>
              </w:rPr>
              <w:t xml:space="preserve">nnual </w:t>
            </w:r>
            <w:r w:rsidR="004029E9" w:rsidRPr="009226E8">
              <w:rPr>
                <w:color w:val="0070C0"/>
                <w:lang w:val="en-AU"/>
              </w:rPr>
              <w:t>I</w:t>
            </w:r>
            <w:r w:rsidRPr="009226E8">
              <w:rPr>
                <w:color w:val="0070C0"/>
                <w:lang w:val="en-AU"/>
              </w:rPr>
              <w:t xml:space="preserve">nfrastructure </w:t>
            </w:r>
            <w:r w:rsidR="004029E9" w:rsidRPr="009226E8">
              <w:rPr>
                <w:color w:val="0070C0"/>
                <w:lang w:val="en-AU"/>
              </w:rPr>
              <w:t>P</w:t>
            </w:r>
            <w:r w:rsidRPr="009226E8">
              <w:rPr>
                <w:color w:val="0070C0"/>
                <w:lang w:val="en-AU"/>
              </w:rPr>
              <w:t xml:space="preserve">lan, including priority projects that have or are seeking a federal funding contribution over the next ten years, how projects will be sequenced, and how the jurisdiction will </w:t>
            </w:r>
            <w:r w:rsidR="009C4C73" w:rsidRPr="009226E8">
              <w:rPr>
                <w:color w:val="0070C0"/>
                <w:lang w:val="en-AU"/>
              </w:rPr>
              <w:t xml:space="preserve">respond to </w:t>
            </w:r>
            <w:r w:rsidRPr="009226E8">
              <w:rPr>
                <w:color w:val="0070C0"/>
                <w:lang w:val="en-AU"/>
              </w:rPr>
              <w:t>cost pressures and other related impacts, such as population growth, carbon emissions, regional development</w:t>
            </w:r>
            <w:r w:rsidR="006D5AB1" w:rsidRPr="009226E8">
              <w:rPr>
                <w:color w:val="0070C0"/>
                <w:lang w:val="en-AU"/>
              </w:rPr>
              <w:t>,</w:t>
            </w:r>
            <w:r w:rsidRPr="009226E8">
              <w:rPr>
                <w:color w:val="0070C0"/>
                <w:lang w:val="en-AU"/>
              </w:rPr>
              <w:t xml:space="preserve"> </w:t>
            </w:r>
            <w:r w:rsidR="006D5AB1" w:rsidRPr="009226E8">
              <w:rPr>
                <w:color w:val="0070C0"/>
                <w:lang w:val="en-AU"/>
              </w:rPr>
              <w:t>and urban policy</w:t>
            </w:r>
            <w:r w:rsidR="009C4C73" w:rsidRPr="009226E8">
              <w:rPr>
                <w:color w:val="0070C0"/>
                <w:lang w:val="en-AU"/>
              </w:rPr>
              <w:t>, including housing</w:t>
            </w:r>
            <w:r w:rsidR="00956F40" w:rsidRPr="009226E8">
              <w:rPr>
                <w:color w:val="0070C0"/>
                <w:lang w:val="en-AU"/>
              </w:rPr>
              <w:t>;</w:t>
            </w:r>
          </w:p>
          <w:p w14:paraId="5B55B67C" w14:textId="77777777" w:rsidR="00342E15" w:rsidRPr="000E5B59" w:rsidRDefault="00202D46" w:rsidP="00C62598">
            <w:pPr>
              <w:pStyle w:val="Tableformat"/>
              <w:numPr>
                <w:ilvl w:val="1"/>
                <w:numId w:val="4"/>
              </w:numPr>
              <w:spacing w:line="256" w:lineRule="auto"/>
              <w:rPr>
                <w:color w:val="0070C0"/>
                <w:lang w:val="en-AU"/>
              </w:rPr>
            </w:pPr>
            <w:r w:rsidRPr="000E5B59">
              <w:rPr>
                <w:color w:val="0070C0"/>
                <w:lang w:val="en-AU"/>
              </w:rPr>
              <w:lastRenderedPageBreak/>
              <w:t>e</w:t>
            </w:r>
            <w:r w:rsidR="00834475" w:rsidRPr="000E5B59">
              <w:rPr>
                <w:color w:val="0070C0"/>
                <w:lang w:val="en-AU"/>
              </w:rPr>
              <w:t>nsuring compliance with relevant Commonwealth and State legislation</w:t>
            </w:r>
            <w:r w:rsidR="00B3301C" w:rsidRPr="000E5B59">
              <w:rPr>
                <w:color w:val="0070C0"/>
                <w:lang w:val="en-AU"/>
              </w:rPr>
              <w:t>, including workplace relations;</w:t>
            </w:r>
          </w:p>
          <w:p w14:paraId="5B55B67D" w14:textId="77777777" w:rsidR="00B3301C" w:rsidRPr="000E5B59" w:rsidRDefault="00B3301C" w:rsidP="00C62598">
            <w:pPr>
              <w:pStyle w:val="Tableformat"/>
              <w:numPr>
                <w:ilvl w:val="1"/>
                <w:numId w:val="4"/>
              </w:numPr>
              <w:spacing w:line="256" w:lineRule="auto"/>
              <w:rPr>
                <w:color w:val="0070C0"/>
                <w:lang w:val="en-AU"/>
              </w:rPr>
            </w:pPr>
            <w:r w:rsidRPr="000E5B59">
              <w:rPr>
                <w:color w:val="0070C0"/>
                <w:lang w:val="en-AU"/>
              </w:rPr>
              <w:t>ensuring any allegations or instances of criminal behaviour or corruption are reviewed and reported to the appropriate regulator</w:t>
            </w:r>
            <w:r w:rsidR="00C62D9F" w:rsidRPr="000E5B59">
              <w:rPr>
                <w:color w:val="0070C0"/>
                <w:lang w:val="en-AU"/>
              </w:rPr>
              <w:t>;</w:t>
            </w:r>
          </w:p>
          <w:p w14:paraId="5B55B67E" w14:textId="77777777" w:rsidR="0090214A" w:rsidRPr="009226E8" w:rsidRDefault="00202D46" w:rsidP="00C62598">
            <w:pPr>
              <w:pStyle w:val="Tableformat"/>
              <w:numPr>
                <w:ilvl w:val="1"/>
                <w:numId w:val="4"/>
              </w:numPr>
              <w:spacing w:line="256" w:lineRule="auto"/>
              <w:rPr>
                <w:color w:val="0070C0"/>
                <w:lang w:val="en-AU"/>
              </w:rPr>
            </w:pPr>
            <w:r w:rsidRPr="009226E8">
              <w:rPr>
                <w:color w:val="0070C0"/>
                <w:lang w:val="en-AU"/>
              </w:rPr>
              <w:t>e</w:t>
            </w:r>
            <w:r w:rsidR="0090214A" w:rsidRPr="009226E8">
              <w:rPr>
                <w:color w:val="0070C0"/>
                <w:lang w:val="en-AU"/>
              </w:rPr>
              <w:t xml:space="preserve">nsuring procurement practices deliver value for money for public funds and </w:t>
            </w:r>
            <w:r w:rsidR="00596665" w:rsidRPr="009226E8">
              <w:rPr>
                <w:color w:val="0070C0"/>
                <w:lang w:val="en-AU"/>
              </w:rPr>
              <w:t>optimise agreed socioeconomic outcomes as set out in Term</w:t>
            </w:r>
            <w:r w:rsidR="00207D73" w:rsidRPr="009226E8">
              <w:rPr>
                <w:color w:val="0070C0"/>
                <w:lang w:val="en-AU"/>
              </w:rPr>
              <w:t>s</w:t>
            </w:r>
            <w:r w:rsidR="00596665" w:rsidRPr="009226E8">
              <w:rPr>
                <w:color w:val="0070C0"/>
                <w:lang w:val="en-AU"/>
              </w:rPr>
              <w:t xml:space="preserve"> 1</w:t>
            </w:r>
            <w:r w:rsidR="001718E3" w:rsidRPr="009226E8">
              <w:rPr>
                <w:color w:val="0070C0"/>
                <w:lang w:val="en-AU"/>
              </w:rPr>
              <w:t>9</w:t>
            </w:r>
            <w:r w:rsidR="00207D73" w:rsidRPr="009226E8">
              <w:rPr>
                <w:color w:val="0070C0"/>
                <w:lang w:val="en-AU"/>
              </w:rPr>
              <w:t>-20</w:t>
            </w:r>
            <w:r w:rsidR="00596665" w:rsidRPr="009226E8">
              <w:rPr>
                <w:color w:val="0070C0"/>
                <w:lang w:val="en-AU"/>
              </w:rPr>
              <w:t>;</w:t>
            </w:r>
            <w:r w:rsidR="00D22A35" w:rsidRPr="009226E8">
              <w:rPr>
                <w:color w:val="0070C0"/>
                <w:lang w:val="en-AU"/>
              </w:rPr>
              <w:t xml:space="preserve"> </w:t>
            </w:r>
          </w:p>
          <w:p w14:paraId="5B55B67F" w14:textId="77777777" w:rsidR="00346002" w:rsidRPr="009226E8" w:rsidRDefault="00202D46" w:rsidP="00C62598">
            <w:pPr>
              <w:pStyle w:val="Tableformat"/>
              <w:numPr>
                <w:ilvl w:val="1"/>
                <w:numId w:val="4"/>
              </w:numPr>
              <w:spacing w:line="256" w:lineRule="auto"/>
              <w:rPr>
                <w:color w:val="0070C0"/>
                <w:lang w:val="en-AU"/>
              </w:rPr>
            </w:pPr>
            <w:r w:rsidRPr="009226E8">
              <w:rPr>
                <w:color w:val="0070C0"/>
                <w:lang w:val="en-AU"/>
              </w:rPr>
              <w:t>m</w:t>
            </w:r>
            <w:r w:rsidR="00346002" w:rsidRPr="009226E8">
              <w:rPr>
                <w:color w:val="0070C0"/>
                <w:lang w:val="en-AU"/>
              </w:rPr>
              <w:t xml:space="preserve">aintaining the roads </w:t>
            </w:r>
            <w:r w:rsidR="003B2198" w:rsidRPr="009226E8">
              <w:rPr>
                <w:color w:val="0070C0"/>
                <w:lang w:val="en-AU"/>
              </w:rPr>
              <w:t xml:space="preserve">and rail lines </w:t>
            </w:r>
            <w:r w:rsidR="00346002" w:rsidRPr="009226E8">
              <w:rPr>
                <w:color w:val="0070C0"/>
                <w:lang w:val="en-AU"/>
              </w:rPr>
              <w:t>on the National Land Transport Network, as set out in the Notes on Administration</w:t>
            </w:r>
            <w:r w:rsidRPr="009226E8">
              <w:rPr>
                <w:color w:val="0070C0"/>
                <w:lang w:val="en-AU"/>
              </w:rPr>
              <w:t>;</w:t>
            </w:r>
            <w:r w:rsidR="00645CCC" w:rsidRPr="009226E8">
              <w:rPr>
                <w:color w:val="0070C0"/>
                <w:lang w:val="en-AU"/>
              </w:rPr>
              <w:t xml:space="preserve"> </w:t>
            </w:r>
          </w:p>
          <w:p w14:paraId="5B55B680" w14:textId="77777777" w:rsidR="002F2A84" w:rsidRPr="009226E8" w:rsidRDefault="00202D46" w:rsidP="00C62598">
            <w:pPr>
              <w:pStyle w:val="Tableformat"/>
              <w:numPr>
                <w:ilvl w:val="1"/>
                <w:numId w:val="4"/>
              </w:numPr>
              <w:spacing w:line="256" w:lineRule="auto"/>
              <w:rPr>
                <w:color w:val="0070C0"/>
                <w:lang w:val="en-AU"/>
              </w:rPr>
            </w:pPr>
            <w:r w:rsidRPr="009226E8">
              <w:rPr>
                <w:color w:val="0070C0"/>
                <w:lang w:val="en-AU"/>
              </w:rPr>
              <w:t>engaging with delivery partners who prioritise secure work and engage in fair, equitable, ethical and sustainable employment practices</w:t>
            </w:r>
            <w:r w:rsidR="002F2A84" w:rsidRPr="009226E8">
              <w:rPr>
                <w:color w:val="0070C0"/>
                <w:lang w:val="en-AU"/>
              </w:rPr>
              <w:t>;</w:t>
            </w:r>
          </w:p>
          <w:p w14:paraId="5B55B681" w14:textId="77777777" w:rsidR="005F4251" w:rsidRPr="009226E8" w:rsidRDefault="002F2A84" w:rsidP="00C62598">
            <w:pPr>
              <w:pStyle w:val="Tableformat"/>
              <w:numPr>
                <w:ilvl w:val="1"/>
                <w:numId w:val="4"/>
              </w:numPr>
              <w:spacing w:line="256" w:lineRule="auto"/>
              <w:rPr>
                <w:color w:val="0070C0"/>
                <w:lang w:val="en-AU"/>
              </w:rPr>
            </w:pPr>
            <w:r w:rsidRPr="009226E8">
              <w:rPr>
                <w:color w:val="0070C0"/>
                <w:lang w:val="en-AU"/>
              </w:rPr>
              <w:t>providing Infrastructure Australia with business cases and relevant supporting information where a State is seeking a Commonwealth funding contribution for a Project equal to or greater than the threshold set out in</w:t>
            </w:r>
            <w:r w:rsidR="00B70343" w:rsidRPr="009226E8">
              <w:rPr>
                <w:color w:val="0070C0"/>
                <w:lang w:val="en-AU"/>
              </w:rPr>
              <w:t xml:space="preserve"> </w:t>
            </w:r>
            <w:r w:rsidRPr="009226E8">
              <w:rPr>
                <w:color w:val="0070C0"/>
                <w:lang w:val="en-AU"/>
              </w:rPr>
              <w:t>the Notes on Administration</w:t>
            </w:r>
            <w:r w:rsidR="005F4251" w:rsidRPr="009226E8">
              <w:rPr>
                <w:color w:val="0070C0"/>
                <w:lang w:val="en-AU"/>
              </w:rPr>
              <w:t xml:space="preserve">; </w:t>
            </w:r>
          </w:p>
          <w:p w14:paraId="5B55B682" w14:textId="77777777" w:rsidR="00A93F7B" w:rsidRPr="009226E8" w:rsidRDefault="005F4251" w:rsidP="00C62598">
            <w:pPr>
              <w:pStyle w:val="Tableformat"/>
              <w:numPr>
                <w:ilvl w:val="1"/>
                <w:numId w:val="4"/>
              </w:numPr>
              <w:spacing w:line="256" w:lineRule="auto"/>
              <w:rPr>
                <w:color w:val="0070C0"/>
                <w:lang w:val="en-AU"/>
              </w:rPr>
            </w:pPr>
            <w:r w:rsidRPr="009226E8">
              <w:rPr>
                <w:color w:val="0070C0"/>
                <w:lang w:val="en-AU"/>
              </w:rPr>
              <w:t xml:space="preserve">reporting on the delivery of </w:t>
            </w:r>
            <w:r w:rsidR="006A50E6" w:rsidRPr="009226E8">
              <w:rPr>
                <w:color w:val="0070C0"/>
                <w:lang w:val="en-AU"/>
              </w:rPr>
              <w:t xml:space="preserve">outputs and </w:t>
            </w:r>
            <w:r w:rsidR="001C616C" w:rsidRPr="009226E8">
              <w:rPr>
                <w:color w:val="0070C0"/>
                <w:lang w:val="en-AU"/>
              </w:rPr>
              <w:t xml:space="preserve">the </w:t>
            </w:r>
            <w:r w:rsidR="008158E1" w:rsidRPr="009226E8">
              <w:rPr>
                <w:color w:val="0070C0"/>
                <w:lang w:val="en-AU"/>
              </w:rPr>
              <w:t>o</w:t>
            </w:r>
            <w:r w:rsidRPr="009226E8">
              <w:rPr>
                <w:color w:val="0070C0"/>
                <w:lang w:val="en-AU"/>
              </w:rPr>
              <w:t>utcomes</w:t>
            </w:r>
            <w:r w:rsidR="005F14FF" w:rsidRPr="009226E8">
              <w:rPr>
                <w:color w:val="0070C0"/>
                <w:lang w:val="en-AU"/>
              </w:rPr>
              <w:t xml:space="preserve"> listed at </w:t>
            </w:r>
            <w:r w:rsidR="0003562D" w:rsidRPr="009226E8">
              <w:rPr>
                <w:color w:val="0070C0"/>
                <w:lang w:val="en-AU"/>
              </w:rPr>
              <w:t>Terms</w:t>
            </w:r>
            <w:r w:rsidR="005F14FF" w:rsidRPr="009226E8">
              <w:rPr>
                <w:color w:val="0070C0"/>
                <w:lang w:val="en-AU"/>
              </w:rPr>
              <w:t xml:space="preserve"> 1</w:t>
            </w:r>
            <w:r w:rsidR="001718E3" w:rsidRPr="009226E8">
              <w:rPr>
                <w:color w:val="0070C0"/>
                <w:lang w:val="en-AU"/>
              </w:rPr>
              <w:t>9</w:t>
            </w:r>
            <w:r w:rsidR="005F14FF" w:rsidRPr="009226E8">
              <w:rPr>
                <w:color w:val="0070C0"/>
                <w:lang w:val="en-AU"/>
              </w:rPr>
              <w:t>-</w:t>
            </w:r>
            <w:r w:rsidR="00207D73" w:rsidRPr="009226E8">
              <w:rPr>
                <w:color w:val="0070C0"/>
                <w:lang w:val="en-AU"/>
              </w:rPr>
              <w:t>26</w:t>
            </w:r>
            <w:r w:rsidR="00A93F7B" w:rsidRPr="009226E8">
              <w:rPr>
                <w:color w:val="0070C0"/>
                <w:lang w:val="en-AU"/>
              </w:rPr>
              <w:t>;</w:t>
            </w:r>
            <w:r w:rsidR="001D74BD" w:rsidRPr="009226E8">
              <w:rPr>
                <w:color w:val="0070C0"/>
                <w:lang w:val="en-AU"/>
              </w:rPr>
              <w:t xml:space="preserve"> </w:t>
            </w:r>
          </w:p>
          <w:p w14:paraId="5B55B683" w14:textId="77777777" w:rsidR="00CE2B5A" w:rsidRDefault="00A93F7B" w:rsidP="00C62598">
            <w:pPr>
              <w:pStyle w:val="Tableformat"/>
              <w:numPr>
                <w:ilvl w:val="1"/>
                <w:numId w:val="4"/>
              </w:numPr>
              <w:spacing w:line="256" w:lineRule="auto"/>
              <w:rPr>
                <w:color w:val="0070C0"/>
                <w:lang w:val="en-AU"/>
              </w:rPr>
            </w:pPr>
            <w:r w:rsidRPr="009226E8">
              <w:rPr>
                <w:color w:val="0070C0"/>
                <w:lang w:val="en-AU"/>
              </w:rPr>
              <w:t xml:space="preserve">providing data to the Commonwealth </w:t>
            </w:r>
            <w:r w:rsidR="00B81405" w:rsidRPr="009226E8">
              <w:rPr>
                <w:color w:val="0070C0"/>
                <w:lang w:val="en-AU"/>
              </w:rPr>
              <w:t xml:space="preserve">(including Infrastructure Australia) </w:t>
            </w:r>
            <w:r w:rsidRPr="009226E8">
              <w:rPr>
                <w:color w:val="0070C0"/>
                <w:lang w:val="en-AU"/>
              </w:rPr>
              <w:t>to enable post-completion reviews</w:t>
            </w:r>
            <w:r w:rsidR="00B81405" w:rsidRPr="009226E8">
              <w:rPr>
                <w:color w:val="0070C0"/>
                <w:lang w:val="en-AU"/>
              </w:rPr>
              <w:t xml:space="preserve"> and evaluations</w:t>
            </w:r>
            <w:r w:rsidRPr="009226E8">
              <w:rPr>
                <w:color w:val="0070C0"/>
                <w:lang w:val="en-AU"/>
              </w:rPr>
              <w:t xml:space="preserve"> </w:t>
            </w:r>
            <w:r w:rsidR="00030173" w:rsidRPr="009226E8">
              <w:rPr>
                <w:color w:val="0070C0"/>
                <w:lang w:val="en-AU"/>
              </w:rPr>
              <w:t xml:space="preserve">and future benefits realisation analyses </w:t>
            </w:r>
            <w:r w:rsidRPr="009226E8">
              <w:rPr>
                <w:color w:val="0070C0"/>
                <w:lang w:val="en-AU"/>
              </w:rPr>
              <w:t xml:space="preserve">of </w:t>
            </w:r>
            <w:r w:rsidR="00B81405" w:rsidRPr="009226E8">
              <w:rPr>
                <w:color w:val="0070C0"/>
                <w:lang w:val="en-AU"/>
              </w:rPr>
              <w:t>P</w:t>
            </w:r>
            <w:r w:rsidRPr="009226E8">
              <w:rPr>
                <w:color w:val="0070C0"/>
                <w:lang w:val="en-AU"/>
              </w:rPr>
              <w:t>rojects</w:t>
            </w:r>
            <w:r w:rsidR="00627D89">
              <w:rPr>
                <w:color w:val="0070C0"/>
                <w:lang w:val="en-AU"/>
              </w:rPr>
              <w:t xml:space="preserve">; </w:t>
            </w:r>
          </w:p>
          <w:p w14:paraId="5B55B684" w14:textId="77777777" w:rsidR="00AF2808" w:rsidRPr="009226E8" w:rsidRDefault="00EB67AE" w:rsidP="00C62598">
            <w:pPr>
              <w:pStyle w:val="Tableformat"/>
              <w:numPr>
                <w:ilvl w:val="0"/>
                <w:numId w:val="4"/>
              </w:numPr>
              <w:spacing w:line="256" w:lineRule="auto"/>
              <w:rPr>
                <w:color w:val="0070C0"/>
                <w:lang w:val="en-AU"/>
              </w:rPr>
            </w:pPr>
            <w:r w:rsidRPr="009226E8">
              <w:rPr>
                <w:color w:val="0070C0"/>
                <w:lang w:val="en-AU"/>
              </w:rPr>
              <w:t xml:space="preserve">In addition to Clause 21 of the </w:t>
            </w:r>
            <w:hyperlink r:id="rId14" w:history="1">
              <w:r w:rsidRPr="009226E8">
                <w:rPr>
                  <w:rStyle w:val="Hyperlink"/>
                  <w:lang w:val="en-AU"/>
                </w:rPr>
                <w:t>FFA- Infrastructure</w:t>
              </w:r>
            </w:hyperlink>
            <w:r w:rsidRPr="009226E8">
              <w:rPr>
                <w:color w:val="0070C0"/>
                <w:lang w:val="en-AU"/>
              </w:rPr>
              <w:t xml:space="preserve"> (Shared roles and responsibilities), the Parties will share responsibility for:</w:t>
            </w:r>
          </w:p>
          <w:p w14:paraId="5B55B685" w14:textId="77777777" w:rsidR="000C2F07" w:rsidRPr="000E5B59" w:rsidRDefault="00202D46" w:rsidP="00C62598">
            <w:pPr>
              <w:pStyle w:val="Tableformat"/>
              <w:numPr>
                <w:ilvl w:val="1"/>
                <w:numId w:val="4"/>
              </w:numPr>
              <w:spacing w:line="256" w:lineRule="auto"/>
              <w:rPr>
                <w:color w:val="0070C0"/>
                <w:lang w:val="en-AU"/>
              </w:rPr>
            </w:pPr>
            <w:r w:rsidRPr="009226E8">
              <w:rPr>
                <w:color w:val="0070C0"/>
                <w:lang w:val="en-AU"/>
              </w:rPr>
              <w:t>e</w:t>
            </w:r>
            <w:r w:rsidR="00EB67AE" w:rsidRPr="009226E8">
              <w:rPr>
                <w:color w:val="0070C0"/>
                <w:lang w:val="en-AU"/>
              </w:rPr>
              <w:t xml:space="preserve">nsuring a </w:t>
            </w:r>
            <w:r w:rsidR="00EC4BFA" w:rsidRPr="009226E8">
              <w:rPr>
                <w:color w:val="0070C0"/>
                <w:lang w:val="en-AU"/>
              </w:rPr>
              <w:t xml:space="preserve">fiscally </w:t>
            </w:r>
            <w:r w:rsidR="00EB67AE" w:rsidRPr="009226E8">
              <w:rPr>
                <w:color w:val="0070C0"/>
                <w:lang w:val="en-AU"/>
              </w:rPr>
              <w:t xml:space="preserve">sustainable pipeline of nationally </w:t>
            </w:r>
            <w:r w:rsidR="00EB67AE" w:rsidRPr="000E5B59">
              <w:rPr>
                <w:color w:val="0070C0"/>
                <w:lang w:val="en-AU"/>
              </w:rPr>
              <w:t>significant projects</w:t>
            </w:r>
            <w:r w:rsidRPr="000E5B59">
              <w:rPr>
                <w:color w:val="0070C0"/>
                <w:lang w:val="en-AU"/>
              </w:rPr>
              <w:t>;</w:t>
            </w:r>
          </w:p>
          <w:p w14:paraId="5B55B686" w14:textId="77777777" w:rsidR="0065776F" w:rsidRPr="000E5B59" w:rsidRDefault="0065776F" w:rsidP="0065776F">
            <w:pPr>
              <w:pStyle w:val="Tableformat"/>
              <w:numPr>
                <w:ilvl w:val="1"/>
                <w:numId w:val="4"/>
              </w:numPr>
              <w:spacing w:line="256" w:lineRule="auto"/>
              <w:rPr>
                <w:color w:val="0070C0"/>
                <w:lang w:val="en-AU"/>
              </w:rPr>
            </w:pPr>
            <w:r w:rsidRPr="000E5B59">
              <w:rPr>
                <w:color w:val="0070C0"/>
                <w:lang w:val="en-AU"/>
              </w:rPr>
              <w:t xml:space="preserve">improving the management of projects to </w:t>
            </w:r>
            <w:r w:rsidR="00342E15" w:rsidRPr="000E5B59">
              <w:rPr>
                <w:color w:val="0070C0"/>
                <w:lang w:val="en-AU"/>
              </w:rPr>
              <w:t>promote</w:t>
            </w:r>
            <w:r w:rsidRPr="000E5B59">
              <w:rPr>
                <w:color w:val="0070C0"/>
                <w:lang w:val="en-AU"/>
              </w:rPr>
              <w:t xml:space="preserve"> better accountability and minimise cost overruns in order to guarantee the best use of taxpayers’ funds;</w:t>
            </w:r>
          </w:p>
          <w:p w14:paraId="5B55B687" w14:textId="77777777" w:rsidR="00596665" w:rsidRPr="009226E8" w:rsidRDefault="00596665" w:rsidP="00C62598">
            <w:pPr>
              <w:pStyle w:val="Tableformat"/>
              <w:numPr>
                <w:ilvl w:val="1"/>
                <w:numId w:val="4"/>
              </w:numPr>
              <w:spacing w:line="256" w:lineRule="auto"/>
              <w:rPr>
                <w:color w:val="0070C0"/>
                <w:lang w:val="en-AU"/>
              </w:rPr>
            </w:pPr>
            <w:r w:rsidRPr="009226E8">
              <w:rPr>
                <w:color w:val="0070C0"/>
                <w:lang w:val="en-AU"/>
              </w:rPr>
              <w:t xml:space="preserve">investing in the </w:t>
            </w:r>
            <w:r w:rsidR="00570F78" w:rsidRPr="009226E8">
              <w:rPr>
                <w:color w:val="0070C0"/>
                <w:lang w:val="en-AU"/>
              </w:rPr>
              <w:t xml:space="preserve">whole-of-life </w:t>
            </w:r>
            <w:r w:rsidRPr="009226E8">
              <w:rPr>
                <w:color w:val="0070C0"/>
                <w:lang w:val="en-AU"/>
              </w:rPr>
              <w:t>resilience of land transport infrastructure</w:t>
            </w:r>
            <w:r w:rsidR="00570F78" w:rsidRPr="009226E8">
              <w:rPr>
                <w:color w:val="0070C0"/>
                <w:lang w:val="en-AU"/>
              </w:rPr>
              <w:t xml:space="preserve"> to climate and disaster risks, thereby enabling freight and supply chain resilience</w:t>
            </w:r>
            <w:r w:rsidRPr="009226E8">
              <w:rPr>
                <w:color w:val="0070C0"/>
                <w:lang w:val="en-AU"/>
              </w:rPr>
              <w:t>;</w:t>
            </w:r>
          </w:p>
          <w:p w14:paraId="5B55B688" w14:textId="77777777" w:rsidR="000C2F07" w:rsidRPr="009226E8" w:rsidRDefault="00BF74D7" w:rsidP="00C62598">
            <w:pPr>
              <w:pStyle w:val="Tableformat"/>
              <w:numPr>
                <w:ilvl w:val="1"/>
                <w:numId w:val="4"/>
              </w:numPr>
              <w:spacing w:line="256" w:lineRule="auto"/>
              <w:rPr>
                <w:color w:val="0070C0"/>
                <w:lang w:val="en-AU"/>
              </w:rPr>
            </w:pPr>
            <w:r w:rsidRPr="009226E8">
              <w:rPr>
                <w:color w:val="0070C0"/>
                <w:lang w:val="en-AU"/>
              </w:rPr>
              <w:t xml:space="preserve">supporting initiatives to improve </w:t>
            </w:r>
            <w:r w:rsidR="000C2F07" w:rsidRPr="009226E8">
              <w:rPr>
                <w:color w:val="0070C0"/>
                <w:lang w:val="en-AU"/>
              </w:rPr>
              <w:t>the productivity</w:t>
            </w:r>
            <w:r w:rsidR="00596665" w:rsidRPr="009226E8">
              <w:rPr>
                <w:color w:val="0070C0"/>
                <w:lang w:val="en-AU"/>
              </w:rPr>
              <w:t>,</w:t>
            </w:r>
            <w:r w:rsidR="000050A2" w:rsidRPr="009226E8">
              <w:rPr>
                <w:color w:val="0070C0"/>
                <w:lang w:val="en-AU"/>
              </w:rPr>
              <w:t xml:space="preserve"> longer-term capacity</w:t>
            </w:r>
            <w:r w:rsidR="005F77B6" w:rsidRPr="009226E8">
              <w:rPr>
                <w:color w:val="0070C0"/>
                <w:lang w:val="en-AU"/>
              </w:rPr>
              <w:t>, capability</w:t>
            </w:r>
            <w:r w:rsidR="000050A2" w:rsidRPr="009226E8">
              <w:rPr>
                <w:color w:val="0070C0"/>
                <w:lang w:val="en-AU"/>
              </w:rPr>
              <w:t xml:space="preserve"> and diversity </w:t>
            </w:r>
            <w:r w:rsidR="000C2F07" w:rsidRPr="009226E8">
              <w:rPr>
                <w:color w:val="0070C0"/>
                <w:lang w:val="en-AU"/>
              </w:rPr>
              <w:t>of the construction industry</w:t>
            </w:r>
            <w:r w:rsidR="00596665" w:rsidRPr="009226E8">
              <w:rPr>
                <w:color w:val="0070C0"/>
                <w:lang w:val="en-AU"/>
              </w:rPr>
              <w:t xml:space="preserve">. This includes ensuring </w:t>
            </w:r>
            <w:r w:rsidR="009A29AE" w:rsidRPr="009226E8">
              <w:rPr>
                <w:color w:val="0070C0"/>
                <w:lang w:val="en-AU"/>
              </w:rPr>
              <w:t>p</w:t>
            </w:r>
            <w:r w:rsidR="00596665" w:rsidRPr="009226E8">
              <w:rPr>
                <w:color w:val="0070C0"/>
                <w:lang w:val="en-AU"/>
              </w:rPr>
              <w:t xml:space="preserve">rojects are delivered </w:t>
            </w:r>
            <w:r w:rsidR="00596665" w:rsidRPr="009226E8">
              <w:rPr>
                <w:color w:val="0070C0"/>
                <w:lang w:val="en-AU"/>
              </w:rPr>
              <w:lastRenderedPageBreak/>
              <w:t>appropriately while supporting firms across all tiers of the construction market</w:t>
            </w:r>
            <w:r w:rsidR="00202D46" w:rsidRPr="009226E8">
              <w:rPr>
                <w:color w:val="0070C0"/>
                <w:lang w:val="en-AU"/>
              </w:rPr>
              <w:t>;</w:t>
            </w:r>
          </w:p>
          <w:p w14:paraId="5B55B689" w14:textId="77777777" w:rsidR="00202D46" w:rsidRPr="009226E8" w:rsidRDefault="0004129C" w:rsidP="00C62598">
            <w:pPr>
              <w:pStyle w:val="Tableformat"/>
              <w:numPr>
                <w:ilvl w:val="1"/>
                <w:numId w:val="4"/>
              </w:numPr>
              <w:spacing w:line="256" w:lineRule="auto"/>
              <w:rPr>
                <w:color w:val="0070C0"/>
                <w:lang w:val="en-AU"/>
              </w:rPr>
            </w:pPr>
            <w:r w:rsidRPr="009226E8">
              <w:rPr>
                <w:color w:val="0070C0"/>
                <w:lang w:val="en-AU"/>
              </w:rPr>
              <w:t xml:space="preserve"> </w:t>
            </w:r>
            <w:r w:rsidR="00EE510C" w:rsidRPr="009226E8">
              <w:rPr>
                <w:color w:val="0070C0"/>
                <w:lang w:val="en-AU"/>
              </w:rPr>
              <w:t>agreeing</w:t>
            </w:r>
            <w:r w:rsidR="00596665" w:rsidRPr="009226E8">
              <w:rPr>
                <w:color w:val="0070C0"/>
                <w:lang w:val="en-AU"/>
              </w:rPr>
              <w:t>, review</w:t>
            </w:r>
            <w:r w:rsidR="00B95CB9" w:rsidRPr="009226E8">
              <w:rPr>
                <w:color w:val="0070C0"/>
                <w:lang w:val="en-AU"/>
              </w:rPr>
              <w:t>ing</w:t>
            </w:r>
            <w:r w:rsidR="00EE510C" w:rsidRPr="009226E8">
              <w:rPr>
                <w:color w:val="0070C0"/>
                <w:lang w:val="en-AU"/>
              </w:rPr>
              <w:t xml:space="preserve"> </w:t>
            </w:r>
            <w:r w:rsidR="00EC4BFA" w:rsidRPr="009226E8">
              <w:rPr>
                <w:color w:val="0070C0"/>
                <w:lang w:val="en-AU"/>
              </w:rPr>
              <w:t xml:space="preserve">and updating </w:t>
            </w:r>
            <w:r w:rsidR="00EE510C" w:rsidRPr="009226E8">
              <w:rPr>
                <w:color w:val="0070C0"/>
                <w:lang w:val="en-AU"/>
              </w:rPr>
              <w:t xml:space="preserve">the Notes on Administration to support the implementation of this </w:t>
            </w:r>
            <w:r w:rsidR="002571E2" w:rsidRPr="009226E8">
              <w:rPr>
                <w:color w:val="0070C0"/>
                <w:lang w:val="en-AU"/>
              </w:rPr>
              <w:t>Schedule</w:t>
            </w:r>
            <w:r w:rsidR="00202D46" w:rsidRPr="009226E8">
              <w:rPr>
                <w:color w:val="0070C0"/>
                <w:lang w:val="en-AU"/>
              </w:rPr>
              <w:t>;</w:t>
            </w:r>
          </w:p>
          <w:p w14:paraId="5B55B68A" w14:textId="77777777" w:rsidR="00BF74D7" w:rsidRPr="009226E8" w:rsidRDefault="00202D46" w:rsidP="00C62598">
            <w:pPr>
              <w:pStyle w:val="Tableformat"/>
              <w:numPr>
                <w:ilvl w:val="1"/>
                <w:numId w:val="4"/>
              </w:numPr>
              <w:spacing w:line="256" w:lineRule="auto"/>
              <w:rPr>
                <w:color w:val="0070C0"/>
                <w:lang w:val="en-AU"/>
              </w:rPr>
            </w:pPr>
            <w:r w:rsidRPr="009226E8">
              <w:rPr>
                <w:color w:val="0070C0"/>
                <w:lang w:val="en-AU"/>
              </w:rPr>
              <w:t xml:space="preserve">funding the </w:t>
            </w:r>
            <w:r w:rsidR="00EB2D98" w:rsidRPr="009226E8">
              <w:rPr>
                <w:color w:val="0070C0"/>
                <w:lang w:val="en-AU"/>
              </w:rPr>
              <w:t xml:space="preserve">sustainable </w:t>
            </w:r>
            <w:r w:rsidRPr="009226E8">
              <w:rPr>
                <w:color w:val="0070C0"/>
                <w:lang w:val="en-AU"/>
              </w:rPr>
              <w:t xml:space="preserve">maintenance </w:t>
            </w:r>
            <w:r w:rsidR="00080B58" w:rsidRPr="009226E8">
              <w:rPr>
                <w:color w:val="0070C0"/>
                <w:lang w:val="en-AU"/>
              </w:rPr>
              <w:t xml:space="preserve">and asset renewal </w:t>
            </w:r>
            <w:r w:rsidRPr="009226E8">
              <w:rPr>
                <w:color w:val="0070C0"/>
                <w:lang w:val="en-AU"/>
              </w:rPr>
              <w:t>of the National Land Transport Network</w:t>
            </w:r>
            <w:r w:rsidR="00BF74D7" w:rsidRPr="009226E8">
              <w:rPr>
                <w:color w:val="0070C0"/>
                <w:lang w:val="en-AU"/>
              </w:rPr>
              <w:t>;</w:t>
            </w:r>
          </w:p>
          <w:p w14:paraId="5B55B68B" w14:textId="77777777" w:rsidR="00EE510C" w:rsidRPr="009226E8" w:rsidRDefault="00BF74D7" w:rsidP="00C62598">
            <w:pPr>
              <w:pStyle w:val="Tableformat"/>
              <w:numPr>
                <w:ilvl w:val="1"/>
                <w:numId w:val="4"/>
              </w:numPr>
              <w:spacing w:line="256" w:lineRule="auto"/>
              <w:rPr>
                <w:color w:val="0070C0"/>
                <w:lang w:val="en-AU"/>
              </w:rPr>
            </w:pPr>
            <w:r w:rsidRPr="009226E8">
              <w:rPr>
                <w:color w:val="0070C0"/>
                <w:lang w:val="en-AU"/>
              </w:rPr>
              <w:t xml:space="preserve">developing and implementing a revised First Nations policy framework that will be mutually agreed and published. </w:t>
            </w:r>
          </w:p>
          <w:p w14:paraId="5B55B68C" w14:textId="77777777" w:rsidR="00205899" w:rsidRPr="009226E8" w:rsidRDefault="006B3FBA" w:rsidP="00535F81">
            <w:pPr>
              <w:pStyle w:val="Tableformat"/>
              <w:keepNext/>
              <w:spacing w:line="257" w:lineRule="auto"/>
              <w:rPr>
                <w:b/>
                <w:color w:val="0070C0"/>
                <w:u w:val="single"/>
                <w:lang w:val="en-AU"/>
              </w:rPr>
            </w:pPr>
            <w:r w:rsidRPr="009226E8">
              <w:rPr>
                <w:b/>
                <w:color w:val="0070C0"/>
                <w:u w:val="single"/>
                <w:lang w:val="en-AU"/>
              </w:rPr>
              <w:t>E</w:t>
            </w:r>
            <w:r w:rsidR="00743199" w:rsidRPr="009226E8">
              <w:rPr>
                <w:b/>
                <w:color w:val="0070C0"/>
                <w:u w:val="single"/>
                <w:lang w:val="en-AU"/>
              </w:rPr>
              <w:t xml:space="preserve">nsuring alignment to shared strategic </w:t>
            </w:r>
            <w:r w:rsidR="002F2A84" w:rsidRPr="009226E8">
              <w:rPr>
                <w:b/>
                <w:color w:val="0070C0"/>
                <w:u w:val="single"/>
                <w:lang w:val="en-AU"/>
              </w:rPr>
              <w:t xml:space="preserve">objectives </w:t>
            </w:r>
          </w:p>
          <w:p w14:paraId="5B55B68D" w14:textId="77777777" w:rsidR="00595BDC" w:rsidRPr="009226E8" w:rsidRDefault="00E832F4" w:rsidP="00C62598">
            <w:pPr>
              <w:pStyle w:val="Tableformat"/>
              <w:numPr>
                <w:ilvl w:val="0"/>
                <w:numId w:val="4"/>
              </w:numPr>
              <w:spacing w:line="256" w:lineRule="auto"/>
              <w:rPr>
                <w:color w:val="0070C0"/>
                <w:lang w:val="en-AU"/>
              </w:rPr>
            </w:pPr>
            <w:r w:rsidRPr="009226E8">
              <w:rPr>
                <w:color w:val="0070C0"/>
                <w:lang w:val="en-AU"/>
              </w:rPr>
              <w:t xml:space="preserve">Projects </w:t>
            </w:r>
            <w:r w:rsidR="00A44921" w:rsidRPr="009226E8">
              <w:rPr>
                <w:color w:val="0070C0"/>
                <w:lang w:val="en-AU"/>
              </w:rPr>
              <w:t xml:space="preserve">will </w:t>
            </w:r>
            <w:r w:rsidRPr="009226E8">
              <w:rPr>
                <w:color w:val="0070C0"/>
                <w:lang w:val="en-AU"/>
              </w:rPr>
              <w:t xml:space="preserve">align with the </w:t>
            </w:r>
            <w:r w:rsidR="009B4E47" w:rsidRPr="009226E8">
              <w:rPr>
                <w:color w:val="0070C0"/>
                <w:lang w:val="en-AU"/>
              </w:rPr>
              <w:t xml:space="preserve">shared </w:t>
            </w:r>
            <w:r w:rsidR="004029E9" w:rsidRPr="009226E8">
              <w:rPr>
                <w:color w:val="0070C0"/>
                <w:lang w:val="en-AU"/>
              </w:rPr>
              <w:t>strategic themes</w:t>
            </w:r>
            <w:r w:rsidRPr="009226E8">
              <w:rPr>
                <w:color w:val="0070C0"/>
                <w:lang w:val="en-AU"/>
              </w:rPr>
              <w:t xml:space="preserve"> </w:t>
            </w:r>
            <w:r w:rsidR="009B4E47" w:rsidRPr="009226E8">
              <w:rPr>
                <w:color w:val="0070C0"/>
                <w:lang w:val="en-AU"/>
              </w:rPr>
              <w:t xml:space="preserve">of </w:t>
            </w:r>
            <w:r w:rsidR="0056304E" w:rsidRPr="009226E8">
              <w:rPr>
                <w:color w:val="0070C0"/>
                <w:lang w:val="en-AU"/>
              </w:rPr>
              <w:t>productivity and resilience, sustainability, and liveability</w:t>
            </w:r>
            <w:r w:rsidR="00EE031C" w:rsidRPr="009226E8">
              <w:rPr>
                <w:color w:val="0070C0"/>
                <w:lang w:val="en-AU"/>
              </w:rPr>
              <w:t>, housing supply and population growth</w:t>
            </w:r>
            <w:r w:rsidRPr="009226E8">
              <w:rPr>
                <w:color w:val="0070C0"/>
                <w:lang w:val="en-AU"/>
              </w:rPr>
              <w:t xml:space="preserve">. </w:t>
            </w:r>
            <w:r w:rsidR="00A44921" w:rsidRPr="009226E8">
              <w:rPr>
                <w:color w:val="0070C0"/>
                <w:lang w:val="en-AU"/>
              </w:rPr>
              <w:t xml:space="preserve">Projects must </w:t>
            </w:r>
            <w:r w:rsidR="0046619C" w:rsidRPr="009226E8">
              <w:rPr>
                <w:color w:val="0070C0"/>
                <w:lang w:val="en-AU"/>
              </w:rPr>
              <w:t xml:space="preserve">also </w:t>
            </w:r>
            <w:r w:rsidR="00A44921" w:rsidRPr="009226E8">
              <w:rPr>
                <w:color w:val="0070C0"/>
                <w:lang w:val="en-AU"/>
              </w:rPr>
              <w:t xml:space="preserve">demonstrate alignment </w:t>
            </w:r>
            <w:r w:rsidR="0046619C" w:rsidRPr="009226E8">
              <w:rPr>
                <w:color w:val="0070C0"/>
                <w:lang w:val="en-AU"/>
              </w:rPr>
              <w:t xml:space="preserve">with </w:t>
            </w:r>
            <w:r w:rsidR="009B4E47" w:rsidRPr="009226E8">
              <w:rPr>
                <w:color w:val="0070C0"/>
                <w:lang w:val="en-AU"/>
              </w:rPr>
              <w:t xml:space="preserve">the Commonwealth’s Infrastructure Policy Statement, which </w:t>
            </w:r>
            <w:r w:rsidRPr="009226E8">
              <w:rPr>
                <w:color w:val="0070C0"/>
                <w:lang w:val="en-AU"/>
              </w:rPr>
              <w:t>may be updated from time to time</w:t>
            </w:r>
            <w:r w:rsidR="00A755CE" w:rsidRPr="009226E8">
              <w:rPr>
                <w:color w:val="0070C0"/>
                <w:lang w:val="en-AU"/>
              </w:rPr>
              <w:t xml:space="preserve"> by the Commonwealth</w:t>
            </w:r>
            <w:r w:rsidRPr="009226E8">
              <w:rPr>
                <w:color w:val="0070C0"/>
                <w:lang w:val="en-AU"/>
              </w:rPr>
              <w:t xml:space="preserve">. </w:t>
            </w:r>
          </w:p>
          <w:p w14:paraId="5B55B68E" w14:textId="77777777" w:rsidR="00595BDC" w:rsidRPr="009226E8" w:rsidRDefault="00595BDC" w:rsidP="00C62598">
            <w:pPr>
              <w:pStyle w:val="Tableformat"/>
              <w:numPr>
                <w:ilvl w:val="0"/>
                <w:numId w:val="4"/>
              </w:numPr>
              <w:spacing w:line="256" w:lineRule="auto"/>
              <w:rPr>
                <w:color w:val="0070C0"/>
                <w:lang w:val="en-AU"/>
              </w:rPr>
            </w:pPr>
            <w:r w:rsidRPr="009226E8">
              <w:rPr>
                <w:color w:val="0070C0"/>
                <w:lang w:val="en-AU"/>
              </w:rPr>
              <w:t xml:space="preserve">Projects considered for co-investment </w:t>
            </w:r>
            <w:r w:rsidR="00EC4BFA" w:rsidRPr="009226E8">
              <w:rPr>
                <w:color w:val="0070C0"/>
                <w:lang w:val="en-AU"/>
              </w:rPr>
              <w:t xml:space="preserve">will </w:t>
            </w:r>
            <w:r w:rsidR="006B377C" w:rsidRPr="009226E8">
              <w:rPr>
                <w:color w:val="0070C0"/>
                <w:lang w:val="en-AU"/>
              </w:rPr>
              <w:t>be informed by</w:t>
            </w:r>
            <w:r w:rsidRPr="009226E8">
              <w:rPr>
                <w:color w:val="0070C0"/>
                <w:lang w:val="en-AU"/>
              </w:rPr>
              <w:t xml:space="preserve"> </w:t>
            </w:r>
            <w:r w:rsidR="00B90A8C" w:rsidRPr="009226E8">
              <w:rPr>
                <w:color w:val="0070C0"/>
                <w:lang w:val="en-AU"/>
              </w:rPr>
              <w:t>States</w:t>
            </w:r>
            <w:r w:rsidRPr="009226E8">
              <w:rPr>
                <w:color w:val="0070C0"/>
                <w:lang w:val="en-AU"/>
              </w:rPr>
              <w:t xml:space="preserve">’ </w:t>
            </w:r>
            <w:r w:rsidR="004029E9" w:rsidRPr="009226E8">
              <w:rPr>
                <w:color w:val="0070C0"/>
                <w:lang w:val="en-AU"/>
              </w:rPr>
              <w:t>Annual Infrastructure Plans</w:t>
            </w:r>
            <w:r w:rsidR="00B81405" w:rsidRPr="009226E8">
              <w:rPr>
                <w:color w:val="0070C0"/>
                <w:lang w:val="en-AU"/>
              </w:rPr>
              <w:t xml:space="preserve"> and Infrastructure Australia’s Infrastructure Priority List,</w:t>
            </w:r>
            <w:r w:rsidR="006B377C" w:rsidRPr="009226E8">
              <w:rPr>
                <w:color w:val="0070C0"/>
                <w:lang w:val="en-AU"/>
              </w:rPr>
              <w:t xml:space="preserve"> and</w:t>
            </w:r>
            <w:r w:rsidR="00B81405" w:rsidRPr="009226E8">
              <w:rPr>
                <w:color w:val="0070C0"/>
                <w:lang w:val="en-AU"/>
              </w:rPr>
              <w:t xml:space="preserve"> will</w:t>
            </w:r>
            <w:r w:rsidR="006B377C" w:rsidRPr="009226E8">
              <w:rPr>
                <w:color w:val="0070C0"/>
                <w:lang w:val="en-AU"/>
              </w:rPr>
              <w:t xml:space="preserve"> include potential planning </w:t>
            </w:r>
            <w:r w:rsidR="00F072FE" w:rsidRPr="009226E8">
              <w:rPr>
                <w:color w:val="0070C0"/>
                <w:lang w:val="en-AU"/>
              </w:rPr>
              <w:t>projects and potential construction projects</w:t>
            </w:r>
            <w:r w:rsidRPr="009226E8">
              <w:rPr>
                <w:color w:val="0070C0"/>
                <w:lang w:val="en-AU"/>
              </w:rPr>
              <w:t>.</w:t>
            </w:r>
          </w:p>
          <w:p w14:paraId="5B55B68F" w14:textId="77777777" w:rsidR="00E832F4" w:rsidRPr="009226E8" w:rsidRDefault="00C97515" w:rsidP="00C62598">
            <w:pPr>
              <w:pStyle w:val="Tableformat"/>
              <w:numPr>
                <w:ilvl w:val="0"/>
                <w:numId w:val="4"/>
              </w:numPr>
              <w:spacing w:line="256" w:lineRule="auto"/>
              <w:rPr>
                <w:color w:val="0070C0"/>
                <w:lang w:val="en-AU"/>
              </w:rPr>
            </w:pPr>
            <w:r w:rsidRPr="009226E8">
              <w:rPr>
                <w:color w:val="0070C0"/>
                <w:lang w:val="en-AU"/>
              </w:rPr>
              <w:t>P</w:t>
            </w:r>
            <w:r w:rsidR="00595BDC" w:rsidRPr="009226E8">
              <w:rPr>
                <w:color w:val="0070C0"/>
                <w:lang w:val="en-AU"/>
              </w:rPr>
              <w:t xml:space="preserve">rojects </w:t>
            </w:r>
            <w:r w:rsidRPr="009226E8">
              <w:rPr>
                <w:color w:val="0070C0"/>
                <w:lang w:val="en-AU"/>
              </w:rPr>
              <w:t>funded under this Schedule</w:t>
            </w:r>
            <w:r w:rsidR="00595BDC" w:rsidRPr="009226E8">
              <w:rPr>
                <w:color w:val="0070C0"/>
                <w:lang w:val="en-AU"/>
              </w:rPr>
              <w:t xml:space="preserve"> will be subject to</w:t>
            </w:r>
            <w:r w:rsidR="00BF74D7" w:rsidRPr="009226E8">
              <w:rPr>
                <w:color w:val="0070C0"/>
                <w:lang w:val="en-AU"/>
              </w:rPr>
              <w:t xml:space="preserve"> necessary due diligence processes</w:t>
            </w:r>
            <w:r w:rsidR="00880DB4" w:rsidRPr="009226E8">
              <w:rPr>
                <w:color w:val="0070C0"/>
                <w:lang w:val="en-AU"/>
              </w:rPr>
              <w:t>, as set out</w:t>
            </w:r>
            <w:r w:rsidR="0024285A" w:rsidRPr="009226E8">
              <w:rPr>
                <w:color w:val="0070C0"/>
                <w:lang w:val="en-AU"/>
              </w:rPr>
              <w:t xml:space="preserve"> in the Notes on Administration</w:t>
            </w:r>
            <w:r w:rsidR="00BF74D7" w:rsidRPr="009226E8">
              <w:rPr>
                <w:color w:val="0070C0"/>
                <w:lang w:val="en-AU"/>
              </w:rPr>
              <w:t>, including as best as possible, ensuring Commonwealth funding</w:t>
            </w:r>
            <w:r w:rsidR="00B81405" w:rsidRPr="009226E8">
              <w:rPr>
                <w:color w:val="0070C0"/>
                <w:lang w:val="en-AU"/>
              </w:rPr>
              <w:t xml:space="preserve"> for delivery</w:t>
            </w:r>
            <w:r w:rsidR="00BF74D7" w:rsidRPr="009226E8">
              <w:rPr>
                <w:color w:val="0070C0"/>
                <w:lang w:val="en-AU"/>
              </w:rPr>
              <w:t xml:space="preserve"> is not </w:t>
            </w:r>
            <w:r w:rsidR="002E3EB6" w:rsidRPr="009226E8">
              <w:rPr>
                <w:color w:val="0070C0"/>
                <w:lang w:val="en-AU"/>
              </w:rPr>
              <w:t>committed</w:t>
            </w:r>
            <w:r w:rsidR="00BF74D7" w:rsidRPr="009226E8">
              <w:rPr>
                <w:color w:val="0070C0"/>
                <w:lang w:val="en-AU"/>
              </w:rPr>
              <w:t xml:space="preserve"> until </w:t>
            </w:r>
            <w:r w:rsidR="00F746BC" w:rsidRPr="009226E8">
              <w:rPr>
                <w:color w:val="0070C0"/>
                <w:lang w:val="en-AU"/>
              </w:rPr>
              <w:t xml:space="preserve">a business case has </w:t>
            </w:r>
            <w:r w:rsidR="00502FAA" w:rsidRPr="009226E8">
              <w:rPr>
                <w:color w:val="0070C0"/>
                <w:lang w:val="en-AU"/>
              </w:rPr>
              <w:t xml:space="preserve">been completed and considered by all relevant </w:t>
            </w:r>
            <w:r w:rsidR="00B90A8C" w:rsidRPr="009226E8">
              <w:rPr>
                <w:color w:val="0070C0"/>
                <w:lang w:val="en-AU"/>
              </w:rPr>
              <w:t>Parties</w:t>
            </w:r>
            <w:r w:rsidR="00502FAA" w:rsidRPr="009226E8">
              <w:rPr>
                <w:color w:val="0070C0"/>
                <w:lang w:val="en-AU"/>
              </w:rPr>
              <w:t xml:space="preserve">, including Infrastructure Australia as </w:t>
            </w:r>
            <w:r w:rsidR="00A20D6A" w:rsidRPr="009226E8">
              <w:rPr>
                <w:color w:val="0070C0"/>
                <w:lang w:val="en-AU"/>
              </w:rPr>
              <w:t>appropriate</w:t>
            </w:r>
            <w:r w:rsidR="00BF74D7" w:rsidRPr="009226E8">
              <w:rPr>
                <w:color w:val="0070C0"/>
                <w:lang w:val="en-AU"/>
              </w:rPr>
              <w:t>.</w:t>
            </w:r>
            <w:r w:rsidR="00595BDC" w:rsidRPr="009226E8">
              <w:rPr>
                <w:color w:val="0070C0"/>
                <w:lang w:val="en-AU"/>
              </w:rPr>
              <w:t xml:space="preserve"> </w:t>
            </w:r>
          </w:p>
          <w:p w14:paraId="5B55B690" w14:textId="77777777" w:rsidR="0073633A" w:rsidRPr="009226E8" w:rsidRDefault="0073633A" w:rsidP="00C62598">
            <w:pPr>
              <w:pStyle w:val="Tableformat"/>
              <w:numPr>
                <w:ilvl w:val="1"/>
                <w:numId w:val="4"/>
              </w:numPr>
              <w:spacing w:line="256" w:lineRule="auto"/>
              <w:rPr>
                <w:color w:val="0070C0"/>
                <w:lang w:val="en-AU"/>
              </w:rPr>
            </w:pPr>
            <w:r w:rsidRPr="009226E8">
              <w:rPr>
                <w:color w:val="0070C0"/>
                <w:lang w:val="en-AU"/>
              </w:rPr>
              <w:t>To support these due diligence processes, States may apply to the Commonwealth for funding for business case development.</w:t>
            </w:r>
            <w:r w:rsidR="004743FF" w:rsidRPr="009226E8">
              <w:rPr>
                <w:color w:val="0070C0"/>
                <w:lang w:val="en-AU"/>
              </w:rPr>
              <w:t xml:space="preserve"> </w:t>
            </w:r>
            <w:r w:rsidR="009F7451" w:rsidRPr="009226E8">
              <w:rPr>
                <w:color w:val="0070C0"/>
                <w:lang w:val="en-AU"/>
              </w:rPr>
              <w:t xml:space="preserve">Projects that receive funding for business case development will be </w:t>
            </w:r>
            <w:r w:rsidR="004743FF" w:rsidRPr="009226E8">
              <w:rPr>
                <w:color w:val="0070C0"/>
                <w:lang w:val="en-AU"/>
              </w:rPr>
              <w:t>characterised</w:t>
            </w:r>
            <w:r w:rsidR="009F7451" w:rsidRPr="009226E8">
              <w:rPr>
                <w:color w:val="0070C0"/>
                <w:lang w:val="en-AU"/>
              </w:rPr>
              <w:t xml:space="preserve"> </w:t>
            </w:r>
            <w:r w:rsidR="008C74CF" w:rsidRPr="009226E8">
              <w:rPr>
                <w:color w:val="0070C0"/>
                <w:lang w:val="en-AU"/>
              </w:rPr>
              <w:t xml:space="preserve">by Parties </w:t>
            </w:r>
            <w:r w:rsidR="009F7451" w:rsidRPr="009226E8">
              <w:rPr>
                <w:color w:val="0070C0"/>
                <w:lang w:val="en-AU"/>
              </w:rPr>
              <w:t>as being ‘under consideration’</w:t>
            </w:r>
            <w:r w:rsidR="004743FF" w:rsidRPr="009226E8">
              <w:rPr>
                <w:color w:val="0070C0"/>
                <w:lang w:val="en-AU"/>
              </w:rPr>
              <w:t>.</w:t>
            </w:r>
          </w:p>
          <w:p w14:paraId="5B55B691" w14:textId="77777777" w:rsidR="00595BDC" w:rsidRPr="009226E8" w:rsidRDefault="00595BDC" w:rsidP="00C62598">
            <w:pPr>
              <w:pStyle w:val="Tableformat"/>
              <w:numPr>
                <w:ilvl w:val="0"/>
                <w:numId w:val="4"/>
              </w:numPr>
              <w:spacing w:line="256" w:lineRule="auto"/>
              <w:rPr>
                <w:color w:val="0070C0"/>
                <w:lang w:val="en-AU"/>
              </w:rPr>
            </w:pPr>
            <w:r w:rsidRPr="009226E8">
              <w:rPr>
                <w:color w:val="0070C0"/>
                <w:lang w:val="en-AU"/>
              </w:rPr>
              <w:t>Prior to</w:t>
            </w:r>
            <w:r w:rsidR="006A31CE" w:rsidRPr="009226E8">
              <w:rPr>
                <w:color w:val="0070C0"/>
                <w:lang w:val="en-AU"/>
              </w:rPr>
              <w:t xml:space="preserve"> </w:t>
            </w:r>
            <w:r w:rsidR="00782785" w:rsidRPr="009226E8">
              <w:rPr>
                <w:color w:val="0070C0"/>
                <w:lang w:val="en-AU"/>
              </w:rPr>
              <w:t xml:space="preserve">committing </w:t>
            </w:r>
            <w:r w:rsidR="006A31CE" w:rsidRPr="009226E8">
              <w:rPr>
                <w:color w:val="0070C0"/>
                <w:lang w:val="en-AU"/>
              </w:rPr>
              <w:t>funding for project delivery</w:t>
            </w:r>
            <w:r w:rsidRPr="009226E8">
              <w:rPr>
                <w:color w:val="0070C0"/>
                <w:lang w:val="en-AU"/>
              </w:rPr>
              <w:t xml:space="preserve">, </w:t>
            </w:r>
            <w:r w:rsidR="009A29AE" w:rsidRPr="009226E8">
              <w:rPr>
                <w:color w:val="0070C0"/>
                <w:lang w:val="en-AU"/>
              </w:rPr>
              <w:t>P</w:t>
            </w:r>
            <w:r w:rsidRPr="009226E8">
              <w:rPr>
                <w:color w:val="0070C0"/>
                <w:lang w:val="en-AU"/>
              </w:rPr>
              <w:t>rojects will be assessed for confidence</w:t>
            </w:r>
            <w:r w:rsidR="00C60A28" w:rsidRPr="009226E8">
              <w:rPr>
                <w:color w:val="0070C0"/>
                <w:lang w:val="en-AU"/>
              </w:rPr>
              <w:t xml:space="preserve"> </w:t>
            </w:r>
            <w:r w:rsidRPr="009226E8">
              <w:rPr>
                <w:color w:val="0070C0"/>
                <w:lang w:val="en-AU"/>
              </w:rPr>
              <w:t>in proposed costings and delivery timeframes</w:t>
            </w:r>
            <w:r w:rsidR="00C60A28" w:rsidRPr="009226E8">
              <w:rPr>
                <w:color w:val="0070C0"/>
                <w:lang w:val="en-AU"/>
              </w:rPr>
              <w:t xml:space="preserve"> using </w:t>
            </w:r>
            <w:r w:rsidR="004B6879" w:rsidRPr="009226E8">
              <w:rPr>
                <w:color w:val="0070C0"/>
                <w:lang w:val="en-AU"/>
              </w:rPr>
              <w:t>the confidence</w:t>
            </w:r>
            <w:r w:rsidR="00C60A28" w:rsidRPr="009226E8">
              <w:rPr>
                <w:color w:val="0070C0"/>
                <w:lang w:val="en-AU"/>
              </w:rPr>
              <w:t xml:space="preserve"> index set out in the Notes on Administration</w:t>
            </w:r>
            <w:r w:rsidRPr="009226E8">
              <w:rPr>
                <w:color w:val="0070C0"/>
                <w:lang w:val="en-AU"/>
              </w:rPr>
              <w:t xml:space="preserve">. </w:t>
            </w:r>
          </w:p>
          <w:p w14:paraId="5B55B692" w14:textId="77777777" w:rsidR="00595BDC" w:rsidRPr="009226E8" w:rsidRDefault="00C945B2" w:rsidP="00C62598">
            <w:pPr>
              <w:pStyle w:val="Tableformat"/>
              <w:numPr>
                <w:ilvl w:val="0"/>
                <w:numId w:val="4"/>
              </w:numPr>
              <w:spacing w:line="256" w:lineRule="auto"/>
              <w:rPr>
                <w:color w:val="0070C0"/>
                <w:lang w:val="en-AU"/>
              </w:rPr>
            </w:pPr>
            <w:r w:rsidRPr="009226E8">
              <w:rPr>
                <w:color w:val="0070C0"/>
                <w:lang w:val="en-AU"/>
              </w:rPr>
              <w:t>As best as possible, f</w:t>
            </w:r>
            <w:r w:rsidR="00595BDC" w:rsidRPr="009226E8">
              <w:rPr>
                <w:color w:val="0070C0"/>
                <w:lang w:val="en-AU"/>
              </w:rPr>
              <w:t xml:space="preserve">unding for </w:t>
            </w:r>
            <w:r w:rsidR="006A31CE" w:rsidRPr="009226E8">
              <w:rPr>
                <w:color w:val="0070C0"/>
                <w:lang w:val="en-AU"/>
              </w:rPr>
              <w:t xml:space="preserve">project delivery </w:t>
            </w:r>
            <w:r w:rsidR="003277E2" w:rsidRPr="009226E8">
              <w:rPr>
                <w:color w:val="0070C0"/>
                <w:lang w:val="en-AU"/>
              </w:rPr>
              <w:t>should</w:t>
            </w:r>
            <w:r w:rsidR="00595BDC" w:rsidRPr="009226E8">
              <w:rPr>
                <w:color w:val="0070C0"/>
                <w:lang w:val="en-AU"/>
              </w:rPr>
              <w:t xml:space="preserve"> only be announced </w:t>
            </w:r>
            <w:r w:rsidR="003277E2" w:rsidRPr="009226E8">
              <w:rPr>
                <w:color w:val="0070C0"/>
                <w:lang w:val="en-AU"/>
              </w:rPr>
              <w:t xml:space="preserve">where there is sufficient confidence in the costings and </w:t>
            </w:r>
            <w:r w:rsidR="00EA246B" w:rsidRPr="009226E8">
              <w:rPr>
                <w:color w:val="0070C0"/>
                <w:lang w:val="en-AU"/>
              </w:rPr>
              <w:t xml:space="preserve">delivery </w:t>
            </w:r>
            <w:r w:rsidR="003277E2" w:rsidRPr="009226E8">
              <w:rPr>
                <w:color w:val="0070C0"/>
                <w:lang w:val="en-AU"/>
              </w:rPr>
              <w:t>schedule. In most circumstances</w:t>
            </w:r>
            <w:r w:rsidR="00CF5AED" w:rsidRPr="009226E8">
              <w:rPr>
                <w:color w:val="0070C0"/>
                <w:lang w:val="en-AU"/>
              </w:rPr>
              <w:t>,</w:t>
            </w:r>
            <w:r w:rsidR="003277E2" w:rsidRPr="009226E8">
              <w:rPr>
                <w:color w:val="0070C0"/>
                <w:lang w:val="en-AU"/>
              </w:rPr>
              <w:t xml:space="preserve"> this will be determined </w:t>
            </w:r>
            <w:r w:rsidR="00595BDC" w:rsidRPr="009226E8">
              <w:rPr>
                <w:color w:val="0070C0"/>
                <w:lang w:val="en-AU"/>
              </w:rPr>
              <w:t xml:space="preserve">once a business case has been completed and </w:t>
            </w:r>
            <w:r w:rsidR="00F31A20" w:rsidRPr="009226E8">
              <w:rPr>
                <w:color w:val="0070C0"/>
                <w:lang w:val="en-AU"/>
              </w:rPr>
              <w:lastRenderedPageBreak/>
              <w:t>considered</w:t>
            </w:r>
            <w:r w:rsidR="00595BDC" w:rsidRPr="009226E8">
              <w:rPr>
                <w:color w:val="0070C0"/>
                <w:lang w:val="en-AU"/>
              </w:rPr>
              <w:t xml:space="preserve"> by all relevant </w:t>
            </w:r>
            <w:r w:rsidR="00B90A8C" w:rsidRPr="009226E8">
              <w:rPr>
                <w:color w:val="0070C0"/>
                <w:lang w:val="en-AU"/>
              </w:rPr>
              <w:t>Parties</w:t>
            </w:r>
            <w:r w:rsidR="00F31A20" w:rsidRPr="009226E8">
              <w:rPr>
                <w:color w:val="0070C0"/>
                <w:lang w:val="en-AU"/>
              </w:rPr>
              <w:t xml:space="preserve">, including Infrastructure Australia as </w:t>
            </w:r>
            <w:r w:rsidRPr="009226E8">
              <w:rPr>
                <w:color w:val="0070C0"/>
                <w:lang w:val="en-AU"/>
              </w:rPr>
              <w:t>appropriat</w:t>
            </w:r>
            <w:r w:rsidR="00A20D6A" w:rsidRPr="009226E8">
              <w:rPr>
                <w:color w:val="0070C0"/>
                <w:lang w:val="en-AU"/>
              </w:rPr>
              <w:t>e</w:t>
            </w:r>
            <w:r w:rsidR="00595BDC" w:rsidRPr="009226E8">
              <w:rPr>
                <w:color w:val="0070C0"/>
                <w:lang w:val="en-AU"/>
              </w:rPr>
              <w:t xml:space="preserve">. </w:t>
            </w:r>
          </w:p>
          <w:p w14:paraId="5B55B693" w14:textId="77777777" w:rsidR="00595BDC" w:rsidRPr="009226E8" w:rsidRDefault="00595BDC" w:rsidP="00C62598">
            <w:pPr>
              <w:pStyle w:val="Tableformat"/>
              <w:numPr>
                <w:ilvl w:val="0"/>
                <w:numId w:val="4"/>
              </w:numPr>
              <w:spacing w:line="256" w:lineRule="auto"/>
              <w:rPr>
                <w:color w:val="0070C0"/>
                <w:lang w:val="en-AU"/>
              </w:rPr>
            </w:pPr>
            <w:r w:rsidRPr="009226E8">
              <w:rPr>
                <w:color w:val="0070C0"/>
                <w:lang w:val="en-AU"/>
              </w:rPr>
              <w:t xml:space="preserve">Unless otherwise agreed, </w:t>
            </w:r>
            <w:r w:rsidR="006A31CE" w:rsidRPr="009226E8">
              <w:rPr>
                <w:color w:val="0070C0"/>
                <w:lang w:val="en-AU"/>
              </w:rPr>
              <w:t>Inactive Projects</w:t>
            </w:r>
            <w:r w:rsidRPr="009226E8">
              <w:rPr>
                <w:color w:val="0070C0"/>
                <w:lang w:val="en-AU"/>
              </w:rPr>
              <w:t xml:space="preserve"> will be removed from </w:t>
            </w:r>
            <w:r w:rsidR="005F14FF" w:rsidRPr="009226E8">
              <w:rPr>
                <w:color w:val="0070C0"/>
                <w:lang w:val="en-AU"/>
              </w:rPr>
              <w:t>Tables at 2A to H</w:t>
            </w:r>
            <w:r w:rsidR="003277E2" w:rsidRPr="009226E8">
              <w:rPr>
                <w:color w:val="0070C0"/>
                <w:lang w:val="en-AU"/>
              </w:rPr>
              <w:t xml:space="preserve"> </w:t>
            </w:r>
            <w:r w:rsidR="00084D3F" w:rsidRPr="009226E8">
              <w:rPr>
                <w:color w:val="0070C0"/>
                <w:lang w:val="en-AU"/>
              </w:rPr>
              <w:t>and</w:t>
            </w:r>
            <w:r w:rsidR="003277E2" w:rsidRPr="009226E8">
              <w:rPr>
                <w:color w:val="0070C0"/>
                <w:lang w:val="en-AU"/>
              </w:rPr>
              <w:t xml:space="preserve"> funding </w:t>
            </w:r>
            <w:r w:rsidR="009A29AE" w:rsidRPr="009226E8">
              <w:rPr>
                <w:color w:val="0070C0"/>
                <w:lang w:val="en-AU"/>
              </w:rPr>
              <w:t>moved to State Unallocated</w:t>
            </w:r>
            <w:r w:rsidR="003277E2" w:rsidRPr="009226E8">
              <w:rPr>
                <w:color w:val="0070C0"/>
                <w:lang w:val="en-AU"/>
              </w:rPr>
              <w:t>.</w:t>
            </w:r>
            <w:r w:rsidRPr="009226E8">
              <w:rPr>
                <w:color w:val="0070C0"/>
                <w:lang w:val="en-AU"/>
              </w:rPr>
              <w:t xml:space="preserve"> </w:t>
            </w:r>
            <w:r w:rsidR="008F0C4E" w:rsidRPr="009226E8">
              <w:rPr>
                <w:color w:val="0070C0"/>
                <w:lang w:val="en-AU"/>
              </w:rPr>
              <w:t>The process will be set out in the Notes on Administration.</w:t>
            </w:r>
          </w:p>
          <w:p w14:paraId="5B55B694" w14:textId="77777777" w:rsidR="00E832F4" w:rsidRPr="009226E8" w:rsidRDefault="006A31CE" w:rsidP="001B3E11">
            <w:pPr>
              <w:pStyle w:val="Tableformat"/>
              <w:keepNext/>
              <w:spacing w:line="257" w:lineRule="auto"/>
              <w:rPr>
                <w:b/>
                <w:color w:val="0070C0"/>
                <w:u w:val="single"/>
                <w:lang w:val="en-AU"/>
              </w:rPr>
            </w:pPr>
            <w:r w:rsidRPr="009226E8">
              <w:rPr>
                <w:b/>
                <w:color w:val="0070C0"/>
                <w:u w:val="single"/>
                <w:lang w:val="en-AU"/>
              </w:rPr>
              <w:t xml:space="preserve">Investment </w:t>
            </w:r>
            <w:r w:rsidR="00E832F4" w:rsidRPr="009226E8">
              <w:rPr>
                <w:b/>
                <w:color w:val="0070C0"/>
                <w:u w:val="single"/>
                <w:lang w:val="en-AU"/>
              </w:rPr>
              <w:t>optimisation</w:t>
            </w:r>
          </w:p>
          <w:p w14:paraId="5B55B695" w14:textId="77777777" w:rsidR="00CF5AED" w:rsidRPr="009226E8" w:rsidRDefault="0003562D" w:rsidP="00C62598">
            <w:pPr>
              <w:pStyle w:val="Tableformat"/>
              <w:numPr>
                <w:ilvl w:val="0"/>
                <w:numId w:val="4"/>
              </w:numPr>
              <w:spacing w:line="256" w:lineRule="auto"/>
              <w:rPr>
                <w:color w:val="0070C0"/>
                <w:lang w:val="en-AU"/>
              </w:rPr>
            </w:pPr>
            <w:r w:rsidRPr="009226E8">
              <w:rPr>
                <w:color w:val="0070C0"/>
                <w:lang w:val="en-AU"/>
              </w:rPr>
              <w:t xml:space="preserve">The </w:t>
            </w:r>
            <w:r w:rsidR="00CF5AED" w:rsidRPr="009226E8">
              <w:rPr>
                <w:color w:val="0070C0"/>
                <w:lang w:val="en-AU"/>
              </w:rPr>
              <w:t xml:space="preserve">Parties </w:t>
            </w:r>
            <w:r w:rsidRPr="009226E8">
              <w:rPr>
                <w:color w:val="0070C0"/>
                <w:lang w:val="en-AU"/>
              </w:rPr>
              <w:t>recognise that</w:t>
            </w:r>
            <w:r w:rsidR="00CF5AED" w:rsidRPr="009226E8">
              <w:rPr>
                <w:color w:val="0070C0"/>
                <w:lang w:val="en-AU"/>
              </w:rPr>
              <w:t>:</w:t>
            </w:r>
          </w:p>
          <w:p w14:paraId="5B55B696" w14:textId="77777777" w:rsidR="00CF5AED" w:rsidRPr="009226E8" w:rsidRDefault="0003562D" w:rsidP="00CF5AED">
            <w:pPr>
              <w:pStyle w:val="Tableformat"/>
              <w:numPr>
                <w:ilvl w:val="1"/>
                <w:numId w:val="4"/>
              </w:numPr>
              <w:spacing w:line="256" w:lineRule="auto"/>
              <w:rPr>
                <w:color w:val="0070C0"/>
                <w:lang w:val="en-AU"/>
              </w:rPr>
            </w:pPr>
            <w:r w:rsidRPr="009226E8">
              <w:rPr>
                <w:color w:val="0070C0"/>
                <w:lang w:val="en-AU"/>
              </w:rPr>
              <w:t xml:space="preserve">their </w:t>
            </w:r>
            <w:r w:rsidR="001C616C" w:rsidRPr="009226E8">
              <w:rPr>
                <w:color w:val="0070C0"/>
                <w:lang w:val="en-AU"/>
              </w:rPr>
              <w:t>joint</w:t>
            </w:r>
            <w:r w:rsidRPr="009226E8">
              <w:rPr>
                <w:color w:val="0070C0"/>
                <w:lang w:val="en-AU"/>
              </w:rPr>
              <w:t xml:space="preserve"> investments have the potential to enable </w:t>
            </w:r>
            <w:r w:rsidR="006A50E6" w:rsidRPr="009226E8">
              <w:rPr>
                <w:color w:val="0070C0"/>
                <w:lang w:val="en-AU"/>
              </w:rPr>
              <w:t>wider</w:t>
            </w:r>
            <w:r w:rsidRPr="009226E8">
              <w:rPr>
                <w:color w:val="0070C0"/>
                <w:lang w:val="en-AU"/>
              </w:rPr>
              <w:t xml:space="preserve"> outcomes </w:t>
            </w:r>
            <w:r w:rsidR="001F7F17" w:rsidRPr="009226E8">
              <w:rPr>
                <w:color w:val="0070C0"/>
                <w:lang w:val="en-AU"/>
              </w:rPr>
              <w:t xml:space="preserve">through the </w:t>
            </w:r>
            <w:r w:rsidR="00EB2D98" w:rsidRPr="009226E8">
              <w:rPr>
                <w:color w:val="0070C0"/>
                <w:lang w:val="en-AU"/>
              </w:rPr>
              <w:t xml:space="preserve">delivery </w:t>
            </w:r>
            <w:r w:rsidR="001F7F17" w:rsidRPr="009226E8">
              <w:rPr>
                <w:color w:val="0070C0"/>
                <w:lang w:val="en-AU"/>
              </w:rPr>
              <w:t>phase</w:t>
            </w:r>
            <w:r w:rsidR="00CF5AED" w:rsidRPr="009226E8">
              <w:rPr>
                <w:color w:val="0070C0"/>
                <w:lang w:val="en-AU"/>
              </w:rPr>
              <w:t>;</w:t>
            </w:r>
            <w:r w:rsidR="004A748C" w:rsidRPr="009226E8">
              <w:rPr>
                <w:color w:val="0070C0"/>
                <w:lang w:val="en-AU"/>
              </w:rPr>
              <w:t xml:space="preserve"> </w:t>
            </w:r>
          </w:p>
          <w:p w14:paraId="5B55B697" w14:textId="77777777" w:rsidR="00C315FB" w:rsidRPr="009226E8" w:rsidRDefault="004A748C" w:rsidP="00CF5AED">
            <w:pPr>
              <w:pStyle w:val="Tableformat"/>
              <w:numPr>
                <w:ilvl w:val="1"/>
                <w:numId w:val="4"/>
              </w:numPr>
              <w:spacing w:line="256" w:lineRule="auto"/>
              <w:rPr>
                <w:color w:val="0070C0"/>
                <w:lang w:val="en-AU"/>
              </w:rPr>
            </w:pPr>
            <w:r w:rsidRPr="009226E8">
              <w:rPr>
                <w:color w:val="0070C0"/>
                <w:lang w:val="en-AU"/>
              </w:rPr>
              <w:t>innovative approaches to tendering are likely to be required to achieve wider outcomes</w:t>
            </w:r>
            <w:r w:rsidR="00C315FB" w:rsidRPr="009226E8">
              <w:rPr>
                <w:color w:val="0070C0"/>
                <w:lang w:val="en-AU"/>
              </w:rPr>
              <w:t>;</w:t>
            </w:r>
            <w:r w:rsidRPr="009226E8">
              <w:rPr>
                <w:color w:val="0070C0"/>
                <w:lang w:val="en-AU"/>
              </w:rPr>
              <w:t xml:space="preserve"> and </w:t>
            </w:r>
          </w:p>
          <w:p w14:paraId="5B55B698" w14:textId="77777777" w:rsidR="00894E8E" w:rsidRPr="009226E8" w:rsidRDefault="004A748C" w:rsidP="00BD609B">
            <w:pPr>
              <w:pStyle w:val="Tableformat"/>
              <w:numPr>
                <w:ilvl w:val="1"/>
                <w:numId w:val="4"/>
              </w:numPr>
              <w:spacing w:line="256" w:lineRule="auto"/>
              <w:rPr>
                <w:color w:val="0070C0"/>
                <w:lang w:val="en-AU"/>
              </w:rPr>
            </w:pPr>
            <w:r w:rsidRPr="009226E8">
              <w:rPr>
                <w:color w:val="0070C0"/>
                <w:lang w:val="en-AU"/>
              </w:rPr>
              <w:t xml:space="preserve">States will need to adopt a </w:t>
            </w:r>
            <w:r w:rsidR="00EE36F9" w:rsidRPr="009226E8">
              <w:rPr>
                <w:color w:val="0070C0"/>
                <w:lang w:val="en-AU"/>
              </w:rPr>
              <w:t>procurement framework that considers a</w:t>
            </w:r>
            <w:r w:rsidR="00EF4422" w:rsidRPr="009226E8">
              <w:rPr>
                <w:color w:val="0070C0"/>
                <w:lang w:val="en-AU"/>
              </w:rPr>
              <w:t xml:space="preserve"> broad range of </w:t>
            </w:r>
            <w:r w:rsidR="000A11FD" w:rsidRPr="009226E8">
              <w:rPr>
                <w:color w:val="0070C0"/>
                <w:lang w:val="en-AU"/>
              </w:rPr>
              <w:t>economic, social, and environmental benefits</w:t>
            </w:r>
            <w:r w:rsidR="00EE36F9" w:rsidRPr="009226E8">
              <w:rPr>
                <w:color w:val="0070C0"/>
                <w:lang w:val="en-AU"/>
              </w:rPr>
              <w:t xml:space="preserve"> when determining value for money</w:t>
            </w:r>
            <w:r w:rsidR="0096408C" w:rsidRPr="009226E8">
              <w:rPr>
                <w:color w:val="0070C0"/>
                <w:lang w:val="en-AU"/>
              </w:rPr>
              <w:t>.</w:t>
            </w:r>
            <w:r w:rsidR="00894E8E" w:rsidRPr="009226E8">
              <w:rPr>
                <w:color w:val="0070C0"/>
                <w:lang w:val="en-AU"/>
              </w:rPr>
              <w:t xml:space="preserve"> </w:t>
            </w:r>
          </w:p>
          <w:p w14:paraId="5B55B699" w14:textId="77777777" w:rsidR="00320441" w:rsidRPr="009226E8" w:rsidRDefault="00875D48" w:rsidP="00C62598">
            <w:pPr>
              <w:pStyle w:val="Tableformat"/>
              <w:numPr>
                <w:ilvl w:val="0"/>
                <w:numId w:val="4"/>
              </w:numPr>
              <w:spacing w:line="256" w:lineRule="auto"/>
              <w:rPr>
                <w:color w:val="0070C0"/>
                <w:lang w:val="en-AU"/>
              </w:rPr>
            </w:pPr>
            <w:r w:rsidRPr="009226E8">
              <w:rPr>
                <w:color w:val="0070C0"/>
                <w:lang w:val="en-AU"/>
              </w:rPr>
              <w:t xml:space="preserve">Consistent with Australia’s international obligations, </w:t>
            </w:r>
            <w:r w:rsidR="00320441" w:rsidRPr="009226E8">
              <w:rPr>
                <w:color w:val="0070C0"/>
                <w:lang w:val="en-AU"/>
              </w:rPr>
              <w:t xml:space="preserve">States will optimise their procurement practices to enable the wider outcomes listed </w:t>
            </w:r>
            <w:r w:rsidR="001F7F17" w:rsidRPr="009226E8">
              <w:rPr>
                <w:color w:val="0070C0"/>
                <w:lang w:val="en-AU"/>
              </w:rPr>
              <w:t xml:space="preserve">below </w:t>
            </w:r>
            <w:r w:rsidR="00320441" w:rsidRPr="009226E8">
              <w:rPr>
                <w:color w:val="0070C0"/>
                <w:lang w:val="en-AU"/>
              </w:rPr>
              <w:t>and deliver value for money, taking into account the opportunities and market capabilities in their respective jurisdictions</w:t>
            </w:r>
            <w:r w:rsidR="001F7F17" w:rsidRPr="009226E8">
              <w:rPr>
                <w:color w:val="0070C0"/>
                <w:lang w:val="en-AU"/>
              </w:rPr>
              <w:t>:</w:t>
            </w:r>
          </w:p>
          <w:p w14:paraId="5B55B69A" w14:textId="77777777" w:rsidR="00894E8E" w:rsidRPr="009226E8" w:rsidRDefault="00F44B38" w:rsidP="00C62598">
            <w:pPr>
              <w:pStyle w:val="Tableformat"/>
              <w:numPr>
                <w:ilvl w:val="1"/>
                <w:numId w:val="4"/>
              </w:numPr>
              <w:spacing w:line="256" w:lineRule="auto"/>
              <w:rPr>
                <w:color w:val="0070C0"/>
                <w:lang w:val="en-AU"/>
              </w:rPr>
            </w:pPr>
            <w:r w:rsidRPr="009226E8">
              <w:rPr>
                <w:color w:val="0070C0"/>
                <w:lang w:val="en-AU"/>
              </w:rPr>
              <w:t>An uplift in socioe</w:t>
            </w:r>
            <w:r w:rsidR="00894E8E" w:rsidRPr="009226E8">
              <w:rPr>
                <w:color w:val="0070C0"/>
                <w:lang w:val="en-AU"/>
              </w:rPr>
              <w:t>conomic outcomes for First Nations people and businesses and First Nations cultural heritage protection, in line with Closing the Gap</w:t>
            </w:r>
            <w:r w:rsidR="00A34168" w:rsidRPr="009226E8">
              <w:rPr>
                <w:color w:val="0070C0"/>
                <w:lang w:val="en-AU"/>
              </w:rPr>
              <w:t xml:space="preserve"> and consistent with the revised First Nations policy framework to be developed</w:t>
            </w:r>
            <w:r w:rsidR="00DE3393" w:rsidRPr="009226E8">
              <w:rPr>
                <w:color w:val="0070C0"/>
                <w:lang w:val="en-AU"/>
              </w:rPr>
              <w:t xml:space="preserve"> and agreed by all jurisdictions by the end of 2024</w:t>
            </w:r>
            <w:r w:rsidR="00894E8E" w:rsidRPr="009226E8">
              <w:rPr>
                <w:color w:val="0070C0"/>
                <w:lang w:val="en-AU"/>
              </w:rPr>
              <w:t>.</w:t>
            </w:r>
          </w:p>
          <w:p w14:paraId="5B55B69B" w14:textId="77777777" w:rsidR="00894E8E" w:rsidRPr="009226E8" w:rsidRDefault="00894E8E" w:rsidP="00C62598">
            <w:pPr>
              <w:pStyle w:val="Tableformat"/>
              <w:numPr>
                <w:ilvl w:val="1"/>
                <w:numId w:val="4"/>
              </w:numPr>
              <w:spacing w:line="256" w:lineRule="auto"/>
              <w:rPr>
                <w:color w:val="0070C0"/>
                <w:lang w:val="en-AU"/>
              </w:rPr>
            </w:pPr>
            <w:r w:rsidRPr="009226E8">
              <w:rPr>
                <w:color w:val="0070C0"/>
                <w:lang w:val="en-AU"/>
              </w:rPr>
              <w:t>A reduction in embodied carbon in transport infrastructure in line with Australia's Net Zero commitments.</w:t>
            </w:r>
          </w:p>
          <w:p w14:paraId="5B55B69C" w14:textId="77777777" w:rsidR="00894E8E" w:rsidRPr="009226E8" w:rsidRDefault="00894E8E" w:rsidP="00C62598">
            <w:pPr>
              <w:pStyle w:val="Tableformat"/>
              <w:numPr>
                <w:ilvl w:val="1"/>
                <w:numId w:val="4"/>
              </w:numPr>
              <w:spacing w:line="256" w:lineRule="auto"/>
              <w:rPr>
                <w:color w:val="0070C0"/>
                <w:lang w:val="en-AU"/>
              </w:rPr>
            </w:pPr>
            <w:r w:rsidRPr="009226E8">
              <w:rPr>
                <w:color w:val="0070C0"/>
                <w:lang w:val="en-AU"/>
              </w:rPr>
              <w:t>An increase in women's participation at all levels of the construction industry.</w:t>
            </w:r>
          </w:p>
          <w:p w14:paraId="5B55B69D" w14:textId="77777777" w:rsidR="00894E8E" w:rsidRPr="009226E8" w:rsidRDefault="00F44B38" w:rsidP="00C62598">
            <w:pPr>
              <w:pStyle w:val="Tableformat"/>
              <w:numPr>
                <w:ilvl w:val="1"/>
                <w:numId w:val="4"/>
              </w:numPr>
              <w:spacing w:line="256" w:lineRule="auto"/>
              <w:rPr>
                <w:color w:val="0070C0"/>
                <w:lang w:val="en-AU"/>
              </w:rPr>
            </w:pPr>
            <w:r w:rsidRPr="009226E8">
              <w:rPr>
                <w:color w:val="0070C0"/>
                <w:lang w:val="en-AU"/>
              </w:rPr>
              <w:t>Optimis</w:t>
            </w:r>
            <w:r w:rsidR="0003562D" w:rsidRPr="009226E8">
              <w:rPr>
                <w:color w:val="0070C0"/>
                <w:lang w:val="en-AU"/>
              </w:rPr>
              <w:t>ing</w:t>
            </w:r>
            <w:r w:rsidRPr="009226E8">
              <w:rPr>
                <w:color w:val="0070C0"/>
                <w:lang w:val="en-AU"/>
              </w:rPr>
              <w:t xml:space="preserve"> r</w:t>
            </w:r>
            <w:r w:rsidR="00894E8E" w:rsidRPr="009226E8">
              <w:rPr>
                <w:color w:val="0070C0"/>
                <w:lang w:val="en-AU"/>
              </w:rPr>
              <w:t>ecycled content in transport infrastructure to support Australia's transition to a circular economy by 2030.</w:t>
            </w:r>
          </w:p>
          <w:p w14:paraId="5B55B69E" w14:textId="77777777" w:rsidR="00894E8E" w:rsidRPr="009226E8" w:rsidRDefault="00875D48" w:rsidP="00C62598">
            <w:pPr>
              <w:pStyle w:val="Tableformat"/>
              <w:numPr>
                <w:ilvl w:val="1"/>
                <w:numId w:val="4"/>
              </w:numPr>
              <w:spacing w:line="256" w:lineRule="auto"/>
              <w:rPr>
                <w:color w:val="0070C0"/>
                <w:lang w:val="en-AU"/>
              </w:rPr>
            </w:pPr>
            <w:r w:rsidRPr="009226E8">
              <w:rPr>
                <w:color w:val="0070C0"/>
                <w:lang w:val="en-AU"/>
              </w:rPr>
              <w:t xml:space="preserve">Supporting </w:t>
            </w:r>
            <w:r w:rsidR="00F44B38" w:rsidRPr="009226E8">
              <w:rPr>
                <w:color w:val="0070C0"/>
                <w:lang w:val="en-AU"/>
              </w:rPr>
              <w:t>o</w:t>
            </w:r>
            <w:r w:rsidR="00894E8E" w:rsidRPr="009226E8">
              <w:rPr>
                <w:color w:val="0070C0"/>
                <w:lang w:val="en-AU"/>
              </w:rPr>
              <w:t xml:space="preserve">pportunities for Australian </w:t>
            </w:r>
            <w:r w:rsidR="00F31A20" w:rsidRPr="009226E8">
              <w:rPr>
                <w:color w:val="0070C0"/>
                <w:lang w:val="en-AU"/>
              </w:rPr>
              <w:t xml:space="preserve">and local </w:t>
            </w:r>
            <w:r w:rsidR="00894E8E" w:rsidRPr="009226E8">
              <w:rPr>
                <w:color w:val="0070C0"/>
                <w:lang w:val="en-AU"/>
              </w:rPr>
              <w:t>businesses</w:t>
            </w:r>
            <w:r w:rsidR="00F44B38" w:rsidRPr="009226E8">
              <w:rPr>
                <w:color w:val="0070C0"/>
                <w:lang w:val="en-AU"/>
              </w:rPr>
              <w:t xml:space="preserve"> and industr</w:t>
            </w:r>
            <w:r w:rsidR="00E51DA3" w:rsidRPr="009226E8">
              <w:rPr>
                <w:color w:val="0070C0"/>
                <w:lang w:val="en-AU"/>
              </w:rPr>
              <w:t>y</w:t>
            </w:r>
            <w:r w:rsidR="00894E8E" w:rsidRPr="009226E8">
              <w:rPr>
                <w:color w:val="0070C0"/>
                <w:lang w:val="en-AU"/>
              </w:rPr>
              <w:t>.</w:t>
            </w:r>
            <w:r w:rsidRPr="009226E8">
              <w:rPr>
                <w:color w:val="0070C0"/>
                <w:lang w:val="en-AU"/>
              </w:rPr>
              <w:t xml:space="preserve"> </w:t>
            </w:r>
          </w:p>
          <w:p w14:paraId="5B55B69F" w14:textId="77777777" w:rsidR="00894E8E" w:rsidRPr="009226E8" w:rsidRDefault="00E51DA3" w:rsidP="00C62598">
            <w:pPr>
              <w:pStyle w:val="Tableformat"/>
              <w:numPr>
                <w:ilvl w:val="1"/>
                <w:numId w:val="4"/>
              </w:numPr>
              <w:spacing w:line="256" w:lineRule="auto"/>
              <w:rPr>
                <w:color w:val="0070C0"/>
                <w:lang w:val="en-AU"/>
              </w:rPr>
            </w:pPr>
            <w:r w:rsidRPr="009226E8">
              <w:rPr>
                <w:color w:val="0070C0"/>
                <w:lang w:val="en-AU"/>
              </w:rPr>
              <w:t>Optimis</w:t>
            </w:r>
            <w:r w:rsidR="0003562D" w:rsidRPr="009226E8">
              <w:rPr>
                <w:color w:val="0070C0"/>
                <w:lang w:val="en-AU"/>
              </w:rPr>
              <w:t>ing</w:t>
            </w:r>
            <w:r w:rsidRPr="009226E8">
              <w:rPr>
                <w:color w:val="0070C0"/>
                <w:lang w:val="en-AU"/>
              </w:rPr>
              <w:t xml:space="preserve"> opportunities for trainees and apprentices</w:t>
            </w:r>
            <w:r w:rsidR="00C52CBC" w:rsidRPr="009226E8">
              <w:rPr>
                <w:color w:val="0070C0"/>
                <w:lang w:val="en-AU"/>
              </w:rPr>
              <w:t>, including Australian Skills Guarantee targets,</w:t>
            </w:r>
            <w:r w:rsidRPr="009226E8">
              <w:rPr>
                <w:color w:val="0070C0"/>
                <w:lang w:val="en-AU"/>
              </w:rPr>
              <w:t xml:space="preserve"> to ensure a</w:t>
            </w:r>
            <w:r w:rsidR="00894E8E" w:rsidRPr="009226E8">
              <w:rPr>
                <w:color w:val="0070C0"/>
                <w:lang w:val="en-AU"/>
              </w:rPr>
              <w:t xml:space="preserve"> pipeline of skilled workers.</w:t>
            </w:r>
          </w:p>
          <w:p w14:paraId="5B55B6A0" w14:textId="77777777" w:rsidR="00535F81" w:rsidRPr="009226E8" w:rsidRDefault="00535F81" w:rsidP="00C62598">
            <w:pPr>
              <w:pStyle w:val="Tableformat"/>
              <w:numPr>
                <w:ilvl w:val="1"/>
                <w:numId w:val="4"/>
              </w:numPr>
              <w:spacing w:line="256" w:lineRule="auto"/>
              <w:rPr>
                <w:color w:val="0070C0"/>
                <w:lang w:val="en-AU"/>
              </w:rPr>
            </w:pPr>
            <w:r w:rsidRPr="009226E8">
              <w:rPr>
                <w:color w:val="0070C0"/>
                <w:lang w:val="en-AU"/>
              </w:rPr>
              <w:lastRenderedPageBreak/>
              <w:t>Optimising opportunities to enhance construction sector culture and participation, including flexibility, wellbeing and diversity.</w:t>
            </w:r>
          </w:p>
          <w:p w14:paraId="5B55B6A1" w14:textId="77777777" w:rsidR="00E832F4" w:rsidRPr="009226E8" w:rsidRDefault="000C3B3F" w:rsidP="00743199">
            <w:pPr>
              <w:pStyle w:val="Tableformat"/>
              <w:keepNext/>
              <w:spacing w:line="257" w:lineRule="auto"/>
              <w:rPr>
                <w:b/>
                <w:color w:val="0070C0"/>
                <w:u w:val="single"/>
                <w:lang w:val="en-AU"/>
              </w:rPr>
            </w:pPr>
            <w:r w:rsidRPr="009226E8">
              <w:rPr>
                <w:b/>
                <w:color w:val="0070C0"/>
                <w:u w:val="single"/>
                <w:lang w:val="en-AU"/>
              </w:rPr>
              <w:t>Performance indicators and reporting</w:t>
            </w:r>
          </w:p>
          <w:p w14:paraId="5B55B6A2" w14:textId="77777777" w:rsidR="004254A2" w:rsidRPr="009226E8" w:rsidRDefault="005B3338" w:rsidP="00C62598">
            <w:pPr>
              <w:pStyle w:val="Tableformat"/>
              <w:numPr>
                <w:ilvl w:val="0"/>
                <w:numId w:val="4"/>
              </w:numPr>
              <w:spacing w:line="256" w:lineRule="auto"/>
              <w:rPr>
                <w:color w:val="0070C0"/>
                <w:lang w:val="en-AU"/>
              </w:rPr>
            </w:pPr>
            <w:r w:rsidRPr="009226E8">
              <w:rPr>
                <w:color w:val="0070C0"/>
                <w:lang w:val="en-AU"/>
              </w:rPr>
              <w:t xml:space="preserve">The objectives and outcomes of this </w:t>
            </w:r>
            <w:r w:rsidR="00C97515" w:rsidRPr="009226E8">
              <w:rPr>
                <w:color w:val="0070C0"/>
                <w:lang w:val="en-AU"/>
              </w:rPr>
              <w:t>Schedule</w:t>
            </w:r>
            <w:r w:rsidRPr="009226E8">
              <w:rPr>
                <w:color w:val="0070C0"/>
                <w:lang w:val="en-AU"/>
              </w:rPr>
              <w:t xml:space="preserve"> will be achieved through the delivery of the agreed Projects in Tables 2A to H. </w:t>
            </w:r>
          </w:p>
          <w:p w14:paraId="5B55B6A3" w14:textId="77777777" w:rsidR="005B3338" w:rsidRPr="009226E8" w:rsidRDefault="00535F81" w:rsidP="00C62598">
            <w:pPr>
              <w:pStyle w:val="Tableformat"/>
              <w:numPr>
                <w:ilvl w:val="0"/>
                <w:numId w:val="4"/>
              </w:numPr>
              <w:spacing w:line="256" w:lineRule="auto"/>
              <w:rPr>
                <w:color w:val="0070C0"/>
                <w:lang w:val="en-AU"/>
              </w:rPr>
            </w:pPr>
            <w:r w:rsidRPr="009226E8">
              <w:rPr>
                <w:color w:val="0070C0"/>
                <w:lang w:val="en-AU"/>
              </w:rPr>
              <w:t xml:space="preserve">Outcomes will be evaluated with reference to performance indicators agreed in writing by the parties. </w:t>
            </w:r>
            <w:r w:rsidR="00C97515" w:rsidRPr="009226E8">
              <w:rPr>
                <w:color w:val="0070C0"/>
                <w:lang w:val="en-AU"/>
              </w:rPr>
              <w:t xml:space="preserve">Key Performance </w:t>
            </w:r>
            <w:r w:rsidR="005B3338" w:rsidRPr="009226E8">
              <w:rPr>
                <w:color w:val="0070C0"/>
                <w:lang w:val="en-AU"/>
              </w:rPr>
              <w:t xml:space="preserve">Indicators </w:t>
            </w:r>
            <w:r w:rsidR="009F0D48" w:rsidRPr="009226E8">
              <w:rPr>
                <w:color w:val="0070C0"/>
                <w:lang w:val="en-AU"/>
              </w:rPr>
              <w:t xml:space="preserve">enabling the assessment </w:t>
            </w:r>
            <w:r w:rsidR="005B3338" w:rsidRPr="009226E8">
              <w:rPr>
                <w:color w:val="0070C0"/>
                <w:lang w:val="en-AU"/>
              </w:rPr>
              <w:t>of outcomes</w:t>
            </w:r>
            <w:r w:rsidR="002E60FF" w:rsidRPr="009226E8">
              <w:rPr>
                <w:color w:val="0070C0"/>
                <w:lang w:val="en-AU"/>
              </w:rPr>
              <w:t xml:space="preserve"> </w:t>
            </w:r>
            <w:r w:rsidR="009F0D48" w:rsidRPr="009226E8">
              <w:rPr>
                <w:color w:val="0070C0"/>
                <w:lang w:val="en-AU"/>
              </w:rPr>
              <w:t xml:space="preserve">achieved will </w:t>
            </w:r>
            <w:r w:rsidR="005B3338" w:rsidRPr="009226E8">
              <w:rPr>
                <w:color w:val="0070C0"/>
                <w:lang w:val="en-AU"/>
              </w:rPr>
              <w:t>include</w:t>
            </w:r>
            <w:r w:rsidR="009F0D48" w:rsidRPr="009226E8">
              <w:rPr>
                <w:color w:val="0070C0"/>
                <w:lang w:val="en-AU"/>
              </w:rPr>
              <w:t xml:space="preserve"> reporting against indicators of productivity and resilience, liveability and sustainability, with a focus on the National Land Transport Network.</w:t>
            </w:r>
          </w:p>
          <w:p w14:paraId="5B55B6A4" w14:textId="77777777" w:rsidR="009374D8" w:rsidRPr="009226E8" w:rsidRDefault="009374D8" w:rsidP="00C62598">
            <w:pPr>
              <w:pStyle w:val="Tableformat"/>
              <w:numPr>
                <w:ilvl w:val="0"/>
                <w:numId w:val="4"/>
              </w:numPr>
              <w:spacing w:line="256" w:lineRule="auto"/>
              <w:rPr>
                <w:color w:val="0070C0"/>
                <w:lang w:val="en-AU"/>
              </w:rPr>
            </w:pPr>
            <w:r w:rsidRPr="009226E8">
              <w:rPr>
                <w:color w:val="0070C0"/>
                <w:lang w:val="en-AU"/>
              </w:rPr>
              <w:t xml:space="preserve">All Parties commit to a process of continuous improvement in relation to the setting of outcomes-based performance indicators and reporting. An initial set of indicators </w:t>
            </w:r>
            <w:r w:rsidR="00535F81" w:rsidRPr="009226E8">
              <w:rPr>
                <w:color w:val="0070C0"/>
                <w:lang w:val="en-AU"/>
              </w:rPr>
              <w:t>will be</w:t>
            </w:r>
            <w:r w:rsidRPr="009226E8">
              <w:rPr>
                <w:color w:val="0070C0"/>
                <w:lang w:val="en-AU"/>
              </w:rPr>
              <w:t xml:space="preserve"> developed </w:t>
            </w:r>
            <w:r w:rsidR="00EA19F3" w:rsidRPr="009226E8">
              <w:rPr>
                <w:color w:val="0070C0"/>
                <w:lang w:val="en-AU"/>
              </w:rPr>
              <w:t>for year</w:t>
            </w:r>
            <w:r w:rsidR="00024E36" w:rsidRPr="009226E8">
              <w:rPr>
                <w:color w:val="0070C0"/>
                <w:lang w:val="en-AU"/>
              </w:rPr>
              <w:t>-</w:t>
            </w:r>
            <w:r w:rsidR="00EA19F3" w:rsidRPr="009226E8">
              <w:rPr>
                <w:color w:val="0070C0"/>
                <w:lang w:val="en-AU"/>
              </w:rPr>
              <w:t xml:space="preserve">one of </w:t>
            </w:r>
            <w:r w:rsidR="00F009CE" w:rsidRPr="009226E8">
              <w:rPr>
                <w:color w:val="0070C0"/>
                <w:lang w:val="en-AU"/>
              </w:rPr>
              <w:t xml:space="preserve">this Schedule’s </w:t>
            </w:r>
            <w:r w:rsidR="00EA19F3" w:rsidRPr="009226E8">
              <w:rPr>
                <w:color w:val="0070C0"/>
                <w:lang w:val="en-AU"/>
              </w:rPr>
              <w:t xml:space="preserve">operation </w:t>
            </w:r>
            <w:r w:rsidRPr="009226E8">
              <w:rPr>
                <w:color w:val="0070C0"/>
                <w:lang w:val="en-AU"/>
              </w:rPr>
              <w:t xml:space="preserve">based on data </w:t>
            </w:r>
            <w:r w:rsidR="00EA19F3" w:rsidRPr="009226E8">
              <w:rPr>
                <w:color w:val="0070C0"/>
                <w:lang w:val="en-AU"/>
              </w:rPr>
              <w:t xml:space="preserve">that </w:t>
            </w:r>
            <w:r w:rsidRPr="009226E8">
              <w:rPr>
                <w:color w:val="0070C0"/>
                <w:lang w:val="en-AU"/>
              </w:rPr>
              <w:t xml:space="preserve">is currently </w:t>
            </w:r>
            <w:r w:rsidR="00024E36" w:rsidRPr="009226E8">
              <w:rPr>
                <w:color w:val="0070C0"/>
                <w:lang w:val="en-AU"/>
              </w:rPr>
              <w:t>available</w:t>
            </w:r>
            <w:r w:rsidRPr="009226E8">
              <w:rPr>
                <w:color w:val="0070C0"/>
                <w:lang w:val="en-AU"/>
              </w:rPr>
              <w:t>. It is expected that these initial indicators will be reviewed</w:t>
            </w:r>
            <w:r w:rsidR="00024E36" w:rsidRPr="009226E8">
              <w:rPr>
                <w:color w:val="0070C0"/>
                <w:lang w:val="en-AU"/>
              </w:rPr>
              <w:t xml:space="preserve"> and</w:t>
            </w:r>
            <w:r w:rsidRPr="009226E8">
              <w:rPr>
                <w:color w:val="0070C0"/>
                <w:lang w:val="en-AU"/>
              </w:rPr>
              <w:t xml:space="preserve"> </w:t>
            </w:r>
            <w:r w:rsidR="00024E36" w:rsidRPr="009226E8">
              <w:rPr>
                <w:color w:val="0070C0"/>
                <w:lang w:val="en-AU"/>
              </w:rPr>
              <w:t xml:space="preserve">updated </w:t>
            </w:r>
            <w:r w:rsidRPr="009226E8">
              <w:rPr>
                <w:color w:val="0070C0"/>
                <w:lang w:val="en-AU"/>
              </w:rPr>
              <w:t>for subsequent years in line with Term 2</w:t>
            </w:r>
            <w:r w:rsidR="0075535B" w:rsidRPr="009226E8">
              <w:rPr>
                <w:color w:val="0070C0"/>
                <w:lang w:val="en-AU"/>
              </w:rPr>
              <w:t>4</w:t>
            </w:r>
            <w:r w:rsidR="00EA19F3" w:rsidRPr="009226E8">
              <w:rPr>
                <w:color w:val="0070C0"/>
                <w:lang w:val="en-AU"/>
              </w:rPr>
              <w:t xml:space="preserve">, </w:t>
            </w:r>
            <w:r w:rsidR="00024E36" w:rsidRPr="009226E8">
              <w:rPr>
                <w:color w:val="0070C0"/>
                <w:lang w:val="en-AU"/>
              </w:rPr>
              <w:t>reflecting the Parties ongoing effort to improve</w:t>
            </w:r>
            <w:r w:rsidR="00D762C3" w:rsidRPr="009226E8">
              <w:rPr>
                <w:color w:val="0070C0"/>
                <w:lang w:val="en-AU"/>
              </w:rPr>
              <w:t xml:space="preserve"> reporting on outcomes</w:t>
            </w:r>
            <w:r w:rsidRPr="009226E8">
              <w:rPr>
                <w:color w:val="0070C0"/>
                <w:lang w:val="en-AU"/>
              </w:rPr>
              <w:t>.</w:t>
            </w:r>
            <w:r w:rsidR="00D762C3" w:rsidRPr="009226E8">
              <w:rPr>
                <w:color w:val="0070C0"/>
                <w:lang w:val="en-AU"/>
              </w:rPr>
              <w:t xml:space="preserve"> </w:t>
            </w:r>
            <w:r w:rsidR="00F009CE" w:rsidRPr="009226E8">
              <w:rPr>
                <w:color w:val="0070C0"/>
                <w:lang w:val="en-AU"/>
              </w:rPr>
              <w:t>I</w:t>
            </w:r>
            <w:r w:rsidR="00D762C3" w:rsidRPr="009226E8">
              <w:rPr>
                <w:color w:val="0070C0"/>
                <w:lang w:val="en-AU"/>
              </w:rPr>
              <w:t xml:space="preserve">nitial indicators </w:t>
            </w:r>
            <w:r w:rsidR="000074BE" w:rsidRPr="009226E8">
              <w:rPr>
                <w:color w:val="0070C0"/>
                <w:lang w:val="en-AU"/>
              </w:rPr>
              <w:t>would</w:t>
            </w:r>
            <w:r w:rsidR="00F009CE" w:rsidRPr="009226E8">
              <w:rPr>
                <w:color w:val="0070C0"/>
                <w:lang w:val="en-AU"/>
              </w:rPr>
              <w:t xml:space="preserve"> include measures relating to the performance of the National Land Transport Network</w:t>
            </w:r>
            <w:r w:rsidR="00DA252B" w:rsidRPr="009226E8">
              <w:rPr>
                <w:color w:val="0070C0"/>
                <w:lang w:val="en-AU"/>
              </w:rPr>
              <w:t>,</w:t>
            </w:r>
            <w:r w:rsidR="00F009CE" w:rsidRPr="009226E8">
              <w:rPr>
                <w:color w:val="0070C0"/>
                <w:lang w:val="en-AU"/>
              </w:rPr>
              <w:t xml:space="preserve"> such as</w:t>
            </w:r>
            <w:r w:rsidR="00D762C3" w:rsidRPr="009226E8">
              <w:rPr>
                <w:color w:val="0070C0"/>
                <w:lang w:val="en-AU"/>
              </w:rPr>
              <w:t>:</w:t>
            </w:r>
          </w:p>
          <w:p w14:paraId="5B55B6A5" w14:textId="77777777" w:rsidR="00F009CE" w:rsidRPr="009226E8" w:rsidRDefault="00F009CE" w:rsidP="00161447">
            <w:pPr>
              <w:pStyle w:val="Tableformat"/>
              <w:numPr>
                <w:ilvl w:val="1"/>
                <w:numId w:val="4"/>
              </w:numPr>
              <w:spacing w:line="256" w:lineRule="auto"/>
              <w:rPr>
                <w:color w:val="0070C0"/>
                <w:lang w:val="en-AU"/>
              </w:rPr>
            </w:pPr>
            <w:r w:rsidRPr="009226E8">
              <w:rPr>
                <w:color w:val="0070C0"/>
                <w:lang w:val="en-AU"/>
              </w:rPr>
              <w:t>average speed of the network;</w:t>
            </w:r>
            <w:r w:rsidR="00642CC8" w:rsidRPr="009226E8">
              <w:rPr>
                <w:color w:val="0070C0"/>
                <w:lang w:val="en-AU"/>
              </w:rPr>
              <w:t xml:space="preserve"> and</w:t>
            </w:r>
          </w:p>
          <w:p w14:paraId="5B55B6A6" w14:textId="77777777" w:rsidR="00F009CE" w:rsidRPr="009226E8" w:rsidRDefault="00F009CE" w:rsidP="00161447">
            <w:pPr>
              <w:pStyle w:val="Tableformat"/>
              <w:numPr>
                <w:ilvl w:val="1"/>
                <w:numId w:val="4"/>
              </w:numPr>
              <w:spacing w:line="256" w:lineRule="auto"/>
              <w:rPr>
                <w:color w:val="0070C0"/>
                <w:lang w:val="en-AU"/>
              </w:rPr>
            </w:pPr>
            <w:r w:rsidRPr="009226E8">
              <w:rPr>
                <w:color w:val="0070C0"/>
                <w:lang w:val="en-AU"/>
              </w:rPr>
              <w:t>unplanned closures; and</w:t>
            </w:r>
          </w:p>
          <w:p w14:paraId="5B55B6A7" w14:textId="77777777" w:rsidR="0015602B" w:rsidRPr="009226E8" w:rsidRDefault="00F009CE" w:rsidP="00161447">
            <w:pPr>
              <w:pStyle w:val="Tableformat"/>
              <w:numPr>
                <w:ilvl w:val="1"/>
                <w:numId w:val="4"/>
              </w:numPr>
              <w:spacing w:line="256" w:lineRule="auto"/>
              <w:rPr>
                <w:color w:val="0070C0"/>
                <w:lang w:val="en-AU"/>
              </w:rPr>
            </w:pPr>
            <w:r w:rsidRPr="009226E8">
              <w:rPr>
                <w:color w:val="0070C0"/>
                <w:lang w:val="en-AU"/>
              </w:rPr>
              <w:t>road and rail fatalities</w:t>
            </w:r>
            <w:r w:rsidR="00D762C3" w:rsidRPr="009226E8">
              <w:rPr>
                <w:color w:val="0070C0"/>
                <w:lang w:val="en-AU"/>
              </w:rPr>
              <w:t>.</w:t>
            </w:r>
          </w:p>
          <w:p w14:paraId="5B55B6A8" w14:textId="77777777" w:rsidR="00D54FBF" w:rsidRPr="009226E8" w:rsidRDefault="00D54FBF" w:rsidP="00161447">
            <w:pPr>
              <w:pStyle w:val="Tableformat"/>
              <w:numPr>
                <w:ilvl w:val="0"/>
                <w:numId w:val="4"/>
              </w:numPr>
              <w:spacing w:line="256" w:lineRule="auto"/>
              <w:rPr>
                <w:color w:val="0070C0"/>
                <w:lang w:val="en-AU"/>
              </w:rPr>
            </w:pPr>
            <w:r w:rsidRPr="009226E8">
              <w:rPr>
                <w:color w:val="0070C0"/>
                <w:lang w:val="en-AU"/>
              </w:rPr>
              <w:t xml:space="preserve">The Commonwealth, in consultation with States, will conduct at least two reviews of the </w:t>
            </w:r>
            <w:r w:rsidR="00071880" w:rsidRPr="009226E8">
              <w:rPr>
                <w:color w:val="0070C0"/>
                <w:lang w:val="en-AU"/>
              </w:rPr>
              <w:t>Key P</w:t>
            </w:r>
            <w:r w:rsidRPr="009226E8">
              <w:rPr>
                <w:color w:val="0070C0"/>
                <w:lang w:val="en-AU"/>
              </w:rPr>
              <w:t xml:space="preserve">erformance </w:t>
            </w:r>
            <w:r w:rsidR="00071880" w:rsidRPr="009226E8">
              <w:rPr>
                <w:color w:val="0070C0"/>
                <w:lang w:val="en-AU"/>
              </w:rPr>
              <w:t>I</w:t>
            </w:r>
            <w:r w:rsidRPr="009226E8">
              <w:rPr>
                <w:color w:val="0070C0"/>
                <w:lang w:val="en-AU"/>
              </w:rPr>
              <w:t xml:space="preserve">ndicators </w:t>
            </w:r>
            <w:r w:rsidR="00071880" w:rsidRPr="009226E8">
              <w:rPr>
                <w:color w:val="0070C0"/>
                <w:lang w:val="en-AU"/>
              </w:rPr>
              <w:t>for this Schedule</w:t>
            </w:r>
            <w:r w:rsidRPr="009226E8">
              <w:rPr>
                <w:color w:val="0070C0"/>
                <w:lang w:val="en-AU"/>
              </w:rPr>
              <w:t xml:space="preserve">, including the bilateral performance indicators set out in Tables 3A to H. The first review will be undertaken </w:t>
            </w:r>
            <w:r w:rsidR="000A444E" w:rsidRPr="009226E8">
              <w:rPr>
                <w:color w:val="0070C0"/>
                <w:lang w:val="en-AU"/>
              </w:rPr>
              <w:t xml:space="preserve">approximately </w:t>
            </w:r>
            <w:r w:rsidRPr="009226E8">
              <w:rPr>
                <w:color w:val="0070C0"/>
                <w:lang w:val="en-AU"/>
              </w:rPr>
              <w:t xml:space="preserve">12 months after this Schedule commences and a further review will be undertaken </w:t>
            </w:r>
            <w:r w:rsidR="00C34143" w:rsidRPr="009226E8">
              <w:rPr>
                <w:color w:val="0070C0"/>
                <w:lang w:val="en-AU"/>
              </w:rPr>
              <w:t xml:space="preserve">around </w:t>
            </w:r>
            <w:r w:rsidRPr="009226E8">
              <w:rPr>
                <w:color w:val="0070C0"/>
                <w:lang w:val="en-AU"/>
              </w:rPr>
              <w:t>3 years after this Schedule commences. The reviews will ensure the performance indicators remain fit-for-purpose and support evaluation and monitoring of the outcomes of this Schedule.</w:t>
            </w:r>
          </w:p>
          <w:p w14:paraId="5B55B6A9" w14:textId="77777777" w:rsidR="002C55E6" w:rsidRPr="009226E8" w:rsidRDefault="002C55E6" w:rsidP="00161447">
            <w:pPr>
              <w:pStyle w:val="Tableformat"/>
              <w:numPr>
                <w:ilvl w:val="0"/>
                <w:numId w:val="4"/>
              </w:numPr>
              <w:spacing w:line="256" w:lineRule="auto"/>
              <w:rPr>
                <w:color w:val="0070C0"/>
                <w:lang w:val="en-AU"/>
              </w:rPr>
            </w:pPr>
            <w:r w:rsidRPr="009226E8">
              <w:rPr>
                <w:color w:val="0070C0"/>
                <w:lang w:val="en-AU"/>
              </w:rPr>
              <w:t>States commit to providing data, where available</w:t>
            </w:r>
            <w:r w:rsidR="00976DE3" w:rsidRPr="009226E8">
              <w:rPr>
                <w:color w:val="0070C0"/>
                <w:lang w:val="en-AU"/>
              </w:rPr>
              <w:t>,</w:t>
            </w:r>
            <w:r w:rsidRPr="009226E8">
              <w:rPr>
                <w:color w:val="0070C0"/>
                <w:lang w:val="en-AU"/>
              </w:rPr>
              <w:t xml:space="preserve"> to support the </w:t>
            </w:r>
            <w:r w:rsidR="00976DE3" w:rsidRPr="009226E8">
              <w:rPr>
                <w:color w:val="0070C0"/>
                <w:lang w:val="en-AU"/>
              </w:rPr>
              <w:t xml:space="preserve">monitoring, </w:t>
            </w:r>
            <w:r w:rsidRPr="009226E8">
              <w:rPr>
                <w:color w:val="0070C0"/>
                <w:lang w:val="en-AU"/>
              </w:rPr>
              <w:t>evaluation and operation</w:t>
            </w:r>
            <w:r w:rsidR="00976DE3" w:rsidRPr="009226E8">
              <w:rPr>
                <w:color w:val="0070C0"/>
                <w:lang w:val="en-AU"/>
              </w:rPr>
              <w:t xml:space="preserve"> of this Schedule.</w:t>
            </w:r>
            <w:r w:rsidR="00D154C9" w:rsidRPr="009226E8">
              <w:rPr>
                <w:color w:val="0070C0"/>
                <w:lang w:val="en-AU"/>
              </w:rPr>
              <w:t xml:space="preserve"> The Commonwealth may in some cases request Project level data from a State where this data has already been collected by the State.</w:t>
            </w:r>
          </w:p>
          <w:p w14:paraId="5B55B6AA" w14:textId="77777777" w:rsidR="004221FA" w:rsidRPr="009226E8" w:rsidRDefault="00154897" w:rsidP="00C62598">
            <w:pPr>
              <w:pStyle w:val="Tableformat"/>
              <w:numPr>
                <w:ilvl w:val="0"/>
                <w:numId w:val="4"/>
              </w:numPr>
              <w:spacing w:line="256" w:lineRule="auto"/>
              <w:rPr>
                <w:color w:val="0070C0"/>
                <w:lang w:val="en-AU"/>
              </w:rPr>
            </w:pPr>
            <w:r w:rsidRPr="009226E8">
              <w:rPr>
                <w:color w:val="0070C0"/>
                <w:lang w:val="en-AU"/>
              </w:rPr>
              <w:lastRenderedPageBreak/>
              <w:t>R</w:t>
            </w:r>
            <w:r w:rsidR="00C97515" w:rsidRPr="009226E8">
              <w:rPr>
                <w:color w:val="0070C0"/>
                <w:lang w:val="en-AU"/>
              </w:rPr>
              <w:t xml:space="preserve">eporting requirements </w:t>
            </w:r>
            <w:r w:rsidR="000F20BE" w:rsidRPr="009226E8">
              <w:rPr>
                <w:color w:val="0070C0"/>
                <w:lang w:val="en-AU"/>
              </w:rPr>
              <w:t xml:space="preserve">are </w:t>
            </w:r>
            <w:r w:rsidR="00CD71A8" w:rsidRPr="009226E8">
              <w:rPr>
                <w:color w:val="0070C0"/>
                <w:lang w:val="en-AU"/>
              </w:rPr>
              <w:t>set out at Tables</w:t>
            </w:r>
            <w:r w:rsidR="000F20BE" w:rsidRPr="009226E8">
              <w:rPr>
                <w:color w:val="0070C0"/>
                <w:lang w:val="en-AU"/>
              </w:rPr>
              <w:t xml:space="preserve"> </w:t>
            </w:r>
            <w:r w:rsidR="00AF2808" w:rsidRPr="009226E8">
              <w:rPr>
                <w:color w:val="0070C0"/>
                <w:lang w:val="en-AU"/>
              </w:rPr>
              <w:t>3</w:t>
            </w:r>
            <w:r w:rsidR="000F20BE" w:rsidRPr="009226E8">
              <w:rPr>
                <w:color w:val="0070C0"/>
                <w:lang w:val="en-AU"/>
              </w:rPr>
              <w:t>A</w:t>
            </w:r>
            <w:r w:rsidR="00CD71A8" w:rsidRPr="009226E8">
              <w:rPr>
                <w:color w:val="0070C0"/>
                <w:lang w:val="en-AU"/>
              </w:rPr>
              <w:t xml:space="preserve"> to </w:t>
            </w:r>
            <w:r w:rsidR="000F20BE" w:rsidRPr="009226E8">
              <w:rPr>
                <w:color w:val="0070C0"/>
                <w:lang w:val="en-AU"/>
              </w:rPr>
              <w:t>H of this Schedule</w:t>
            </w:r>
            <w:r w:rsidR="00016BD9" w:rsidRPr="009226E8">
              <w:rPr>
                <w:color w:val="0070C0"/>
                <w:lang w:val="en-AU"/>
              </w:rPr>
              <w:t>.</w:t>
            </w:r>
          </w:p>
          <w:p w14:paraId="5B55B6AB" w14:textId="77777777" w:rsidR="00894E8E" w:rsidRPr="009226E8" w:rsidRDefault="00D26E89" w:rsidP="00C62598">
            <w:pPr>
              <w:pStyle w:val="Tableformat"/>
              <w:numPr>
                <w:ilvl w:val="1"/>
                <w:numId w:val="4"/>
              </w:numPr>
              <w:spacing w:line="256" w:lineRule="auto"/>
              <w:rPr>
                <w:color w:val="0070C0"/>
                <w:lang w:val="en-AU"/>
              </w:rPr>
            </w:pPr>
            <w:r w:rsidRPr="009226E8">
              <w:rPr>
                <w:color w:val="0070C0"/>
                <w:lang w:val="en-AU"/>
              </w:rPr>
              <w:t xml:space="preserve">Reporting </w:t>
            </w:r>
            <w:r w:rsidR="007748E9" w:rsidRPr="009226E8">
              <w:rPr>
                <w:color w:val="0070C0"/>
                <w:lang w:val="en-AU"/>
              </w:rPr>
              <w:t xml:space="preserve">against </w:t>
            </w:r>
            <w:r w:rsidR="00CF6825" w:rsidRPr="009226E8">
              <w:rPr>
                <w:color w:val="0070C0"/>
                <w:lang w:val="en-AU"/>
              </w:rPr>
              <w:t xml:space="preserve">performance </w:t>
            </w:r>
            <w:r w:rsidR="007748E9" w:rsidRPr="009226E8">
              <w:rPr>
                <w:color w:val="0070C0"/>
                <w:lang w:val="en-AU"/>
              </w:rPr>
              <w:t xml:space="preserve">indicators </w:t>
            </w:r>
            <w:r w:rsidRPr="009226E8">
              <w:rPr>
                <w:color w:val="0070C0"/>
                <w:lang w:val="en-AU"/>
              </w:rPr>
              <w:t>will be annual</w:t>
            </w:r>
            <w:r w:rsidR="007748E9" w:rsidRPr="009226E8">
              <w:rPr>
                <w:color w:val="0070C0"/>
                <w:lang w:val="en-AU"/>
              </w:rPr>
              <w:t xml:space="preserve">, commencing with the first year </w:t>
            </w:r>
            <w:r w:rsidR="008A30A2" w:rsidRPr="009226E8">
              <w:rPr>
                <w:color w:val="0070C0"/>
                <w:lang w:val="en-AU"/>
              </w:rPr>
              <w:t xml:space="preserve">of operation </w:t>
            </w:r>
            <w:r w:rsidR="007748E9" w:rsidRPr="009226E8">
              <w:rPr>
                <w:color w:val="0070C0"/>
                <w:lang w:val="en-AU"/>
              </w:rPr>
              <w:t>and occur</w:t>
            </w:r>
            <w:r w:rsidR="008A30A2" w:rsidRPr="009226E8">
              <w:rPr>
                <w:color w:val="0070C0"/>
                <w:lang w:val="en-AU"/>
              </w:rPr>
              <w:t>r</w:t>
            </w:r>
            <w:r w:rsidR="007748E9" w:rsidRPr="009226E8">
              <w:rPr>
                <w:color w:val="0070C0"/>
                <w:lang w:val="en-AU"/>
              </w:rPr>
              <w:t>ing</w:t>
            </w:r>
            <w:r w:rsidRPr="009226E8">
              <w:rPr>
                <w:color w:val="0070C0"/>
                <w:lang w:val="en-AU"/>
              </w:rPr>
              <w:t xml:space="preserve"> throughout the life of the Schedule</w:t>
            </w:r>
            <w:r w:rsidR="00CB72A1" w:rsidRPr="009226E8">
              <w:rPr>
                <w:color w:val="0070C0"/>
                <w:lang w:val="en-AU"/>
              </w:rPr>
              <w:t>.</w:t>
            </w:r>
          </w:p>
          <w:p w14:paraId="5B55B6AC" w14:textId="77777777" w:rsidR="008A30A2" w:rsidRPr="009226E8" w:rsidRDefault="008A30A2" w:rsidP="00C62598">
            <w:pPr>
              <w:pStyle w:val="Tableformat"/>
              <w:numPr>
                <w:ilvl w:val="1"/>
                <w:numId w:val="4"/>
              </w:numPr>
              <w:spacing w:line="256" w:lineRule="auto"/>
              <w:rPr>
                <w:color w:val="0070C0"/>
                <w:lang w:val="en-AU"/>
              </w:rPr>
            </w:pPr>
            <w:r w:rsidRPr="009226E8">
              <w:rPr>
                <w:color w:val="0070C0"/>
                <w:lang w:val="en-AU"/>
              </w:rPr>
              <w:t>Reporting will be provided to Ministers and officials to enable an assessment of progress</w:t>
            </w:r>
            <w:r w:rsidR="00A47213" w:rsidRPr="009226E8">
              <w:rPr>
                <w:color w:val="0070C0"/>
                <w:lang w:val="en-AU"/>
              </w:rPr>
              <w:t xml:space="preserve"> against outcomes achieved and performance</w:t>
            </w:r>
            <w:r w:rsidR="00F009CE" w:rsidRPr="009226E8">
              <w:rPr>
                <w:color w:val="0070C0"/>
                <w:lang w:val="en-AU"/>
              </w:rPr>
              <w:t>, with public reporting commencing in the third year of this Schedule’s operation</w:t>
            </w:r>
            <w:r w:rsidR="00A47213" w:rsidRPr="009226E8">
              <w:rPr>
                <w:color w:val="0070C0"/>
                <w:lang w:val="en-AU"/>
              </w:rPr>
              <w:t>.</w:t>
            </w:r>
          </w:p>
          <w:p w14:paraId="5B55B6AD" w14:textId="77777777" w:rsidR="00417542" w:rsidRPr="009226E8" w:rsidRDefault="00417542" w:rsidP="00417542">
            <w:pPr>
              <w:pStyle w:val="Tableformat"/>
              <w:keepNext/>
              <w:spacing w:line="257" w:lineRule="auto"/>
              <w:rPr>
                <w:i/>
                <w:color w:val="0070C0"/>
                <w:lang w:val="en-AU"/>
              </w:rPr>
            </w:pPr>
            <w:r w:rsidRPr="009226E8">
              <w:rPr>
                <w:i/>
                <w:color w:val="0070C0"/>
                <w:lang w:val="en-AU"/>
              </w:rPr>
              <w:t>Road Safety Data</w:t>
            </w:r>
          </w:p>
          <w:p w14:paraId="5B55B6AE" w14:textId="77777777" w:rsidR="00417542" w:rsidRPr="009226E8" w:rsidRDefault="00417542" w:rsidP="00417542">
            <w:pPr>
              <w:pStyle w:val="Tableformat"/>
              <w:numPr>
                <w:ilvl w:val="0"/>
                <w:numId w:val="4"/>
              </w:numPr>
              <w:spacing w:line="256" w:lineRule="auto"/>
              <w:rPr>
                <w:color w:val="0070C0"/>
                <w:lang w:val="en-AU"/>
              </w:rPr>
            </w:pPr>
            <w:r w:rsidRPr="009226E8">
              <w:rPr>
                <w:color w:val="0070C0"/>
                <w:lang w:val="en-AU"/>
              </w:rPr>
              <w:t xml:space="preserve">Through the National Road Safety Strategy 2021-2030 and its Action Plan, the </w:t>
            </w:r>
            <w:r w:rsidR="00C315FB" w:rsidRPr="009226E8">
              <w:rPr>
                <w:color w:val="0070C0"/>
                <w:lang w:val="en-AU"/>
              </w:rPr>
              <w:t xml:space="preserve">Parties </w:t>
            </w:r>
            <w:r w:rsidRPr="009226E8">
              <w:rPr>
                <w:color w:val="0070C0"/>
                <w:lang w:val="en-AU"/>
              </w:rPr>
              <w:t xml:space="preserve">have committed to working together to prevent deaths and serious injuries on Australia's road transport system. Better national data and monitoring of road safety across the whole system will be key to achieving significant reductions in road trauma. </w:t>
            </w:r>
          </w:p>
          <w:p w14:paraId="5B55B6AF" w14:textId="77777777" w:rsidR="00417542" w:rsidRPr="009226E8" w:rsidRDefault="00417542" w:rsidP="00417542">
            <w:pPr>
              <w:pStyle w:val="Tableformat"/>
              <w:numPr>
                <w:ilvl w:val="0"/>
                <w:numId w:val="4"/>
              </w:numPr>
              <w:spacing w:line="256" w:lineRule="auto"/>
              <w:rPr>
                <w:color w:val="0070C0"/>
                <w:lang w:val="en-AU"/>
              </w:rPr>
            </w:pPr>
            <w:r w:rsidRPr="009226E8">
              <w:rPr>
                <w:color w:val="0070C0"/>
                <w:lang w:val="en-AU"/>
              </w:rPr>
              <w:t xml:space="preserve">Responsible, secure and seamless sharing of road safety data between governments is an efficient use of resources and will help deliver better road safety outcomes. As part of this Schedule, States will work with the Commonwealth to develop a National Road Safety Data Collection and Reporting Framework and National Road Safety Minimum Dataset.  </w:t>
            </w:r>
          </w:p>
          <w:p w14:paraId="5B55B6B0" w14:textId="77777777" w:rsidR="00417542" w:rsidRPr="009226E8" w:rsidRDefault="00417542" w:rsidP="00417542">
            <w:pPr>
              <w:pStyle w:val="Tableformat"/>
              <w:numPr>
                <w:ilvl w:val="0"/>
                <w:numId w:val="4"/>
              </w:numPr>
              <w:spacing w:line="256" w:lineRule="auto"/>
              <w:rPr>
                <w:color w:val="0070C0"/>
                <w:lang w:val="en-AU"/>
              </w:rPr>
            </w:pPr>
            <w:r w:rsidRPr="009226E8">
              <w:rPr>
                <w:color w:val="0070C0"/>
                <w:lang w:val="en-AU"/>
              </w:rPr>
              <w:t>Th</w:t>
            </w:r>
            <w:r w:rsidR="007B60CA" w:rsidRPr="009226E8">
              <w:rPr>
                <w:color w:val="0070C0"/>
                <w:lang w:val="en-AU"/>
              </w:rPr>
              <w:t xml:space="preserve">e </w:t>
            </w:r>
            <w:r w:rsidRPr="009226E8">
              <w:rPr>
                <w:color w:val="0070C0"/>
                <w:lang w:val="en-AU"/>
              </w:rPr>
              <w:t xml:space="preserve">States </w:t>
            </w:r>
            <w:r w:rsidR="007B60CA" w:rsidRPr="009226E8">
              <w:rPr>
                <w:color w:val="0070C0"/>
                <w:lang w:val="en-AU"/>
              </w:rPr>
              <w:t xml:space="preserve">are </w:t>
            </w:r>
            <w:r w:rsidRPr="009226E8">
              <w:rPr>
                <w:color w:val="0070C0"/>
                <w:lang w:val="en-AU"/>
              </w:rPr>
              <w:t xml:space="preserve">working </w:t>
            </w:r>
            <w:r w:rsidR="00C315FB" w:rsidRPr="009226E8">
              <w:rPr>
                <w:color w:val="0070C0"/>
                <w:lang w:val="en-AU"/>
              </w:rPr>
              <w:t xml:space="preserve">with </w:t>
            </w:r>
            <w:r w:rsidRPr="009226E8">
              <w:rPr>
                <w:color w:val="0070C0"/>
                <w:lang w:val="en-AU"/>
              </w:rPr>
              <w:t>the Commonwealth to improve nationally consistent network wide road data to support a national view on where and when fatalities and serious injuries are occurring, contributing factors and demographic information, including annually updated data on:</w:t>
            </w:r>
          </w:p>
          <w:p w14:paraId="5B55B6B1"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t>deaths including age, gender, license status, seating position</w:t>
            </w:r>
          </w:p>
          <w:p w14:paraId="5B55B6B2"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t>injuries including hospital admission, severity, type, age, gender, seating position</w:t>
            </w:r>
          </w:p>
          <w:p w14:paraId="5B55B6B3"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t>risky behaviour including drugs and alcohol, restraint and helmet usage, experience, speeding, fatigue, distraction</w:t>
            </w:r>
          </w:p>
          <w:p w14:paraId="5B55B6B4"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t>crash factors including crash type, location, date and time, speed limit, conditions, vehicles involved and registration status</w:t>
            </w:r>
          </w:p>
          <w:p w14:paraId="5B55B6B5"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t>road inventory including surface type, lanes, barriers, shoulder width, road condition including roughness, strength, rutting, cracking and road risk rating</w:t>
            </w:r>
          </w:p>
          <w:p w14:paraId="5B55B6B6" w14:textId="77777777" w:rsidR="00F64298" w:rsidRPr="009226E8" w:rsidRDefault="00F64298" w:rsidP="00F64298">
            <w:pPr>
              <w:pStyle w:val="Tableformat"/>
              <w:numPr>
                <w:ilvl w:val="1"/>
                <w:numId w:val="4"/>
              </w:numPr>
              <w:spacing w:line="256" w:lineRule="auto"/>
              <w:rPr>
                <w:color w:val="0070C0"/>
                <w:lang w:val="en-AU"/>
              </w:rPr>
            </w:pPr>
            <w:r w:rsidRPr="009226E8">
              <w:rPr>
                <w:color w:val="0070C0"/>
                <w:lang w:val="en-AU"/>
              </w:rPr>
              <w:lastRenderedPageBreak/>
              <w:t>road usage including Average Annual Daily Traffic counts for light and heavy vehicles.</w:t>
            </w:r>
          </w:p>
          <w:p w14:paraId="5B55B6B7" w14:textId="77777777" w:rsidR="00417542" w:rsidRPr="009226E8" w:rsidRDefault="00417542" w:rsidP="00417542">
            <w:pPr>
              <w:pStyle w:val="Tableformat"/>
              <w:numPr>
                <w:ilvl w:val="0"/>
                <w:numId w:val="4"/>
              </w:numPr>
              <w:spacing w:line="256" w:lineRule="auto"/>
              <w:rPr>
                <w:color w:val="0070C0"/>
                <w:lang w:val="en-AU"/>
              </w:rPr>
            </w:pPr>
            <w:r w:rsidRPr="009226E8">
              <w:rPr>
                <w:color w:val="0070C0"/>
                <w:lang w:val="en-AU"/>
              </w:rPr>
              <w:t>States will report annually on road safety data improvements.</w:t>
            </w:r>
          </w:p>
          <w:p w14:paraId="5B55B6B8" w14:textId="77777777" w:rsidR="00F05CEF" w:rsidRPr="009226E8" w:rsidRDefault="00417E0E" w:rsidP="00417542">
            <w:pPr>
              <w:pStyle w:val="Tableformat"/>
              <w:numPr>
                <w:ilvl w:val="0"/>
                <w:numId w:val="4"/>
              </w:numPr>
              <w:spacing w:line="256" w:lineRule="auto"/>
              <w:rPr>
                <w:color w:val="0070C0"/>
                <w:lang w:val="en-AU"/>
              </w:rPr>
            </w:pPr>
            <w:r w:rsidRPr="009226E8">
              <w:rPr>
                <w:color w:val="0070C0"/>
                <w:lang w:val="en-AU"/>
              </w:rPr>
              <w:t>Road p</w:t>
            </w:r>
            <w:r w:rsidR="00BF5864" w:rsidRPr="009226E8">
              <w:rPr>
                <w:color w:val="0070C0"/>
                <w:lang w:val="en-AU"/>
              </w:rPr>
              <w:t xml:space="preserve">rojects must </w:t>
            </w:r>
            <w:r w:rsidR="002C55E6" w:rsidRPr="009226E8">
              <w:rPr>
                <w:color w:val="0070C0"/>
                <w:lang w:val="en-AU"/>
              </w:rPr>
              <w:t xml:space="preserve">be </w:t>
            </w:r>
            <w:r w:rsidR="00BF5864" w:rsidRPr="009226E8">
              <w:rPr>
                <w:color w:val="0070C0"/>
                <w:lang w:val="en-AU"/>
              </w:rPr>
              <w:t xml:space="preserve">designed in accordance with relevant </w:t>
            </w:r>
            <w:r w:rsidR="00976DE3" w:rsidRPr="009226E8">
              <w:rPr>
                <w:color w:val="0070C0"/>
                <w:lang w:val="en-AU"/>
              </w:rPr>
              <w:t xml:space="preserve">design </w:t>
            </w:r>
            <w:r w:rsidR="00BF5864" w:rsidRPr="009226E8">
              <w:rPr>
                <w:color w:val="0070C0"/>
                <w:lang w:val="en-AU"/>
              </w:rPr>
              <w:t xml:space="preserve">guidelines </w:t>
            </w:r>
            <w:r w:rsidRPr="009226E8">
              <w:rPr>
                <w:color w:val="0070C0"/>
                <w:lang w:val="en-AU"/>
              </w:rPr>
              <w:t xml:space="preserve">as set out in the Notes on Administration </w:t>
            </w:r>
            <w:r w:rsidR="00BF5864" w:rsidRPr="009226E8">
              <w:rPr>
                <w:color w:val="0070C0"/>
                <w:lang w:val="en-AU"/>
              </w:rPr>
              <w:t>as a minimum.</w:t>
            </w:r>
          </w:p>
          <w:p w14:paraId="5B55B6B9" w14:textId="77777777" w:rsidR="006B3FBA" w:rsidRPr="009226E8" w:rsidRDefault="00161447" w:rsidP="00CB72A1">
            <w:pPr>
              <w:pStyle w:val="Tableformat"/>
              <w:keepNext/>
              <w:spacing w:line="257" w:lineRule="auto"/>
              <w:rPr>
                <w:b/>
                <w:color w:val="0070C0"/>
                <w:u w:val="single"/>
                <w:lang w:val="en-AU"/>
              </w:rPr>
            </w:pPr>
            <w:r w:rsidRPr="009226E8">
              <w:rPr>
                <w:b/>
                <w:color w:val="0070C0"/>
                <w:u w:val="single"/>
                <w:lang w:val="en-AU"/>
              </w:rPr>
              <w:t>Project and risk management</w:t>
            </w:r>
          </w:p>
          <w:p w14:paraId="5B55B6BA" w14:textId="77777777" w:rsidR="00E372DC" w:rsidRPr="009226E8" w:rsidRDefault="00D87805" w:rsidP="00C62598">
            <w:pPr>
              <w:pStyle w:val="Tableformat"/>
              <w:keepNext/>
              <w:numPr>
                <w:ilvl w:val="0"/>
                <w:numId w:val="4"/>
              </w:numPr>
              <w:spacing w:line="256" w:lineRule="auto"/>
              <w:rPr>
                <w:color w:val="0070C0"/>
                <w:lang w:val="en-AU"/>
              </w:rPr>
            </w:pPr>
            <w:r w:rsidRPr="009226E8">
              <w:rPr>
                <w:color w:val="0070C0"/>
                <w:lang w:val="en-AU"/>
              </w:rPr>
              <w:t>The</w:t>
            </w:r>
            <w:r w:rsidR="00E372DC" w:rsidRPr="009226E8">
              <w:rPr>
                <w:color w:val="0070C0"/>
                <w:lang w:val="en-AU"/>
              </w:rPr>
              <w:t xml:space="preserve"> </w:t>
            </w:r>
            <w:r w:rsidR="00B90A8C" w:rsidRPr="009226E8">
              <w:rPr>
                <w:color w:val="0070C0"/>
                <w:lang w:val="en-AU"/>
              </w:rPr>
              <w:t>Parties</w:t>
            </w:r>
            <w:r w:rsidR="00E372DC" w:rsidRPr="009226E8">
              <w:rPr>
                <w:color w:val="0070C0"/>
                <w:lang w:val="en-AU"/>
              </w:rPr>
              <w:t xml:space="preserve"> acknowledge that </w:t>
            </w:r>
            <w:r w:rsidR="008C0839" w:rsidRPr="009226E8">
              <w:rPr>
                <w:color w:val="0070C0"/>
                <w:lang w:val="en-AU"/>
              </w:rPr>
              <w:t>investment in</w:t>
            </w:r>
            <w:r w:rsidRPr="009226E8">
              <w:rPr>
                <w:color w:val="0070C0"/>
                <w:lang w:val="en-AU"/>
              </w:rPr>
              <w:t xml:space="preserve"> </w:t>
            </w:r>
            <w:r w:rsidR="00E372DC" w:rsidRPr="009226E8">
              <w:rPr>
                <w:color w:val="0070C0"/>
                <w:lang w:val="en-AU"/>
              </w:rPr>
              <w:t xml:space="preserve">major infrastructure projects </w:t>
            </w:r>
            <w:r w:rsidRPr="009226E8">
              <w:rPr>
                <w:color w:val="0070C0"/>
                <w:lang w:val="en-AU"/>
              </w:rPr>
              <w:t>involves risks</w:t>
            </w:r>
            <w:r w:rsidR="00E372DC" w:rsidRPr="009226E8">
              <w:rPr>
                <w:color w:val="0070C0"/>
                <w:lang w:val="en-AU"/>
              </w:rPr>
              <w:t xml:space="preserve"> and</w:t>
            </w:r>
            <w:r w:rsidR="00E30811" w:rsidRPr="009226E8">
              <w:rPr>
                <w:color w:val="0070C0"/>
                <w:lang w:val="en-AU"/>
              </w:rPr>
              <w:t>,</w:t>
            </w:r>
            <w:r w:rsidR="00E372DC" w:rsidRPr="009226E8">
              <w:rPr>
                <w:color w:val="0070C0"/>
                <w:lang w:val="en-AU"/>
              </w:rPr>
              <w:t xml:space="preserve"> </w:t>
            </w:r>
            <w:r w:rsidRPr="009226E8">
              <w:rPr>
                <w:color w:val="0070C0"/>
                <w:lang w:val="en-AU"/>
              </w:rPr>
              <w:t xml:space="preserve">as </w:t>
            </w:r>
            <w:r w:rsidR="00364956" w:rsidRPr="009226E8">
              <w:rPr>
                <w:color w:val="0070C0"/>
                <w:lang w:val="en-AU"/>
              </w:rPr>
              <w:t>partners</w:t>
            </w:r>
            <w:r w:rsidR="008C0839" w:rsidRPr="009226E8">
              <w:rPr>
                <w:color w:val="0070C0"/>
                <w:lang w:val="en-AU"/>
              </w:rPr>
              <w:t xml:space="preserve">, the Parties share the benefits and </w:t>
            </w:r>
            <w:r w:rsidR="00E372DC" w:rsidRPr="009226E8">
              <w:rPr>
                <w:color w:val="0070C0"/>
                <w:lang w:val="en-AU"/>
              </w:rPr>
              <w:t xml:space="preserve">risks </w:t>
            </w:r>
            <w:r w:rsidR="008C0839" w:rsidRPr="009226E8">
              <w:rPr>
                <w:color w:val="0070C0"/>
                <w:lang w:val="en-AU"/>
              </w:rPr>
              <w:t>from this investment</w:t>
            </w:r>
            <w:r w:rsidR="00E372DC" w:rsidRPr="009226E8">
              <w:rPr>
                <w:color w:val="0070C0"/>
                <w:lang w:val="en-AU"/>
              </w:rPr>
              <w:t xml:space="preserve">. </w:t>
            </w:r>
          </w:p>
          <w:p w14:paraId="5B55B6BB" w14:textId="77777777" w:rsidR="005E0D7F" w:rsidRPr="009226E8" w:rsidRDefault="00216ACB" w:rsidP="00C62598">
            <w:pPr>
              <w:pStyle w:val="Tableformat"/>
              <w:numPr>
                <w:ilvl w:val="0"/>
                <w:numId w:val="4"/>
              </w:numPr>
              <w:spacing w:line="256" w:lineRule="auto"/>
              <w:rPr>
                <w:color w:val="0070C0"/>
                <w:lang w:val="en-AU"/>
              </w:rPr>
            </w:pPr>
            <w:r w:rsidRPr="009226E8">
              <w:rPr>
                <w:color w:val="0070C0"/>
                <w:lang w:val="en-AU"/>
              </w:rPr>
              <w:t xml:space="preserve">A </w:t>
            </w:r>
            <w:r w:rsidR="005E0D7F" w:rsidRPr="009226E8">
              <w:rPr>
                <w:color w:val="0070C0"/>
                <w:lang w:val="en-AU"/>
              </w:rPr>
              <w:t xml:space="preserve">risk </w:t>
            </w:r>
            <w:r w:rsidRPr="009226E8">
              <w:rPr>
                <w:color w:val="0070C0"/>
                <w:lang w:val="en-AU"/>
              </w:rPr>
              <w:t xml:space="preserve">management </w:t>
            </w:r>
            <w:r w:rsidR="005E0D7F" w:rsidRPr="009226E8">
              <w:rPr>
                <w:color w:val="0070C0"/>
                <w:lang w:val="en-AU"/>
              </w:rPr>
              <w:t>framework</w:t>
            </w:r>
            <w:r w:rsidRPr="009226E8">
              <w:rPr>
                <w:color w:val="0070C0"/>
                <w:lang w:val="en-AU"/>
              </w:rPr>
              <w:t xml:space="preserve"> will be set out in the Notes on Administration and </w:t>
            </w:r>
            <w:r w:rsidR="005E0D7F" w:rsidRPr="009226E8">
              <w:rPr>
                <w:color w:val="0070C0"/>
                <w:lang w:val="en-AU"/>
              </w:rPr>
              <w:t>includ</w:t>
            </w:r>
            <w:r w:rsidRPr="009226E8">
              <w:rPr>
                <w:color w:val="0070C0"/>
                <w:lang w:val="en-AU"/>
              </w:rPr>
              <w:t>e</w:t>
            </w:r>
            <w:r w:rsidR="005E0D7F" w:rsidRPr="009226E8">
              <w:rPr>
                <w:color w:val="0070C0"/>
                <w:lang w:val="en-AU"/>
              </w:rPr>
              <w:t xml:space="preserve"> </w:t>
            </w:r>
            <w:r w:rsidRPr="009226E8">
              <w:rPr>
                <w:color w:val="0070C0"/>
                <w:lang w:val="en-AU"/>
              </w:rPr>
              <w:t xml:space="preserve">the </w:t>
            </w:r>
            <w:r w:rsidR="005E0D7F" w:rsidRPr="009226E8">
              <w:rPr>
                <w:color w:val="0070C0"/>
                <w:lang w:val="en-AU"/>
              </w:rPr>
              <w:t>due diligence processes</w:t>
            </w:r>
            <w:r w:rsidRPr="009226E8">
              <w:rPr>
                <w:color w:val="0070C0"/>
                <w:lang w:val="en-AU"/>
              </w:rPr>
              <w:t xml:space="preserve"> that occur prior to a funding commitment being made</w:t>
            </w:r>
            <w:r w:rsidR="00B24F36" w:rsidRPr="009226E8">
              <w:rPr>
                <w:color w:val="0070C0"/>
                <w:lang w:val="en-AU"/>
              </w:rPr>
              <w:t>,</w:t>
            </w:r>
            <w:r w:rsidRPr="009226E8">
              <w:rPr>
                <w:color w:val="0070C0"/>
                <w:lang w:val="en-AU"/>
              </w:rPr>
              <w:t xml:space="preserve"> </w:t>
            </w:r>
            <w:r w:rsidR="00C8780C" w:rsidRPr="009226E8">
              <w:rPr>
                <w:color w:val="0070C0"/>
                <w:lang w:val="en-AU"/>
              </w:rPr>
              <w:t xml:space="preserve">as </w:t>
            </w:r>
            <w:r w:rsidRPr="009226E8">
              <w:rPr>
                <w:color w:val="0070C0"/>
                <w:lang w:val="en-AU"/>
              </w:rPr>
              <w:t>well as the project-level governance</w:t>
            </w:r>
            <w:r w:rsidR="006947C2" w:rsidRPr="009226E8">
              <w:rPr>
                <w:color w:val="0070C0"/>
                <w:lang w:val="en-AU"/>
              </w:rPr>
              <w:t>, gateways and assurance</w:t>
            </w:r>
            <w:r w:rsidRPr="009226E8">
              <w:rPr>
                <w:color w:val="0070C0"/>
                <w:lang w:val="en-AU"/>
              </w:rPr>
              <w:t xml:space="preserve"> requirements that apply to </w:t>
            </w:r>
            <w:r w:rsidR="00C315FB" w:rsidRPr="009226E8">
              <w:rPr>
                <w:color w:val="0070C0"/>
                <w:lang w:val="en-AU"/>
              </w:rPr>
              <w:t>P</w:t>
            </w:r>
            <w:r w:rsidRPr="009226E8">
              <w:rPr>
                <w:color w:val="0070C0"/>
                <w:lang w:val="en-AU"/>
              </w:rPr>
              <w:t xml:space="preserve">rojects once </w:t>
            </w:r>
            <w:r w:rsidR="00C5455B" w:rsidRPr="009226E8">
              <w:rPr>
                <w:color w:val="0070C0"/>
                <w:lang w:val="en-AU"/>
              </w:rPr>
              <w:t xml:space="preserve">funding is </w:t>
            </w:r>
            <w:r w:rsidR="00C315FB" w:rsidRPr="009226E8">
              <w:rPr>
                <w:color w:val="0070C0"/>
                <w:lang w:val="en-AU"/>
              </w:rPr>
              <w:t>committed</w:t>
            </w:r>
            <w:r w:rsidRPr="009226E8">
              <w:rPr>
                <w:color w:val="0070C0"/>
                <w:lang w:val="en-AU"/>
              </w:rPr>
              <w:t xml:space="preserve">. Application of the confidence index throughout the project lifecycle is central to the </w:t>
            </w:r>
            <w:r w:rsidR="00E63EA9" w:rsidRPr="009226E8">
              <w:rPr>
                <w:color w:val="0070C0"/>
                <w:lang w:val="en-AU"/>
              </w:rPr>
              <w:t xml:space="preserve">risk </w:t>
            </w:r>
            <w:r w:rsidRPr="009226E8">
              <w:rPr>
                <w:color w:val="0070C0"/>
                <w:lang w:val="en-AU"/>
              </w:rPr>
              <w:t>framework</w:t>
            </w:r>
            <w:r w:rsidR="007B0C41" w:rsidRPr="009226E8">
              <w:rPr>
                <w:color w:val="0070C0"/>
                <w:lang w:val="en-AU"/>
              </w:rPr>
              <w:t>, as is positive obligation reporting. Positive obligation requires States to disclose material risks to project delivery timeframes and costs</w:t>
            </w:r>
            <w:r w:rsidR="00E63EA9" w:rsidRPr="009226E8">
              <w:rPr>
                <w:color w:val="0070C0"/>
                <w:lang w:val="en-AU"/>
              </w:rPr>
              <w:t>, and</w:t>
            </w:r>
            <w:r w:rsidR="007B0C41" w:rsidRPr="009226E8">
              <w:rPr>
                <w:color w:val="0070C0"/>
                <w:lang w:val="en-AU"/>
              </w:rPr>
              <w:t xml:space="preserve"> disclosure should not be unreasonably delayed by a State’s authorising environment</w:t>
            </w:r>
            <w:r w:rsidR="00E63EA9" w:rsidRPr="009226E8">
              <w:rPr>
                <w:color w:val="0070C0"/>
                <w:lang w:val="en-AU"/>
              </w:rPr>
              <w:t>.</w:t>
            </w:r>
          </w:p>
          <w:p w14:paraId="5B55B6BC" w14:textId="77777777" w:rsidR="003A7569" w:rsidRPr="009226E8" w:rsidRDefault="006B3FBA" w:rsidP="00C62598">
            <w:pPr>
              <w:pStyle w:val="Tableformat"/>
              <w:numPr>
                <w:ilvl w:val="0"/>
                <w:numId w:val="4"/>
              </w:numPr>
              <w:spacing w:line="256" w:lineRule="auto"/>
              <w:rPr>
                <w:color w:val="0070C0"/>
                <w:lang w:val="en-AU"/>
              </w:rPr>
            </w:pPr>
            <w:r w:rsidRPr="009226E8">
              <w:rPr>
                <w:color w:val="0070C0"/>
                <w:lang w:val="en-AU"/>
              </w:rPr>
              <w:t xml:space="preserve">Governance and reporting processes will be proportional to </w:t>
            </w:r>
            <w:r w:rsidR="0060101A" w:rsidRPr="009226E8">
              <w:rPr>
                <w:color w:val="0070C0"/>
                <w:lang w:val="en-AU"/>
              </w:rPr>
              <w:t>P</w:t>
            </w:r>
            <w:r w:rsidRPr="009226E8">
              <w:rPr>
                <w:color w:val="0070C0"/>
                <w:lang w:val="en-AU"/>
              </w:rPr>
              <w:t>roject risks</w:t>
            </w:r>
            <w:r w:rsidR="000009DB" w:rsidRPr="009226E8">
              <w:rPr>
                <w:color w:val="0070C0"/>
                <w:lang w:val="en-AU"/>
              </w:rPr>
              <w:t xml:space="preserve"> </w:t>
            </w:r>
            <w:r w:rsidRPr="009226E8">
              <w:rPr>
                <w:color w:val="0070C0"/>
                <w:lang w:val="en-AU"/>
              </w:rPr>
              <w:t xml:space="preserve">and </w:t>
            </w:r>
            <w:r w:rsidR="00C315FB" w:rsidRPr="009226E8">
              <w:rPr>
                <w:color w:val="0070C0"/>
                <w:lang w:val="en-AU"/>
              </w:rPr>
              <w:t xml:space="preserve">will </w:t>
            </w:r>
            <w:r w:rsidRPr="009226E8">
              <w:rPr>
                <w:color w:val="0070C0"/>
                <w:lang w:val="en-AU"/>
              </w:rPr>
              <w:t xml:space="preserve">aim to build confidence for all </w:t>
            </w:r>
            <w:r w:rsidR="00B90A8C" w:rsidRPr="009226E8">
              <w:rPr>
                <w:color w:val="0070C0"/>
                <w:lang w:val="en-AU"/>
              </w:rPr>
              <w:t>Parties</w:t>
            </w:r>
            <w:r w:rsidRPr="009226E8">
              <w:rPr>
                <w:color w:val="0070C0"/>
                <w:lang w:val="en-AU"/>
              </w:rPr>
              <w:t xml:space="preserve"> by supporting early risk identification</w:t>
            </w:r>
            <w:r w:rsidR="00500AB1" w:rsidRPr="009226E8">
              <w:rPr>
                <w:color w:val="0070C0"/>
                <w:lang w:val="en-AU"/>
              </w:rPr>
              <w:t>, mitigation and treatment</w:t>
            </w:r>
            <w:r w:rsidRPr="009226E8">
              <w:rPr>
                <w:color w:val="0070C0"/>
                <w:lang w:val="en-AU"/>
              </w:rPr>
              <w:t>.</w:t>
            </w:r>
            <w:r w:rsidR="00372305" w:rsidRPr="009226E8">
              <w:rPr>
                <w:color w:val="0070C0"/>
                <w:lang w:val="en-AU"/>
              </w:rPr>
              <w:t xml:space="preserve"> </w:t>
            </w:r>
          </w:p>
          <w:p w14:paraId="5B55B6BD" w14:textId="77777777" w:rsidR="008C0839" w:rsidRPr="009226E8" w:rsidRDefault="00530B56" w:rsidP="00C62598">
            <w:pPr>
              <w:pStyle w:val="Tableformat"/>
              <w:numPr>
                <w:ilvl w:val="0"/>
                <w:numId w:val="6"/>
              </w:numPr>
              <w:spacing w:line="256" w:lineRule="auto"/>
              <w:rPr>
                <w:color w:val="0070C0"/>
                <w:lang w:val="en-AU"/>
              </w:rPr>
            </w:pPr>
            <w:r w:rsidRPr="009226E8">
              <w:rPr>
                <w:color w:val="0070C0"/>
                <w:lang w:val="en-AU"/>
              </w:rPr>
              <w:t xml:space="preserve">Projects will be </w:t>
            </w:r>
            <w:r w:rsidR="003A7569" w:rsidRPr="009226E8">
              <w:rPr>
                <w:color w:val="0070C0"/>
                <w:lang w:val="en-AU"/>
              </w:rPr>
              <w:t xml:space="preserve">differentiated </w:t>
            </w:r>
            <w:r w:rsidRPr="009226E8">
              <w:rPr>
                <w:color w:val="0070C0"/>
                <w:lang w:val="en-AU"/>
              </w:rPr>
              <w:t xml:space="preserve">based on risk, </w:t>
            </w:r>
            <w:r w:rsidR="003A7569" w:rsidRPr="009226E8">
              <w:rPr>
                <w:color w:val="0070C0"/>
                <w:lang w:val="en-AU"/>
              </w:rPr>
              <w:t xml:space="preserve">oversight </w:t>
            </w:r>
            <w:r w:rsidRPr="009226E8">
              <w:rPr>
                <w:color w:val="0070C0"/>
                <w:lang w:val="en-AU"/>
              </w:rPr>
              <w:t xml:space="preserve">will be calibrated </w:t>
            </w:r>
            <w:r w:rsidR="003A7569" w:rsidRPr="009226E8">
              <w:rPr>
                <w:color w:val="0070C0"/>
                <w:lang w:val="en-AU"/>
              </w:rPr>
              <w:t xml:space="preserve">according to </w:t>
            </w:r>
            <w:r w:rsidRPr="009226E8">
              <w:rPr>
                <w:color w:val="0070C0"/>
                <w:lang w:val="en-AU"/>
              </w:rPr>
              <w:t xml:space="preserve">a </w:t>
            </w:r>
            <w:r w:rsidR="003A7569" w:rsidRPr="009226E8">
              <w:rPr>
                <w:color w:val="0070C0"/>
                <w:lang w:val="en-AU"/>
              </w:rPr>
              <w:t>risk rating</w:t>
            </w:r>
            <w:r w:rsidRPr="009226E8">
              <w:rPr>
                <w:color w:val="0070C0"/>
                <w:lang w:val="en-AU"/>
              </w:rPr>
              <w:t xml:space="preserve">, </w:t>
            </w:r>
            <w:r w:rsidR="003A7569" w:rsidRPr="009226E8">
              <w:rPr>
                <w:color w:val="0070C0"/>
                <w:lang w:val="en-AU"/>
              </w:rPr>
              <w:t>enabl</w:t>
            </w:r>
            <w:r w:rsidRPr="009226E8">
              <w:rPr>
                <w:color w:val="0070C0"/>
                <w:lang w:val="en-AU"/>
              </w:rPr>
              <w:t>ing</w:t>
            </w:r>
            <w:r w:rsidR="003A7569" w:rsidRPr="009226E8">
              <w:rPr>
                <w:color w:val="0070C0"/>
                <w:lang w:val="en-AU"/>
              </w:rPr>
              <w:t xml:space="preserve"> a great</w:t>
            </w:r>
            <w:r w:rsidRPr="009226E8">
              <w:rPr>
                <w:color w:val="0070C0"/>
                <w:lang w:val="en-AU"/>
              </w:rPr>
              <w:t>er</w:t>
            </w:r>
            <w:r w:rsidR="003A7569" w:rsidRPr="009226E8">
              <w:rPr>
                <w:color w:val="0070C0"/>
                <w:lang w:val="en-AU"/>
              </w:rPr>
              <w:t xml:space="preserve"> focus on high-risk</w:t>
            </w:r>
            <w:r w:rsidR="00216ACB" w:rsidRPr="009226E8">
              <w:rPr>
                <w:color w:val="0070C0"/>
                <w:lang w:val="en-AU"/>
              </w:rPr>
              <w:t>, high value</w:t>
            </w:r>
            <w:r w:rsidR="003A7569" w:rsidRPr="009226E8">
              <w:rPr>
                <w:color w:val="0070C0"/>
                <w:lang w:val="en-AU"/>
              </w:rPr>
              <w:t xml:space="preserve"> projects</w:t>
            </w:r>
            <w:r w:rsidRPr="009226E8">
              <w:rPr>
                <w:color w:val="0070C0"/>
                <w:lang w:val="en-AU"/>
              </w:rPr>
              <w:t>.</w:t>
            </w:r>
          </w:p>
          <w:p w14:paraId="5B55B6BE" w14:textId="77777777" w:rsidR="008C0839" w:rsidRPr="009226E8" w:rsidRDefault="00CF4FD9" w:rsidP="00C62598">
            <w:pPr>
              <w:pStyle w:val="Tableformat"/>
              <w:numPr>
                <w:ilvl w:val="0"/>
                <w:numId w:val="6"/>
              </w:numPr>
              <w:spacing w:line="256" w:lineRule="auto"/>
              <w:rPr>
                <w:color w:val="0070C0"/>
                <w:lang w:val="en-AU"/>
              </w:rPr>
            </w:pPr>
            <w:r w:rsidRPr="009226E8">
              <w:rPr>
                <w:color w:val="0070C0"/>
                <w:lang w:val="en-AU"/>
              </w:rPr>
              <w:t>Projects will be routinely assessed</w:t>
            </w:r>
            <w:r w:rsidR="008C0839" w:rsidRPr="009226E8">
              <w:rPr>
                <w:color w:val="0070C0"/>
                <w:lang w:val="en-AU"/>
              </w:rPr>
              <w:t xml:space="preserve"> for confidence</w:t>
            </w:r>
            <w:r w:rsidR="00417E64" w:rsidRPr="009226E8">
              <w:rPr>
                <w:color w:val="0070C0"/>
                <w:lang w:val="en-AU"/>
              </w:rPr>
              <w:t xml:space="preserve"> in delivery and costs</w:t>
            </w:r>
            <w:r w:rsidR="008C0839" w:rsidRPr="009226E8">
              <w:rPr>
                <w:color w:val="0070C0"/>
                <w:lang w:val="en-AU"/>
              </w:rPr>
              <w:t xml:space="preserve"> using </w:t>
            </w:r>
            <w:r w:rsidR="00417E64" w:rsidRPr="009226E8">
              <w:rPr>
                <w:color w:val="0070C0"/>
                <w:lang w:val="en-AU"/>
              </w:rPr>
              <w:t>the</w:t>
            </w:r>
            <w:r w:rsidR="008C0839" w:rsidRPr="009226E8">
              <w:rPr>
                <w:color w:val="0070C0"/>
                <w:lang w:val="en-AU"/>
              </w:rPr>
              <w:t xml:space="preserve"> </w:t>
            </w:r>
            <w:r w:rsidR="004B6879" w:rsidRPr="009226E8">
              <w:rPr>
                <w:color w:val="0070C0"/>
                <w:lang w:val="en-AU"/>
              </w:rPr>
              <w:t xml:space="preserve">confidence </w:t>
            </w:r>
            <w:r w:rsidR="008C0839" w:rsidRPr="009226E8">
              <w:rPr>
                <w:color w:val="0070C0"/>
                <w:lang w:val="en-AU"/>
              </w:rPr>
              <w:t>index set out in the N</w:t>
            </w:r>
            <w:r w:rsidR="004D04F9" w:rsidRPr="009226E8">
              <w:rPr>
                <w:color w:val="0070C0"/>
                <w:lang w:val="en-AU"/>
              </w:rPr>
              <w:t xml:space="preserve">otes </w:t>
            </w:r>
            <w:r w:rsidR="008C0839" w:rsidRPr="009226E8">
              <w:rPr>
                <w:color w:val="0070C0"/>
                <w:lang w:val="en-AU"/>
              </w:rPr>
              <w:t>o</w:t>
            </w:r>
            <w:r w:rsidR="004D04F9" w:rsidRPr="009226E8">
              <w:rPr>
                <w:color w:val="0070C0"/>
                <w:lang w:val="en-AU"/>
              </w:rPr>
              <w:t xml:space="preserve">n </w:t>
            </w:r>
            <w:r w:rsidR="008C0839" w:rsidRPr="009226E8">
              <w:rPr>
                <w:color w:val="0070C0"/>
                <w:lang w:val="en-AU"/>
              </w:rPr>
              <w:t>A</w:t>
            </w:r>
            <w:r w:rsidR="004D04F9" w:rsidRPr="009226E8">
              <w:rPr>
                <w:color w:val="0070C0"/>
                <w:lang w:val="en-AU"/>
              </w:rPr>
              <w:t>dministration</w:t>
            </w:r>
            <w:r w:rsidR="008C0839" w:rsidRPr="009226E8">
              <w:rPr>
                <w:color w:val="0070C0"/>
                <w:lang w:val="en-AU"/>
              </w:rPr>
              <w:t>.</w:t>
            </w:r>
          </w:p>
          <w:p w14:paraId="5B55B6BF" w14:textId="77777777" w:rsidR="00CF4FD9" w:rsidRPr="009226E8" w:rsidRDefault="00CF4FD9" w:rsidP="00C62598">
            <w:pPr>
              <w:pStyle w:val="Tableformat"/>
              <w:numPr>
                <w:ilvl w:val="0"/>
                <w:numId w:val="6"/>
              </w:numPr>
              <w:spacing w:line="256" w:lineRule="auto"/>
              <w:rPr>
                <w:color w:val="0070C0"/>
                <w:lang w:val="en-AU"/>
              </w:rPr>
            </w:pPr>
            <w:r w:rsidRPr="009226E8">
              <w:rPr>
                <w:color w:val="0070C0"/>
                <w:lang w:val="en-AU"/>
              </w:rPr>
              <w:t xml:space="preserve">Reporting on risks will be </w:t>
            </w:r>
            <w:r w:rsidR="008B5516" w:rsidRPr="009226E8">
              <w:rPr>
                <w:color w:val="0070C0"/>
                <w:lang w:val="en-AU"/>
              </w:rPr>
              <w:t xml:space="preserve">timely, </w:t>
            </w:r>
            <w:r w:rsidRPr="009226E8">
              <w:rPr>
                <w:color w:val="0070C0"/>
                <w:lang w:val="en-AU"/>
              </w:rPr>
              <w:t>clear and proactively provided</w:t>
            </w:r>
            <w:r w:rsidR="0046666A" w:rsidRPr="009226E8">
              <w:rPr>
                <w:color w:val="0070C0"/>
                <w:lang w:val="en-AU"/>
              </w:rPr>
              <w:t xml:space="preserve"> by States</w:t>
            </w:r>
            <w:r w:rsidR="00A20D6A" w:rsidRPr="009226E8">
              <w:rPr>
                <w:color w:val="0070C0"/>
                <w:lang w:val="en-AU"/>
              </w:rPr>
              <w:t xml:space="preserve"> in accordance with </w:t>
            </w:r>
            <w:r w:rsidR="001D74BD" w:rsidRPr="009226E8">
              <w:rPr>
                <w:color w:val="0070C0"/>
                <w:lang w:val="en-AU"/>
              </w:rPr>
              <w:t>positive obligation</w:t>
            </w:r>
            <w:r w:rsidR="004D04F9" w:rsidRPr="009226E8">
              <w:rPr>
                <w:color w:val="0070C0"/>
                <w:lang w:val="en-AU"/>
              </w:rPr>
              <w:t>, consistent with the project reporting guidance set out in the Notes on Administration.</w:t>
            </w:r>
          </w:p>
          <w:p w14:paraId="5B55B6C0" w14:textId="77777777" w:rsidR="00041BEB" w:rsidRPr="009226E8" w:rsidRDefault="00041BEB" w:rsidP="00C62598">
            <w:pPr>
              <w:pStyle w:val="Tableformat"/>
              <w:numPr>
                <w:ilvl w:val="0"/>
                <w:numId w:val="6"/>
              </w:numPr>
              <w:spacing w:line="256" w:lineRule="auto"/>
              <w:rPr>
                <w:color w:val="0070C0"/>
                <w:lang w:val="en-AU"/>
              </w:rPr>
            </w:pPr>
            <w:r w:rsidRPr="009226E8">
              <w:rPr>
                <w:color w:val="0070C0"/>
                <w:lang w:val="en-AU"/>
              </w:rPr>
              <w:t>Project governance, such as steering committees and Project boards, may occur on a case-by-case basis as set out in the Notes on Administration.</w:t>
            </w:r>
          </w:p>
          <w:p w14:paraId="5B55B6C1" w14:textId="77777777" w:rsidR="006B3FBA" w:rsidRPr="009226E8" w:rsidRDefault="006B3FBA" w:rsidP="00C62598">
            <w:pPr>
              <w:pStyle w:val="Tableformat"/>
              <w:numPr>
                <w:ilvl w:val="0"/>
                <w:numId w:val="4"/>
              </w:numPr>
              <w:spacing w:line="256" w:lineRule="auto"/>
              <w:rPr>
                <w:color w:val="0070C0"/>
                <w:lang w:val="en-AU"/>
              </w:rPr>
            </w:pPr>
            <w:r w:rsidRPr="009226E8">
              <w:rPr>
                <w:color w:val="0070C0"/>
                <w:lang w:val="en-AU"/>
              </w:rPr>
              <w:t xml:space="preserve">All </w:t>
            </w:r>
            <w:r w:rsidR="00B90A8C" w:rsidRPr="009226E8">
              <w:rPr>
                <w:color w:val="0070C0"/>
                <w:lang w:val="en-AU"/>
              </w:rPr>
              <w:t>Parties</w:t>
            </w:r>
            <w:r w:rsidRPr="009226E8">
              <w:rPr>
                <w:color w:val="0070C0"/>
                <w:lang w:val="en-AU"/>
              </w:rPr>
              <w:t xml:space="preserve"> commit to gateway reviews and </w:t>
            </w:r>
            <w:r w:rsidR="00387F78" w:rsidRPr="009226E8">
              <w:rPr>
                <w:color w:val="0070C0"/>
                <w:lang w:val="en-AU"/>
              </w:rPr>
              <w:t xml:space="preserve">other types of </w:t>
            </w:r>
            <w:r w:rsidRPr="009226E8">
              <w:rPr>
                <w:color w:val="0070C0"/>
                <w:lang w:val="en-AU"/>
              </w:rPr>
              <w:t>independent assurance processes</w:t>
            </w:r>
            <w:r w:rsidR="002F2A84" w:rsidRPr="009226E8">
              <w:rPr>
                <w:color w:val="0070C0"/>
                <w:lang w:val="en-AU"/>
              </w:rPr>
              <w:t xml:space="preserve">, </w:t>
            </w:r>
            <w:r w:rsidR="00B94A8C" w:rsidRPr="009226E8">
              <w:rPr>
                <w:color w:val="0070C0"/>
                <w:lang w:val="en-AU"/>
              </w:rPr>
              <w:t>as outlined in the N</w:t>
            </w:r>
            <w:r w:rsidR="001222BD" w:rsidRPr="009226E8">
              <w:rPr>
                <w:color w:val="0070C0"/>
                <w:lang w:val="en-AU"/>
              </w:rPr>
              <w:t xml:space="preserve">otes </w:t>
            </w:r>
            <w:r w:rsidR="00B94A8C" w:rsidRPr="009226E8">
              <w:rPr>
                <w:color w:val="0070C0"/>
                <w:lang w:val="en-AU"/>
              </w:rPr>
              <w:t>o</w:t>
            </w:r>
            <w:r w:rsidR="001222BD" w:rsidRPr="009226E8">
              <w:rPr>
                <w:color w:val="0070C0"/>
                <w:lang w:val="en-AU"/>
              </w:rPr>
              <w:t xml:space="preserve">n </w:t>
            </w:r>
            <w:r w:rsidR="00B94A8C" w:rsidRPr="009226E8">
              <w:rPr>
                <w:color w:val="0070C0"/>
                <w:lang w:val="en-AU"/>
              </w:rPr>
              <w:t>A</w:t>
            </w:r>
            <w:r w:rsidR="001222BD" w:rsidRPr="009226E8">
              <w:rPr>
                <w:color w:val="0070C0"/>
                <w:lang w:val="en-AU"/>
              </w:rPr>
              <w:t>dministration</w:t>
            </w:r>
            <w:r w:rsidR="002F2A84" w:rsidRPr="009226E8">
              <w:rPr>
                <w:color w:val="0070C0"/>
                <w:lang w:val="en-AU"/>
              </w:rPr>
              <w:t>,</w:t>
            </w:r>
            <w:r w:rsidRPr="009226E8">
              <w:rPr>
                <w:color w:val="0070C0"/>
                <w:lang w:val="en-AU"/>
              </w:rPr>
              <w:t xml:space="preserve"> </w:t>
            </w:r>
            <w:r w:rsidR="002F2A84" w:rsidRPr="009226E8">
              <w:rPr>
                <w:color w:val="0070C0"/>
                <w:lang w:val="en-AU"/>
              </w:rPr>
              <w:t>to</w:t>
            </w:r>
            <w:r w:rsidRPr="009226E8">
              <w:rPr>
                <w:color w:val="0070C0"/>
                <w:lang w:val="en-AU"/>
              </w:rPr>
              <w:t xml:space="preserve"> improve confidence in project </w:t>
            </w:r>
            <w:r w:rsidR="00387F78" w:rsidRPr="009226E8">
              <w:rPr>
                <w:color w:val="0070C0"/>
                <w:lang w:val="en-AU"/>
              </w:rPr>
              <w:t xml:space="preserve">selection, </w:t>
            </w:r>
            <w:r w:rsidR="00387F78" w:rsidRPr="009226E8">
              <w:rPr>
                <w:color w:val="0070C0"/>
                <w:lang w:val="en-AU"/>
              </w:rPr>
              <w:lastRenderedPageBreak/>
              <w:t xml:space="preserve">justification and </w:t>
            </w:r>
            <w:r w:rsidRPr="009226E8">
              <w:rPr>
                <w:color w:val="0070C0"/>
                <w:lang w:val="en-AU"/>
              </w:rPr>
              <w:t>management</w:t>
            </w:r>
            <w:r w:rsidR="006F01F9" w:rsidRPr="009226E8">
              <w:rPr>
                <w:color w:val="0070C0"/>
                <w:lang w:val="en-AU"/>
              </w:rPr>
              <w:t xml:space="preserve"> where appropriate</w:t>
            </w:r>
            <w:r w:rsidRPr="009226E8">
              <w:rPr>
                <w:color w:val="0070C0"/>
                <w:lang w:val="en-AU"/>
              </w:rPr>
              <w:t xml:space="preserve">. The Commonwealth will </w:t>
            </w:r>
            <w:r w:rsidR="00F92946" w:rsidRPr="009226E8">
              <w:rPr>
                <w:color w:val="0070C0"/>
                <w:lang w:val="en-AU"/>
              </w:rPr>
              <w:t xml:space="preserve">recognise </w:t>
            </w:r>
            <w:r w:rsidR="00B90A8C" w:rsidRPr="009226E8">
              <w:rPr>
                <w:color w:val="0070C0"/>
                <w:lang w:val="en-AU"/>
              </w:rPr>
              <w:t>States</w:t>
            </w:r>
            <w:r w:rsidRPr="009226E8">
              <w:rPr>
                <w:color w:val="0070C0"/>
                <w:lang w:val="en-AU"/>
              </w:rPr>
              <w:t>’ existing processes and will not seek to duplicate existing state practices.</w:t>
            </w:r>
          </w:p>
          <w:p w14:paraId="5B55B6C2" w14:textId="77777777" w:rsidR="006A32C4" w:rsidRPr="009226E8" w:rsidRDefault="00E30811" w:rsidP="00C62598">
            <w:pPr>
              <w:pStyle w:val="Tableformat"/>
              <w:numPr>
                <w:ilvl w:val="0"/>
                <w:numId w:val="4"/>
              </w:numPr>
              <w:spacing w:line="256" w:lineRule="auto"/>
              <w:rPr>
                <w:color w:val="0070C0"/>
                <w:lang w:val="en-AU"/>
              </w:rPr>
            </w:pPr>
            <w:r w:rsidRPr="009226E8">
              <w:rPr>
                <w:color w:val="0070C0"/>
                <w:lang w:val="en-AU"/>
              </w:rPr>
              <w:t xml:space="preserve">The Commonwealth expects States’ gateway </w:t>
            </w:r>
            <w:r w:rsidR="00A01795" w:rsidRPr="009226E8">
              <w:rPr>
                <w:color w:val="0070C0"/>
                <w:lang w:val="en-AU"/>
              </w:rPr>
              <w:t xml:space="preserve">reviews </w:t>
            </w:r>
            <w:r w:rsidRPr="009226E8">
              <w:rPr>
                <w:color w:val="0070C0"/>
                <w:lang w:val="en-AU"/>
              </w:rPr>
              <w:t xml:space="preserve">and </w:t>
            </w:r>
            <w:r w:rsidR="00A01795" w:rsidRPr="009226E8">
              <w:rPr>
                <w:color w:val="0070C0"/>
                <w:lang w:val="en-AU"/>
              </w:rPr>
              <w:t xml:space="preserve">other </w:t>
            </w:r>
            <w:r w:rsidRPr="009226E8">
              <w:rPr>
                <w:color w:val="0070C0"/>
                <w:lang w:val="en-AU"/>
              </w:rPr>
              <w:t xml:space="preserve">assurance </w:t>
            </w:r>
            <w:r w:rsidR="00A01795" w:rsidRPr="009226E8">
              <w:rPr>
                <w:color w:val="0070C0"/>
                <w:lang w:val="en-AU"/>
              </w:rPr>
              <w:t xml:space="preserve">processes </w:t>
            </w:r>
            <w:r w:rsidRPr="009226E8">
              <w:rPr>
                <w:color w:val="0070C0"/>
                <w:lang w:val="en-AU"/>
              </w:rPr>
              <w:t xml:space="preserve">to </w:t>
            </w:r>
            <w:r w:rsidR="00A01795" w:rsidRPr="009226E8">
              <w:rPr>
                <w:color w:val="0070C0"/>
                <w:lang w:val="en-AU"/>
              </w:rPr>
              <w:t>be completed by independent expert reviewers at key decision points of a Project</w:t>
            </w:r>
            <w:r w:rsidR="00C315FB" w:rsidRPr="009226E8">
              <w:rPr>
                <w:color w:val="0070C0"/>
                <w:lang w:val="en-AU"/>
              </w:rPr>
              <w:t xml:space="preserve">’s </w:t>
            </w:r>
            <w:r w:rsidR="00A01795" w:rsidRPr="009226E8">
              <w:rPr>
                <w:color w:val="0070C0"/>
                <w:lang w:val="en-AU"/>
              </w:rPr>
              <w:t>lifecycle. Each gateway review and other assurance processes should produce a report outlining an examination of the progress and likelihood of successful delivery of a Project</w:t>
            </w:r>
            <w:r w:rsidR="00C315FB" w:rsidRPr="009226E8">
              <w:rPr>
                <w:color w:val="0070C0"/>
                <w:lang w:val="en-AU"/>
              </w:rPr>
              <w:t>’s</w:t>
            </w:r>
            <w:r w:rsidR="00A01795" w:rsidRPr="009226E8">
              <w:rPr>
                <w:color w:val="0070C0"/>
                <w:lang w:val="en-AU"/>
              </w:rPr>
              <w:t xml:space="preserve"> outcomes at that point in time; and this report should be shared with the Commonwealth</w:t>
            </w:r>
            <w:r w:rsidRPr="009226E8">
              <w:rPr>
                <w:color w:val="0070C0"/>
                <w:lang w:val="en-AU"/>
              </w:rPr>
              <w:t xml:space="preserve">. If a State’s system does not have these characteristics, the Commonwealth reserves the right to require </w:t>
            </w:r>
            <w:r w:rsidR="00387F78" w:rsidRPr="009226E8">
              <w:rPr>
                <w:color w:val="0070C0"/>
                <w:lang w:val="en-AU"/>
              </w:rPr>
              <w:t xml:space="preserve">or undertake </w:t>
            </w:r>
            <w:r w:rsidRPr="009226E8">
              <w:rPr>
                <w:color w:val="0070C0"/>
                <w:lang w:val="en-AU"/>
              </w:rPr>
              <w:t>additional assurance activities.</w:t>
            </w:r>
          </w:p>
          <w:p w14:paraId="5B55B6C3" w14:textId="77777777" w:rsidR="00743199" w:rsidRPr="009226E8" w:rsidRDefault="00743199" w:rsidP="00743199">
            <w:pPr>
              <w:pStyle w:val="Tableformat"/>
              <w:keepNext/>
              <w:spacing w:line="257" w:lineRule="auto"/>
              <w:rPr>
                <w:b/>
                <w:color w:val="0070C0"/>
                <w:u w:val="single"/>
                <w:lang w:val="en-AU"/>
              </w:rPr>
            </w:pPr>
            <w:r w:rsidRPr="009226E8">
              <w:rPr>
                <w:b/>
                <w:color w:val="0070C0"/>
                <w:u w:val="single"/>
                <w:lang w:val="en-AU"/>
              </w:rPr>
              <w:t>Financial arrangements</w:t>
            </w:r>
          </w:p>
          <w:p w14:paraId="5B55B6C7" w14:textId="77777777" w:rsidR="00B90A8C" w:rsidRPr="009226E8" w:rsidRDefault="00120320" w:rsidP="0082228B">
            <w:pPr>
              <w:pStyle w:val="Tableformat"/>
              <w:numPr>
                <w:ilvl w:val="0"/>
                <w:numId w:val="23"/>
              </w:numPr>
              <w:spacing w:line="256" w:lineRule="auto"/>
              <w:rPr>
                <w:color w:val="0070C0"/>
                <w:lang w:val="en-AU"/>
              </w:rPr>
            </w:pPr>
            <w:r w:rsidRPr="009226E8">
              <w:rPr>
                <w:color w:val="0070C0"/>
                <w:lang w:val="en-AU"/>
              </w:rPr>
              <w:t>The Commonwealth may make funding available for multi-year rolling programs</w:t>
            </w:r>
            <w:r w:rsidR="002014FD" w:rsidRPr="009226E8">
              <w:rPr>
                <w:color w:val="0070C0"/>
                <w:lang w:val="en-AU"/>
              </w:rPr>
              <w:t>, including to address</w:t>
            </w:r>
            <w:r w:rsidRPr="009226E8">
              <w:rPr>
                <w:color w:val="0070C0"/>
                <w:lang w:val="en-AU"/>
              </w:rPr>
              <w:t xml:space="preserve"> target</w:t>
            </w:r>
            <w:r w:rsidR="002014FD" w:rsidRPr="009226E8">
              <w:rPr>
                <w:color w:val="0070C0"/>
                <w:lang w:val="en-AU"/>
              </w:rPr>
              <w:t>ed strategic</w:t>
            </w:r>
            <w:r w:rsidRPr="009226E8">
              <w:rPr>
                <w:color w:val="0070C0"/>
                <w:lang w:val="en-AU"/>
              </w:rPr>
              <w:t xml:space="preserve"> outcomes</w:t>
            </w:r>
            <w:r w:rsidR="002014FD" w:rsidRPr="009226E8">
              <w:rPr>
                <w:color w:val="0070C0"/>
                <w:lang w:val="en-AU"/>
              </w:rPr>
              <w:t>,</w:t>
            </w:r>
            <w:r w:rsidRPr="009226E8">
              <w:rPr>
                <w:color w:val="0070C0"/>
                <w:lang w:val="en-AU"/>
              </w:rPr>
              <w:t xml:space="preserve"> </w:t>
            </w:r>
            <w:r w:rsidR="002014FD" w:rsidRPr="009226E8">
              <w:rPr>
                <w:color w:val="0070C0"/>
                <w:lang w:val="en-AU"/>
              </w:rPr>
              <w:t xml:space="preserve">transport </w:t>
            </w:r>
            <w:r w:rsidRPr="009226E8">
              <w:rPr>
                <w:color w:val="0070C0"/>
                <w:lang w:val="en-AU"/>
              </w:rPr>
              <w:t>corridors</w:t>
            </w:r>
            <w:r w:rsidR="002014FD" w:rsidRPr="009226E8">
              <w:rPr>
                <w:color w:val="0070C0"/>
                <w:lang w:val="en-AU"/>
              </w:rPr>
              <w:t>,</w:t>
            </w:r>
            <w:r w:rsidRPr="009226E8">
              <w:rPr>
                <w:color w:val="0070C0"/>
                <w:lang w:val="en-AU"/>
              </w:rPr>
              <w:t xml:space="preserve"> </w:t>
            </w:r>
            <w:r w:rsidR="002014FD" w:rsidRPr="009226E8">
              <w:rPr>
                <w:color w:val="0070C0"/>
                <w:lang w:val="en-AU"/>
              </w:rPr>
              <w:t xml:space="preserve">or </w:t>
            </w:r>
            <w:r w:rsidRPr="009226E8">
              <w:rPr>
                <w:color w:val="0070C0"/>
                <w:lang w:val="en-AU"/>
              </w:rPr>
              <w:t>programs of low risk projects.</w:t>
            </w:r>
          </w:p>
          <w:p w14:paraId="5B55B6C8" w14:textId="77777777" w:rsidR="009242BD" w:rsidRPr="009226E8" w:rsidRDefault="009242BD" w:rsidP="009242BD">
            <w:pPr>
              <w:pStyle w:val="Tableformat"/>
              <w:keepNext/>
              <w:spacing w:line="257" w:lineRule="auto"/>
              <w:rPr>
                <w:i/>
                <w:color w:val="0070C0"/>
                <w:lang w:val="en-AU"/>
              </w:rPr>
            </w:pPr>
            <w:r w:rsidRPr="009226E8">
              <w:rPr>
                <w:i/>
                <w:color w:val="0070C0"/>
                <w:lang w:val="en-AU"/>
              </w:rPr>
              <w:t>Financial contributions</w:t>
            </w:r>
          </w:p>
          <w:p w14:paraId="5B55B6C9" w14:textId="77777777" w:rsidR="008C5E66" w:rsidRPr="000E5B59" w:rsidRDefault="00016BD9" w:rsidP="0082228B">
            <w:pPr>
              <w:pStyle w:val="Tableformat"/>
              <w:numPr>
                <w:ilvl w:val="0"/>
                <w:numId w:val="23"/>
              </w:numPr>
              <w:spacing w:line="256" w:lineRule="auto"/>
              <w:rPr>
                <w:color w:val="0070C0"/>
                <w:lang w:val="en-AU"/>
              </w:rPr>
            </w:pPr>
            <w:r w:rsidRPr="009226E8">
              <w:rPr>
                <w:color w:val="0070C0"/>
                <w:lang w:val="en-AU"/>
              </w:rPr>
              <w:t xml:space="preserve">Details of the </w:t>
            </w:r>
            <w:r w:rsidR="005E4820" w:rsidRPr="009226E8">
              <w:rPr>
                <w:color w:val="0070C0"/>
                <w:lang w:val="en-AU"/>
              </w:rPr>
              <w:t>Commonwealth</w:t>
            </w:r>
            <w:r w:rsidRPr="009226E8">
              <w:rPr>
                <w:color w:val="0070C0"/>
                <w:lang w:val="en-AU"/>
              </w:rPr>
              <w:t>'s and the States'</w:t>
            </w:r>
            <w:r w:rsidR="004D3E30" w:rsidRPr="009226E8">
              <w:rPr>
                <w:color w:val="0070C0"/>
                <w:lang w:val="en-AU"/>
              </w:rPr>
              <w:t xml:space="preserve"> </w:t>
            </w:r>
            <w:r w:rsidRPr="009226E8">
              <w:rPr>
                <w:color w:val="0070C0"/>
                <w:lang w:val="en-AU"/>
              </w:rPr>
              <w:t xml:space="preserve">estimated financial contributions to the operation of this </w:t>
            </w:r>
            <w:r w:rsidR="00682100" w:rsidRPr="009226E8">
              <w:rPr>
                <w:color w:val="0070C0"/>
                <w:lang w:val="en-AU"/>
              </w:rPr>
              <w:t>Schedule</w:t>
            </w:r>
            <w:r w:rsidRPr="009226E8">
              <w:rPr>
                <w:color w:val="0070C0"/>
                <w:lang w:val="en-AU"/>
              </w:rPr>
              <w:t xml:space="preserve"> are set </w:t>
            </w:r>
            <w:r w:rsidRPr="000E5B59">
              <w:rPr>
                <w:color w:val="0070C0"/>
                <w:lang w:val="en-AU"/>
              </w:rPr>
              <w:t xml:space="preserve">out in the </w:t>
            </w:r>
            <w:r w:rsidR="00682100" w:rsidRPr="000E5B59">
              <w:rPr>
                <w:color w:val="0070C0"/>
                <w:lang w:val="en-AU"/>
              </w:rPr>
              <w:t>Tables 2A to H</w:t>
            </w:r>
            <w:r w:rsidRPr="000E5B59">
              <w:rPr>
                <w:color w:val="0070C0"/>
                <w:lang w:val="en-AU"/>
              </w:rPr>
              <w:t xml:space="preserve">.  </w:t>
            </w:r>
          </w:p>
          <w:p w14:paraId="5B55B6CA" w14:textId="77777777" w:rsidR="00090601" w:rsidRPr="000E5B59" w:rsidRDefault="00090601" w:rsidP="0082228B">
            <w:pPr>
              <w:pStyle w:val="Tableformat"/>
              <w:numPr>
                <w:ilvl w:val="0"/>
                <w:numId w:val="23"/>
              </w:numPr>
              <w:spacing w:line="256" w:lineRule="auto"/>
              <w:rPr>
                <w:color w:val="0070C0"/>
                <w:lang w:val="en-AU"/>
              </w:rPr>
            </w:pPr>
            <w:r w:rsidRPr="000E5B59">
              <w:rPr>
                <w:color w:val="0070C0"/>
                <w:lang w:val="en-AU"/>
              </w:rPr>
              <w:t xml:space="preserve">Project funding splits will be determined at the time of funding commitment. The Commonwealth and States will maintain a consistent funding split on projects as cost pressures arise, </w:t>
            </w:r>
            <w:r w:rsidR="001E4176" w:rsidRPr="000E5B59">
              <w:rPr>
                <w:color w:val="0070C0"/>
                <w:lang w:val="en-AU"/>
              </w:rPr>
              <w:t xml:space="preserve">where appropriate governance, assurance and reporting has been clearly demonstrated and factors such as scope changes have been mutually agreed. </w:t>
            </w:r>
          </w:p>
          <w:p w14:paraId="5B55B6CB" w14:textId="77777777" w:rsidR="00016BD9" w:rsidRPr="009226E8" w:rsidRDefault="00016BD9" w:rsidP="0082228B">
            <w:pPr>
              <w:pStyle w:val="Tableformat"/>
              <w:numPr>
                <w:ilvl w:val="0"/>
                <w:numId w:val="23"/>
              </w:numPr>
              <w:spacing w:line="256" w:lineRule="auto"/>
              <w:rPr>
                <w:color w:val="0070C0"/>
                <w:lang w:val="en-AU"/>
              </w:rPr>
            </w:pPr>
            <w:r w:rsidRPr="009226E8">
              <w:rPr>
                <w:color w:val="0070C0"/>
                <w:lang w:val="en-AU"/>
              </w:rPr>
              <w:t xml:space="preserve">The sum of all </w:t>
            </w:r>
            <w:r w:rsidR="005E4820" w:rsidRPr="009226E8">
              <w:rPr>
                <w:color w:val="0070C0"/>
                <w:lang w:val="en-AU"/>
              </w:rPr>
              <w:t>Commonwealth</w:t>
            </w:r>
            <w:r w:rsidRPr="009226E8">
              <w:rPr>
                <w:color w:val="0070C0"/>
                <w:lang w:val="en-AU"/>
              </w:rPr>
              <w:t xml:space="preserve"> contributions to Projects at any given time in a given State will comprise the </w:t>
            </w:r>
            <w:r w:rsidR="000372D5" w:rsidRPr="009226E8">
              <w:rPr>
                <w:color w:val="0070C0"/>
                <w:lang w:val="en-AU"/>
              </w:rPr>
              <w:t xml:space="preserve">total Commonwealth funding allocation </w:t>
            </w:r>
            <w:r w:rsidRPr="009226E8">
              <w:rPr>
                <w:color w:val="0070C0"/>
                <w:lang w:val="en-AU"/>
              </w:rPr>
              <w:t xml:space="preserve">for that State. This </w:t>
            </w:r>
            <w:r w:rsidR="000372D5" w:rsidRPr="009226E8">
              <w:rPr>
                <w:color w:val="0070C0"/>
                <w:lang w:val="en-AU"/>
              </w:rPr>
              <w:t xml:space="preserve">total Commonwealth funding allocation </w:t>
            </w:r>
            <w:r w:rsidRPr="009226E8">
              <w:rPr>
                <w:color w:val="0070C0"/>
                <w:lang w:val="en-AU"/>
              </w:rPr>
              <w:t xml:space="preserve">shall be identified in the relevant State's </w:t>
            </w:r>
            <w:r w:rsidR="00682100" w:rsidRPr="009226E8">
              <w:rPr>
                <w:color w:val="0070C0"/>
                <w:lang w:val="en-AU"/>
              </w:rPr>
              <w:t>table at Tables 2A to H</w:t>
            </w:r>
            <w:r w:rsidRPr="009226E8">
              <w:rPr>
                <w:color w:val="0070C0"/>
                <w:lang w:val="en-AU"/>
              </w:rPr>
              <w:t xml:space="preserve">. States will be responsible for monitoring and keeping the </w:t>
            </w:r>
            <w:r w:rsidR="005E4820" w:rsidRPr="009226E8">
              <w:rPr>
                <w:color w:val="0070C0"/>
                <w:lang w:val="en-AU"/>
              </w:rPr>
              <w:t>Commonwealth</w:t>
            </w:r>
            <w:r w:rsidRPr="009226E8">
              <w:rPr>
                <w:color w:val="0070C0"/>
                <w:lang w:val="en-AU"/>
              </w:rPr>
              <w:t xml:space="preserve"> informed of anticipated </w:t>
            </w:r>
            <w:r w:rsidR="00BA5B5D" w:rsidRPr="009226E8">
              <w:rPr>
                <w:color w:val="0070C0"/>
                <w:lang w:val="en-AU"/>
              </w:rPr>
              <w:t>potential changes in scope, cost and delivery timelines for</w:t>
            </w:r>
            <w:r w:rsidRPr="009226E8">
              <w:rPr>
                <w:color w:val="0070C0"/>
                <w:lang w:val="en-AU"/>
              </w:rPr>
              <w:t xml:space="preserve"> Projects</w:t>
            </w:r>
            <w:r w:rsidR="00830D56" w:rsidRPr="009226E8">
              <w:rPr>
                <w:color w:val="0070C0"/>
                <w:lang w:val="en-AU"/>
              </w:rPr>
              <w:t xml:space="preserve"> </w:t>
            </w:r>
            <w:r w:rsidR="00BA5B5D" w:rsidRPr="009226E8">
              <w:rPr>
                <w:color w:val="0070C0"/>
                <w:lang w:val="en-AU"/>
              </w:rPr>
              <w:t>in Tables 2A to H</w:t>
            </w:r>
            <w:r w:rsidR="000372D5" w:rsidRPr="009226E8">
              <w:rPr>
                <w:color w:val="0070C0"/>
                <w:lang w:val="en-AU"/>
              </w:rPr>
              <w:t>.</w:t>
            </w:r>
            <w:r w:rsidRPr="009226E8">
              <w:rPr>
                <w:color w:val="0070C0"/>
                <w:lang w:val="en-AU"/>
              </w:rPr>
              <w:t xml:space="preserve"> </w:t>
            </w:r>
          </w:p>
          <w:p w14:paraId="5B55B6CC" w14:textId="77777777" w:rsidR="002014FD" w:rsidRPr="009226E8" w:rsidRDefault="007A4898" w:rsidP="0082228B">
            <w:pPr>
              <w:pStyle w:val="Tableformat"/>
              <w:numPr>
                <w:ilvl w:val="0"/>
                <w:numId w:val="23"/>
              </w:numPr>
              <w:spacing w:line="256" w:lineRule="auto"/>
              <w:rPr>
                <w:color w:val="0070C0"/>
                <w:lang w:val="en-AU"/>
              </w:rPr>
            </w:pPr>
            <w:r w:rsidRPr="009226E8">
              <w:rPr>
                <w:color w:val="0070C0"/>
                <w:lang w:val="en-AU"/>
              </w:rPr>
              <w:t>The C</w:t>
            </w:r>
            <w:r w:rsidR="00E30811" w:rsidRPr="009226E8">
              <w:rPr>
                <w:color w:val="0070C0"/>
                <w:lang w:val="en-AU"/>
              </w:rPr>
              <w:t>ommonweal</w:t>
            </w:r>
            <w:r w:rsidRPr="009226E8">
              <w:rPr>
                <w:color w:val="0070C0"/>
                <w:lang w:val="en-AU"/>
              </w:rPr>
              <w:t>th will release its share of funding consistent with the signed approval instrument.</w:t>
            </w:r>
            <w:r w:rsidR="00886D86" w:rsidRPr="009226E8">
              <w:rPr>
                <w:color w:val="0070C0"/>
                <w:lang w:val="en-AU"/>
              </w:rPr>
              <w:t xml:space="preserve"> </w:t>
            </w:r>
          </w:p>
          <w:p w14:paraId="5B55B6CD" w14:textId="77777777" w:rsidR="007A4898" w:rsidRPr="009226E8" w:rsidRDefault="002014FD" w:rsidP="0082228B">
            <w:pPr>
              <w:pStyle w:val="Tableformat"/>
              <w:numPr>
                <w:ilvl w:val="0"/>
                <w:numId w:val="23"/>
              </w:numPr>
              <w:spacing w:line="256" w:lineRule="auto"/>
              <w:rPr>
                <w:color w:val="0070C0"/>
                <w:lang w:val="en-AU"/>
              </w:rPr>
            </w:pPr>
            <w:r w:rsidRPr="009226E8">
              <w:rPr>
                <w:color w:val="0070C0"/>
                <w:lang w:val="en-AU"/>
              </w:rPr>
              <w:t xml:space="preserve">Commonwealth </w:t>
            </w:r>
            <w:r w:rsidR="00E26FD1" w:rsidRPr="009226E8">
              <w:rPr>
                <w:color w:val="0070C0"/>
                <w:lang w:val="en-AU"/>
              </w:rPr>
              <w:t>funding</w:t>
            </w:r>
            <w:r w:rsidRPr="009226E8">
              <w:rPr>
                <w:color w:val="0070C0"/>
                <w:lang w:val="en-AU"/>
              </w:rPr>
              <w:t xml:space="preserve"> will be released based on the achievement of project milestones</w:t>
            </w:r>
            <w:r w:rsidR="00E26FD1" w:rsidRPr="009226E8">
              <w:rPr>
                <w:color w:val="0070C0"/>
                <w:lang w:val="en-AU"/>
              </w:rPr>
              <w:t>,</w:t>
            </w:r>
            <w:r w:rsidRPr="009226E8">
              <w:rPr>
                <w:color w:val="0070C0"/>
                <w:lang w:val="en-AU"/>
              </w:rPr>
              <w:t xml:space="preserve"> which have been jointly </w:t>
            </w:r>
            <w:r w:rsidRPr="009226E8">
              <w:rPr>
                <w:color w:val="0070C0"/>
                <w:lang w:val="en-AU"/>
              </w:rPr>
              <w:lastRenderedPageBreak/>
              <w:t>agreed and which may, by written agreement, be varied by the relevant Parties from time to time</w:t>
            </w:r>
            <w:r w:rsidR="00886D86" w:rsidRPr="009226E8">
              <w:rPr>
                <w:color w:val="0070C0"/>
                <w:lang w:val="en-AU"/>
              </w:rPr>
              <w:t>.</w:t>
            </w:r>
          </w:p>
          <w:p w14:paraId="5B55B6CE" w14:textId="77777777" w:rsidR="00016BD9" w:rsidRPr="009226E8" w:rsidRDefault="005E4820" w:rsidP="0082228B">
            <w:pPr>
              <w:pStyle w:val="Tableformat"/>
              <w:numPr>
                <w:ilvl w:val="0"/>
                <w:numId w:val="23"/>
              </w:numPr>
              <w:spacing w:line="256" w:lineRule="auto"/>
              <w:rPr>
                <w:color w:val="0070C0"/>
                <w:lang w:val="en-AU"/>
              </w:rPr>
            </w:pPr>
            <w:r w:rsidRPr="009226E8">
              <w:rPr>
                <w:color w:val="0070C0"/>
                <w:lang w:val="en-AU"/>
              </w:rPr>
              <w:t>Commonwealth</w:t>
            </w:r>
            <w:r w:rsidR="00016BD9" w:rsidRPr="009226E8">
              <w:rPr>
                <w:color w:val="0070C0"/>
                <w:lang w:val="en-AU"/>
              </w:rPr>
              <w:t xml:space="preserve"> and State contributions as set out in </w:t>
            </w:r>
            <w:r w:rsidR="00625DE5" w:rsidRPr="009226E8">
              <w:rPr>
                <w:color w:val="0070C0"/>
                <w:lang w:val="en-AU"/>
              </w:rPr>
              <w:t>Tables 2A to H</w:t>
            </w:r>
            <w:r w:rsidR="00016BD9" w:rsidRPr="009226E8">
              <w:rPr>
                <w:color w:val="0070C0"/>
                <w:lang w:val="en-AU"/>
              </w:rPr>
              <w:t xml:space="preserve"> </w:t>
            </w:r>
            <w:r w:rsidR="00625DE5" w:rsidRPr="009226E8">
              <w:rPr>
                <w:color w:val="0070C0"/>
                <w:lang w:val="en-AU"/>
              </w:rPr>
              <w:t xml:space="preserve">of </w:t>
            </w:r>
            <w:r w:rsidR="00016BD9" w:rsidRPr="009226E8">
              <w:rPr>
                <w:color w:val="0070C0"/>
                <w:lang w:val="en-AU"/>
              </w:rPr>
              <w:t xml:space="preserve">this </w:t>
            </w:r>
            <w:r w:rsidR="00625DE5" w:rsidRPr="009226E8">
              <w:rPr>
                <w:color w:val="0070C0"/>
                <w:lang w:val="en-AU"/>
              </w:rPr>
              <w:t>Schedule</w:t>
            </w:r>
            <w:r w:rsidR="00016BD9" w:rsidRPr="009226E8">
              <w:rPr>
                <w:color w:val="0070C0"/>
                <w:lang w:val="en-AU"/>
              </w:rPr>
              <w:t xml:space="preserve"> must only be used for approved purposes, as set out in </w:t>
            </w:r>
            <w:r w:rsidR="0043361A" w:rsidRPr="009226E8">
              <w:rPr>
                <w:color w:val="0070C0"/>
                <w:lang w:val="en-AU"/>
              </w:rPr>
              <w:t>the NLT Act</w:t>
            </w:r>
            <w:r w:rsidR="00016BD9" w:rsidRPr="009226E8">
              <w:rPr>
                <w:color w:val="0070C0"/>
                <w:lang w:val="en-AU"/>
              </w:rPr>
              <w:t xml:space="preserve">. </w:t>
            </w:r>
          </w:p>
          <w:p w14:paraId="5B55B6CF" w14:textId="77777777" w:rsidR="001D7667" w:rsidRPr="009226E8" w:rsidRDefault="001D7667" w:rsidP="0082228B">
            <w:pPr>
              <w:pStyle w:val="Tableformat"/>
              <w:numPr>
                <w:ilvl w:val="0"/>
                <w:numId w:val="23"/>
              </w:numPr>
              <w:spacing w:line="256" w:lineRule="auto"/>
              <w:rPr>
                <w:color w:val="0070C0"/>
                <w:lang w:val="en-AU"/>
              </w:rPr>
            </w:pPr>
            <w:r w:rsidRPr="009226E8">
              <w:rPr>
                <w:color w:val="0070C0"/>
                <w:lang w:val="en-AU"/>
              </w:rPr>
              <w:t xml:space="preserve">In the spirit of partnership, the </w:t>
            </w:r>
            <w:r w:rsidR="00DB114E" w:rsidRPr="009226E8">
              <w:rPr>
                <w:color w:val="0070C0"/>
                <w:lang w:val="en-AU"/>
              </w:rPr>
              <w:t>Commonwealth and a State</w:t>
            </w:r>
            <w:r w:rsidRPr="009226E8">
              <w:rPr>
                <w:color w:val="0070C0"/>
                <w:lang w:val="en-AU"/>
              </w:rPr>
              <w:t xml:space="preserve"> may agree to reallocate funding </w:t>
            </w:r>
            <w:r w:rsidR="000372D5" w:rsidRPr="009226E8">
              <w:rPr>
                <w:color w:val="0070C0"/>
                <w:lang w:val="en-AU"/>
              </w:rPr>
              <w:t>between Projects t</w:t>
            </w:r>
            <w:r w:rsidRPr="009226E8">
              <w:rPr>
                <w:color w:val="0070C0"/>
                <w:lang w:val="en-AU"/>
              </w:rPr>
              <w:t xml:space="preserve">o manage cost pressures and changing priorities, ensuring that the total Commonwealth funding allocation </w:t>
            </w:r>
            <w:r w:rsidR="00DB114E" w:rsidRPr="009226E8">
              <w:rPr>
                <w:color w:val="0070C0"/>
                <w:lang w:val="en-AU"/>
              </w:rPr>
              <w:t xml:space="preserve">for that State </w:t>
            </w:r>
            <w:r w:rsidRPr="009226E8">
              <w:rPr>
                <w:color w:val="0070C0"/>
                <w:lang w:val="en-AU"/>
              </w:rPr>
              <w:t>is not exceeded. This process is set out in the Notes on Administration.</w:t>
            </w:r>
          </w:p>
          <w:p w14:paraId="5B55B6D0" w14:textId="77777777" w:rsidR="001E6767" w:rsidRPr="009226E8" w:rsidRDefault="0018090F" w:rsidP="000F6673">
            <w:pPr>
              <w:pStyle w:val="Tableformat"/>
              <w:keepNext/>
              <w:spacing w:line="257" w:lineRule="auto"/>
              <w:rPr>
                <w:i/>
                <w:color w:val="0070C0"/>
                <w:lang w:val="en-AU"/>
              </w:rPr>
            </w:pPr>
            <w:r w:rsidRPr="009226E8">
              <w:rPr>
                <w:i/>
                <w:color w:val="0070C0"/>
                <w:lang w:val="en-AU"/>
              </w:rPr>
              <w:t>C</w:t>
            </w:r>
            <w:r w:rsidR="001E6767" w:rsidRPr="009226E8">
              <w:rPr>
                <w:i/>
                <w:color w:val="0070C0"/>
                <w:lang w:val="en-AU"/>
              </w:rPr>
              <w:t>ost savings</w:t>
            </w:r>
          </w:p>
          <w:p w14:paraId="5B55B6D1" w14:textId="77777777" w:rsidR="00D20667" w:rsidRPr="009226E8" w:rsidRDefault="00C12E51" w:rsidP="0082228B">
            <w:pPr>
              <w:pStyle w:val="Tableformat"/>
              <w:numPr>
                <w:ilvl w:val="0"/>
                <w:numId w:val="23"/>
              </w:numPr>
              <w:spacing w:line="256" w:lineRule="auto"/>
              <w:rPr>
                <w:color w:val="0070C0"/>
                <w:lang w:val="en-AU"/>
              </w:rPr>
            </w:pPr>
            <w:r w:rsidRPr="009226E8">
              <w:rPr>
                <w:color w:val="0070C0"/>
                <w:lang w:val="en-AU"/>
              </w:rPr>
              <w:t>W</w:t>
            </w:r>
            <w:r w:rsidR="001E6767" w:rsidRPr="009226E8">
              <w:rPr>
                <w:color w:val="0070C0"/>
                <w:lang w:val="en-AU"/>
              </w:rPr>
              <w:t>here the updated cost estimate or final Project</w:t>
            </w:r>
            <w:r w:rsidR="0018090F" w:rsidRPr="009226E8">
              <w:rPr>
                <w:color w:val="0070C0"/>
                <w:lang w:val="en-AU"/>
              </w:rPr>
              <w:t xml:space="preserve"> </w:t>
            </w:r>
            <w:r w:rsidR="001E6767" w:rsidRPr="009226E8">
              <w:rPr>
                <w:color w:val="0070C0"/>
                <w:lang w:val="en-AU"/>
              </w:rPr>
              <w:t xml:space="preserve">cost to government is less than the </w:t>
            </w:r>
            <w:r w:rsidR="00BC687C" w:rsidRPr="009226E8">
              <w:rPr>
                <w:color w:val="0070C0"/>
                <w:lang w:val="en-AU"/>
              </w:rPr>
              <w:t xml:space="preserve">committed </w:t>
            </w:r>
            <w:r w:rsidR="001E6767" w:rsidRPr="009226E8">
              <w:rPr>
                <w:color w:val="0070C0"/>
                <w:lang w:val="en-AU"/>
              </w:rPr>
              <w:t xml:space="preserve">amount(s) which the </w:t>
            </w:r>
            <w:r w:rsidR="005E4820" w:rsidRPr="009226E8">
              <w:rPr>
                <w:color w:val="0070C0"/>
                <w:lang w:val="en-AU"/>
              </w:rPr>
              <w:t>Commonwealth</w:t>
            </w:r>
            <w:r w:rsidR="001E6767" w:rsidRPr="009226E8">
              <w:rPr>
                <w:color w:val="0070C0"/>
                <w:lang w:val="en-AU"/>
              </w:rPr>
              <w:t xml:space="preserve"> and the relevant State have agreed to make available, the savings will be treated in the following way:</w:t>
            </w:r>
          </w:p>
          <w:p w14:paraId="5B55B6D2" w14:textId="77777777" w:rsidR="001E6767" w:rsidRPr="009226E8" w:rsidRDefault="001E6767" w:rsidP="00C62598">
            <w:pPr>
              <w:pStyle w:val="Tableformat"/>
              <w:numPr>
                <w:ilvl w:val="0"/>
                <w:numId w:val="7"/>
              </w:numPr>
              <w:spacing w:line="256" w:lineRule="auto"/>
              <w:rPr>
                <w:color w:val="0070C0"/>
                <w:lang w:val="en-AU"/>
              </w:rPr>
            </w:pPr>
            <w:r w:rsidRPr="009226E8">
              <w:rPr>
                <w:color w:val="0070C0"/>
                <w:lang w:val="en-AU"/>
              </w:rPr>
              <w:t>for Projects</w:t>
            </w:r>
            <w:r w:rsidR="0018090F" w:rsidRPr="009226E8">
              <w:rPr>
                <w:color w:val="0070C0"/>
                <w:lang w:val="en-AU"/>
              </w:rPr>
              <w:t xml:space="preserve"> </w:t>
            </w:r>
            <w:r w:rsidRPr="009226E8">
              <w:rPr>
                <w:color w:val="0070C0"/>
                <w:lang w:val="en-AU"/>
              </w:rPr>
              <w:t xml:space="preserve">to which only the </w:t>
            </w:r>
            <w:r w:rsidR="005E4820" w:rsidRPr="009226E8">
              <w:rPr>
                <w:color w:val="0070C0"/>
                <w:lang w:val="en-AU"/>
              </w:rPr>
              <w:t>Commonwealth</w:t>
            </w:r>
            <w:r w:rsidRPr="009226E8">
              <w:rPr>
                <w:color w:val="0070C0"/>
                <w:lang w:val="en-AU"/>
              </w:rPr>
              <w:t xml:space="preserve"> has committed a specified funding contribution, the </w:t>
            </w:r>
            <w:r w:rsidR="005E4820" w:rsidRPr="009226E8">
              <w:rPr>
                <w:color w:val="0070C0"/>
                <w:lang w:val="en-AU"/>
              </w:rPr>
              <w:t>Commonwealth</w:t>
            </w:r>
            <w:r w:rsidR="005A4102" w:rsidRPr="009226E8">
              <w:rPr>
                <w:color w:val="0070C0"/>
                <w:lang w:val="en-AU"/>
              </w:rPr>
              <w:t xml:space="preserve"> funding will be moved to State Unallocated</w:t>
            </w:r>
            <w:r w:rsidRPr="009226E8">
              <w:rPr>
                <w:color w:val="0070C0"/>
                <w:lang w:val="en-AU"/>
              </w:rPr>
              <w:t xml:space="preserve">; </w:t>
            </w:r>
            <w:r w:rsidR="00B81405" w:rsidRPr="009226E8">
              <w:rPr>
                <w:color w:val="0070C0"/>
                <w:lang w:val="en-AU"/>
              </w:rPr>
              <w:t>or</w:t>
            </w:r>
          </w:p>
          <w:p w14:paraId="5B55B6D3" w14:textId="77777777" w:rsidR="001E6767" w:rsidRPr="009226E8" w:rsidRDefault="001E6767" w:rsidP="00C62598">
            <w:pPr>
              <w:pStyle w:val="Tableformat"/>
              <w:numPr>
                <w:ilvl w:val="0"/>
                <w:numId w:val="7"/>
              </w:numPr>
              <w:spacing w:line="256" w:lineRule="auto"/>
              <w:rPr>
                <w:color w:val="0070C0"/>
                <w:lang w:val="en-AU"/>
              </w:rPr>
            </w:pPr>
            <w:r w:rsidRPr="009226E8">
              <w:rPr>
                <w:color w:val="0070C0"/>
                <w:lang w:val="en-AU"/>
              </w:rPr>
              <w:t xml:space="preserve">for Projects which both the </w:t>
            </w:r>
            <w:r w:rsidR="005E4820" w:rsidRPr="009226E8">
              <w:rPr>
                <w:color w:val="0070C0"/>
                <w:lang w:val="en-AU"/>
              </w:rPr>
              <w:t>Commonwealth</w:t>
            </w:r>
            <w:r w:rsidRPr="009226E8">
              <w:rPr>
                <w:color w:val="0070C0"/>
                <w:lang w:val="en-AU"/>
              </w:rPr>
              <w:t xml:space="preserve"> and a State have committed a specified funding contribution, the savings will be divided on a pro-rata basis and be redistributed:</w:t>
            </w:r>
          </w:p>
          <w:p w14:paraId="5B55B6D4" w14:textId="77777777" w:rsidR="001E6767" w:rsidRPr="009226E8" w:rsidRDefault="001E6767" w:rsidP="00C62598">
            <w:pPr>
              <w:pStyle w:val="Tableformat"/>
              <w:numPr>
                <w:ilvl w:val="2"/>
                <w:numId w:val="5"/>
              </w:numPr>
              <w:spacing w:line="256" w:lineRule="auto"/>
              <w:rPr>
                <w:color w:val="0070C0"/>
                <w:lang w:val="en-AU"/>
              </w:rPr>
            </w:pPr>
            <w:r w:rsidRPr="009226E8">
              <w:rPr>
                <w:color w:val="0070C0"/>
                <w:lang w:val="en-AU"/>
              </w:rPr>
              <w:t xml:space="preserve">in the case of the </w:t>
            </w:r>
            <w:r w:rsidR="005E4820" w:rsidRPr="009226E8">
              <w:rPr>
                <w:color w:val="0070C0"/>
                <w:lang w:val="en-AU"/>
              </w:rPr>
              <w:t>Commonwealth</w:t>
            </w:r>
            <w:r w:rsidRPr="009226E8">
              <w:rPr>
                <w:color w:val="0070C0"/>
                <w:lang w:val="en-AU"/>
              </w:rPr>
              <w:t>,</w:t>
            </w:r>
            <w:r w:rsidR="00942FA5" w:rsidRPr="009226E8">
              <w:rPr>
                <w:color w:val="0070C0"/>
                <w:lang w:val="en-AU"/>
              </w:rPr>
              <w:t xml:space="preserve"> funding will be moved to State Unallocated</w:t>
            </w:r>
            <w:r w:rsidRPr="009226E8">
              <w:rPr>
                <w:color w:val="0070C0"/>
                <w:lang w:val="en-AU"/>
              </w:rPr>
              <w:t>; and</w:t>
            </w:r>
          </w:p>
          <w:p w14:paraId="5B55B6D5" w14:textId="77777777" w:rsidR="001E6767" w:rsidRPr="009226E8" w:rsidRDefault="001E6767" w:rsidP="00C62598">
            <w:pPr>
              <w:pStyle w:val="Tableformat"/>
              <w:numPr>
                <w:ilvl w:val="2"/>
                <w:numId w:val="5"/>
              </w:numPr>
              <w:spacing w:line="256" w:lineRule="auto"/>
              <w:rPr>
                <w:color w:val="0070C0"/>
                <w:lang w:val="en-AU"/>
              </w:rPr>
            </w:pPr>
            <w:r w:rsidRPr="009226E8">
              <w:rPr>
                <w:color w:val="0070C0"/>
                <w:lang w:val="en-AU"/>
              </w:rPr>
              <w:t>in the case of a State, the State may choose to reallocate its share of the funding to other Projects.</w:t>
            </w:r>
          </w:p>
          <w:p w14:paraId="5B55B6D6" w14:textId="77777777" w:rsidR="001E6767" w:rsidRPr="009226E8" w:rsidRDefault="001E6767" w:rsidP="00FD621D">
            <w:pPr>
              <w:pStyle w:val="Tableformat"/>
              <w:keepNext/>
              <w:spacing w:line="257" w:lineRule="auto"/>
              <w:rPr>
                <w:b/>
                <w:color w:val="0070C0"/>
                <w:u w:val="single"/>
                <w:lang w:val="en-AU"/>
              </w:rPr>
            </w:pPr>
            <w:r w:rsidRPr="009226E8">
              <w:rPr>
                <w:b/>
                <w:color w:val="0070C0"/>
                <w:u w:val="single"/>
                <w:lang w:val="en-AU"/>
              </w:rPr>
              <w:t>Project arrangements</w:t>
            </w:r>
          </w:p>
          <w:p w14:paraId="5B55B6D7" w14:textId="77777777" w:rsidR="001E6767" w:rsidRPr="009226E8" w:rsidRDefault="001E6767" w:rsidP="00FD621D">
            <w:pPr>
              <w:pStyle w:val="Tableformat"/>
              <w:keepNext/>
              <w:spacing w:line="257" w:lineRule="auto"/>
              <w:rPr>
                <w:i/>
                <w:color w:val="0070C0"/>
                <w:lang w:val="en-AU"/>
              </w:rPr>
            </w:pPr>
            <w:r w:rsidRPr="009226E8">
              <w:rPr>
                <w:i/>
                <w:color w:val="0070C0"/>
                <w:lang w:val="en-AU"/>
              </w:rPr>
              <w:t>Variations</w:t>
            </w:r>
            <w:r w:rsidR="00711D82" w:rsidRPr="009226E8">
              <w:rPr>
                <w:i/>
                <w:color w:val="0070C0"/>
                <w:lang w:val="en-AU"/>
              </w:rPr>
              <w:t xml:space="preserve"> </w:t>
            </w:r>
          </w:p>
          <w:p w14:paraId="5B55B6D8" w14:textId="77777777" w:rsidR="001E6767" w:rsidRPr="009226E8" w:rsidRDefault="001E6767" w:rsidP="0082228B">
            <w:pPr>
              <w:pStyle w:val="Tableformat"/>
              <w:numPr>
                <w:ilvl w:val="0"/>
                <w:numId w:val="23"/>
              </w:numPr>
              <w:spacing w:line="256" w:lineRule="auto"/>
              <w:rPr>
                <w:color w:val="0070C0"/>
                <w:lang w:val="en-AU"/>
              </w:rPr>
            </w:pPr>
            <w:r w:rsidRPr="009226E8">
              <w:rPr>
                <w:color w:val="0070C0"/>
                <w:lang w:val="en-AU"/>
              </w:rPr>
              <w:t xml:space="preserve">The Parties recognise that there may be a need from time to time to vary some of the Projects set out in </w:t>
            </w:r>
            <w:r w:rsidR="00A34292" w:rsidRPr="009226E8">
              <w:rPr>
                <w:color w:val="0070C0"/>
                <w:lang w:val="en-AU"/>
              </w:rPr>
              <w:t xml:space="preserve">Tables 2A to H </w:t>
            </w:r>
            <w:r w:rsidRPr="009226E8">
              <w:rPr>
                <w:color w:val="0070C0"/>
                <w:lang w:val="en-AU"/>
              </w:rPr>
              <w:t xml:space="preserve">to this </w:t>
            </w:r>
            <w:r w:rsidR="00A34292" w:rsidRPr="009226E8">
              <w:rPr>
                <w:color w:val="0070C0"/>
                <w:lang w:val="en-AU"/>
              </w:rPr>
              <w:t>Schedule</w:t>
            </w:r>
            <w:r w:rsidRPr="009226E8">
              <w:rPr>
                <w:color w:val="0070C0"/>
                <w:lang w:val="en-AU"/>
              </w:rPr>
              <w:t xml:space="preserve"> as </w:t>
            </w:r>
            <w:r w:rsidR="00B548B6" w:rsidRPr="009226E8">
              <w:rPr>
                <w:color w:val="0070C0"/>
                <w:lang w:val="en-AU"/>
              </w:rPr>
              <w:t xml:space="preserve">investment </w:t>
            </w:r>
            <w:r w:rsidRPr="009226E8">
              <w:rPr>
                <w:color w:val="0070C0"/>
                <w:lang w:val="en-AU"/>
              </w:rPr>
              <w:t>proposals are further developed and refined, or in response to circumstances that may potentially affect the scope, cost (and respective funding contributions) and expected timelines of Projects.</w:t>
            </w:r>
          </w:p>
          <w:p w14:paraId="5B55B6D9" w14:textId="77777777" w:rsidR="001E6767" w:rsidRPr="009226E8" w:rsidRDefault="001E6767" w:rsidP="0082228B">
            <w:pPr>
              <w:pStyle w:val="Tableformat"/>
              <w:numPr>
                <w:ilvl w:val="0"/>
                <w:numId w:val="23"/>
              </w:numPr>
              <w:spacing w:line="256" w:lineRule="auto"/>
              <w:rPr>
                <w:color w:val="0070C0"/>
                <w:lang w:val="en-AU"/>
              </w:rPr>
            </w:pPr>
            <w:r w:rsidRPr="009226E8">
              <w:rPr>
                <w:color w:val="0070C0"/>
                <w:lang w:val="en-AU"/>
              </w:rPr>
              <w:t>Significant variations to a Project</w:t>
            </w:r>
            <w:r w:rsidR="00486EA9" w:rsidRPr="009226E8">
              <w:rPr>
                <w:color w:val="0070C0"/>
                <w:lang w:val="en-AU"/>
              </w:rPr>
              <w:t xml:space="preserve"> </w:t>
            </w:r>
            <w:r w:rsidRPr="009226E8">
              <w:rPr>
                <w:color w:val="0070C0"/>
                <w:lang w:val="en-AU"/>
              </w:rPr>
              <w:t xml:space="preserve">described in </w:t>
            </w:r>
            <w:r w:rsidR="00A34292" w:rsidRPr="009226E8">
              <w:rPr>
                <w:color w:val="0070C0"/>
                <w:lang w:val="en-AU"/>
              </w:rPr>
              <w:t>Tables 2A to H</w:t>
            </w:r>
            <w:r w:rsidRPr="009226E8">
              <w:rPr>
                <w:color w:val="0070C0"/>
                <w:lang w:val="en-AU"/>
              </w:rPr>
              <w:t xml:space="preserve">, </w:t>
            </w:r>
            <w:r w:rsidR="00B532A6" w:rsidRPr="009226E8">
              <w:rPr>
                <w:color w:val="0070C0"/>
                <w:lang w:val="en-AU"/>
              </w:rPr>
              <w:t>(</w:t>
            </w:r>
            <w:r w:rsidRPr="009226E8">
              <w:rPr>
                <w:color w:val="0070C0"/>
                <w:lang w:val="en-AU"/>
              </w:rPr>
              <w:t>including those that affect scope, cost, respective funding contributions and timelines</w:t>
            </w:r>
            <w:r w:rsidR="00B532A6" w:rsidRPr="009226E8">
              <w:rPr>
                <w:color w:val="0070C0"/>
                <w:lang w:val="en-AU"/>
              </w:rPr>
              <w:t>)</w:t>
            </w:r>
            <w:r w:rsidRPr="009226E8">
              <w:rPr>
                <w:color w:val="0070C0"/>
                <w:lang w:val="en-AU"/>
              </w:rPr>
              <w:t xml:space="preserve"> will be agreed in writing by the relevant Parties. Any consequential variations to Project </w:t>
            </w:r>
            <w:r w:rsidRPr="009226E8">
              <w:rPr>
                <w:color w:val="0070C0"/>
                <w:lang w:val="en-AU"/>
              </w:rPr>
              <w:lastRenderedPageBreak/>
              <w:t>milestones will be agreed in accordance with the Notes on Administration.</w:t>
            </w:r>
          </w:p>
          <w:p w14:paraId="5B55B6DA" w14:textId="77777777" w:rsidR="0043361A" w:rsidRPr="009226E8" w:rsidRDefault="00711D82" w:rsidP="0043361A">
            <w:pPr>
              <w:pStyle w:val="Tableformat"/>
              <w:keepNext/>
              <w:spacing w:line="256" w:lineRule="auto"/>
              <w:rPr>
                <w:i/>
                <w:color w:val="0070C0"/>
                <w:lang w:val="en-AU"/>
              </w:rPr>
            </w:pPr>
            <w:r w:rsidRPr="009226E8">
              <w:rPr>
                <w:i/>
                <w:color w:val="0070C0"/>
                <w:lang w:val="en-AU"/>
              </w:rPr>
              <w:t xml:space="preserve"> </w:t>
            </w:r>
            <w:r w:rsidR="0043361A" w:rsidRPr="009226E8">
              <w:rPr>
                <w:i/>
                <w:color w:val="0070C0"/>
                <w:lang w:val="en-AU"/>
              </w:rPr>
              <w:t>Funding Withdrawals</w:t>
            </w:r>
          </w:p>
          <w:p w14:paraId="5B55B6DB"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By agreement, the Parties may agree to withdraw funding for a Project</w:t>
            </w:r>
            <w:r w:rsidR="00D57E35" w:rsidRPr="009226E8">
              <w:rPr>
                <w:color w:val="0070C0"/>
                <w:lang w:val="en-AU"/>
              </w:rPr>
              <w:t xml:space="preserve"> </w:t>
            </w:r>
            <w:r w:rsidRPr="009226E8">
              <w:rPr>
                <w:color w:val="0070C0"/>
                <w:lang w:val="en-AU"/>
              </w:rPr>
              <w:t>prior to the awarding of a construction contract where:</w:t>
            </w:r>
          </w:p>
          <w:p w14:paraId="5B55B6DC" w14:textId="77777777" w:rsidR="0043361A" w:rsidRPr="009226E8" w:rsidRDefault="0043361A" w:rsidP="00C62598">
            <w:pPr>
              <w:pStyle w:val="Tableformat"/>
              <w:numPr>
                <w:ilvl w:val="0"/>
                <w:numId w:val="8"/>
              </w:numPr>
              <w:spacing w:line="254" w:lineRule="auto"/>
              <w:rPr>
                <w:color w:val="0070C0"/>
                <w:lang w:val="en-AU"/>
              </w:rPr>
            </w:pPr>
            <w:r w:rsidRPr="009226E8">
              <w:rPr>
                <w:color w:val="0070C0"/>
                <w:lang w:val="en-AU"/>
              </w:rPr>
              <w:t>more recent cost estimates significantly exceed the previous cost estimates; or</w:t>
            </w:r>
          </w:p>
          <w:p w14:paraId="5B55B6DD" w14:textId="77777777" w:rsidR="0043361A" w:rsidRPr="009226E8" w:rsidRDefault="0043361A" w:rsidP="00C62598">
            <w:pPr>
              <w:pStyle w:val="Tableformat"/>
              <w:numPr>
                <w:ilvl w:val="0"/>
                <w:numId w:val="8"/>
              </w:numPr>
              <w:spacing w:line="254" w:lineRule="auto"/>
              <w:rPr>
                <w:color w:val="0070C0"/>
                <w:lang w:val="en-AU"/>
              </w:rPr>
            </w:pPr>
            <w:r w:rsidRPr="009226E8">
              <w:rPr>
                <w:color w:val="0070C0"/>
                <w:lang w:val="en-AU"/>
              </w:rPr>
              <w:t xml:space="preserve">the Parties are unable to agree on a timetable for a Project; or </w:t>
            </w:r>
          </w:p>
          <w:p w14:paraId="5B55B6DE" w14:textId="77777777" w:rsidR="0043361A" w:rsidRPr="009226E8" w:rsidRDefault="0043361A" w:rsidP="00C62598">
            <w:pPr>
              <w:pStyle w:val="Tableformat"/>
              <w:numPr>
                <w:ilvl w:val="0"/>
                <w:numId w:val="8"/>
              </w:numPr>
              <w:spacing w:line="254" w:lineRule="auto"/>
              <w:rPr>
                <w:color w:val="0070C0"/>
                <w:lang w:val="en-AU"/>
              </w:rPr>
            </w:pPr>
            <w:r w:rsidRPr="009226E8">
              <w:rPr>
                <w:color w:val="0070C0"/>
                <w:lang w:val="en-AU"/>
              </w:rPr>
              <w:t>significant delays occur against the agreed timetable for preparing the Project for construction; or</w:t>
            </w:r>
          </w:p>
          <w:p w14:paraId="5B55B6DF" w14:textId="77777777" w:rsidR="0043361A" w:rsidRPr="009226E8" w:rsidRDefault="0043361A" w:rsidP="00C62598">
            <w:pPr>
              <w:pStyle w:val="Tableformat"/>
              <w:numPr>
                <w:ilvl w:val="0"/>
                <w:numId w:val="8"/>
              </w:numPr>
              <w:spacing w:line="254" w:lineRule="auto"/>
              <w:rPr>
                <w:color w:val="0070C0"/>
                <w:lang w:val="en-AU"/>
              </w:rPr>
            </w:pPr>
            <w:r w:rsidRPr="009226E8">
              <w:rPr>
                <w:color w:val="0070C0"/>
                <w:lang w:val="en-AU"/>
              </w:rPr>
              <w:t>there are significant changes proposed to the scope of a Project.</w:t>
            </w:r>
          </w:p>
          <w:p w14:paraId="5B55B6E0" w14:textId="77777777" w:rsidR="009A01B7" w:rsidRPr="009226E8" w:rsidRDefault="0043361A" w:rsidP="0082228B">
            <w:pPr>
              <w:pStyle w:val="Tableformat"/>
              <w:numPr>
                <w:ilvl w:val="0"/>
                <w:numId w:val="23"/>
              </w:numPr>
              <w:spacing w:line="254" w:lineRule="auto"/>
              <w:rPr>
                <w:color w:val="0070C0"/>
                <w:lang w:val="en-AU"/>
              </w:rPr>
            </w:pPr>
            <w:r w:rsidRPr="009226E8">
              <w:rPr>
                <w:color w:val="0070C0"/>
                <w:lang w:val="en-AU"/>
              </w:rPr>
              <w:t xml:space="preserve">In the event of </w:t>
            </w:r>
            <w:r w:rsidR="00EC3967" w:rsidRPr="009226E8">
              <w:rPr>
                <w:color w:val="0070C0"/>
                <w:lang w:val="en-AU"/>
              </w:rPr>
              <w:t xml:space="preserve">the </w:t>
            </w:r>
            <w:r w:rsidRPr="009226E8">
              <w:rPr>
                <w:color w:val="0070C0"/>
                <w:lang w:val="en-AU"/>
              </w:rPr>
              <w:t>Part</w:t>
            </w:r>
            <w:r w:rsidR="00EC3967" w:rsidRPr="009226E8">
              <w:rPr>
                <w:color w:val="0070C0"/>
                <w:lang w:val="en-AU"/>
              </w:rPr>
              <w:t>ies</w:t>
            </w:r>
            <w:r w:rsidRPr="009226E8">
              <w:rPr>
                <w:color w:val="0070C0"/>
                <w:lang w:val="en-AU"/>
              </w:rPr>
              <w:t xml:space="preserve"> withdrawing funding from a Project</w:t>
            </w:r>
            <w:r w:rsidR="00D57E35" w:rsidRPr="009226E8">
              <w:rPr>
                <w:color w:val="0070C0"/>
                <w:lang w:val="en-AU"/>
              </w:rPr>
              <w:t xml:space="preserve"> </w:t>
            </w:r>
            <w:r w:rsidRPr="009226E8">
              <w:rPr>
                <w:color w:val="0070C0"/>
                <w:lang w:val="en-AU"/>
              </w:rPr>
              <w:t xml:space="preserve">in accordance with Term </w:t>
            </w:r>
            <w:r w:rsidR="0082228B">
              <w:rPr>
                <w:color w:val="0070C0"/>
                <w:lang w:val="en-AU"/>
              </w:rPr>
              <w:t>48</w:t>
            </w:r>
            <w:r w:rsidR="00D6397C" w:rsidRPr="009226E8">
              <w:rPr>
                <w:color w:val="0070C0"/>
                <w:lang w:val="en-AU"/>
              </w:rPr>
              <w:t xml:space="preserve"> </w:t>
            </w:r>
            <w:r w:rsidRPr="009226E8">
              <w:rPr>
                <w:color w:val="0070C0"/>
                <w:lang w:val="en-AU"/>
              </w:rPr>
              <w:t>above, necessary payments to affected tenderers will be shared by the relevant Parties in proportion to their funding contribution and agreed on a case-by-case basis.</w:t>
            </w:r>
          </w:p>
          <w:p w14:paraId="5B55B6E1"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In terms of the distribution of any remaining funding:</w:t>
            </w:r>
          </w:p>
          <w:p w14:paraId="5B55B6E2" w14:textId="77777777" w:rsidR="0043361A" w:rsidRPr="009226E8" w:rsidRDefault="0043361A" w:rsidP="00C62598">
            <w:pPr>
              <w:pStyle w:val="Tableformat"/>
              <w:numPr>
                <w:ilvl w:val="0"/>
                <w:numId w:val="9"/>
              </w:numPr>
              <w:spacing w:line="254" w:lineRule="auto"/>
              <w:rPr>
                <w:color w:val="0070C0"/>
                <w:lang w:val="en-AU"/>
              </w:rPr>
            </w:pPr>
            <w:r w:rsidRPr="009226E8">
              <w:rPr>
                <w:color w:val="0070C0"/>
                <w:lang w:val="en-AU"/>
              </w:rPr>
              <w:t xml:space="preserve">in the case of the Commonwealth, </w:t>
            </w:r>
            <w:r w:rsidR="00942FA5" w:rsidRPr="009226E8">
              <w:rPr>
                <w:color w:val="0070C0"/>
                <w:lang w:val="en-AU"/>
              </w:rPr>
              <w:t>funding will be moved to State Unallocated;</w:t>
            </w:r>
          </w:p>
          <w:p w14:paraId="5B55B6E3" w14:textId="77777777" w:rsidR="0043361A" w:rsidRPr="009226E8" w:rsidRDefault="0043361A" w:rsidP="00C62598">
            <w:pPr>
              <w:pStyle w:val="Tableformat"/>
              <w:numPr>
                <w:ilvl w:val="0"/>
                <w:numId w:val="9"/>
              </w:numPr>
              <w:spacing w:line="254" w:lineRule="auto"/>
              <w:rPr>
                <w:color w:val="0070C0"/>
                <w:lang w:val="en-AU"/>
              </w:rPr>
            </w:pPr>
            <w:r w:rsidRPr="009226E8">
              <w:rPr>
                <w:color w:val="0070C0"/>
                <w:lang w:val="en-AU"/>
              </w:rPr>
              <w:t>in the case of a State, the State may choose to reallocate its share of the funding to other Projects.</w:t>
            </w:r>
          </w:p>
          <w:p w14:paraId="5B55B6E4" w14:textId="77777777" w:rsidR="0043361A" w:rsidRPr="009226E8" w:rsidRDefault="0043361A" w:rsidP="0043361A">
            <w:pPr>
              <w:pStyle w:val="Tableformat"/>
              <w:spacing w:line="254" w:lineRule="auto"/>
              <w:rPr>
                <w:i/>
                <w:color w:val="0070C0"/>
                <w:lang w:val="en-AU"/>
              </w:rPr>
            </w:pPr>
            <w:r w:rsidRPr="009226E8">
              <w:rPr>
                <w:i/>
                <w:color w:val="0070C0"/>
                <w:lang w:val="en-AU"/>
              </w:rPr>
              <w:t>Cancellations</w:t>
            </w:r>
          </w:p>
          <w:p w14:paraId="5B55B6E5"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The Parties may agree to cancel a Project</w:t>
            </w:r>
            <w:r w:rsidR="006A3F96" w:rsidRPr="009226E8">
              <w:rPr>
                <w:color w:val="0070C0"/>
                <w:lang w:val="en-AU"/>
              </w:rPr>
              <w:t xml:space="preserve"> after the awarding of a construction contract </w:t>
            </w:r>
            <w:r w:rsidRPr="009226E8">
              <w:rPr>
                <w:color w:val="0070C0"/>
                <w:lang w:val="en-AU"/>
              </w:rPr>
              <w:t>where:</w:t>
            </w:r>
          </w:p>
          <w:p w14:paraId="5B55B6E6" w14:textId="77777777" w:rsidR="0043361A" w:rsidRPr="009226E8" w:rsidRDefault="0043361A" w:rsidP="00C62598">
            <w:pPr>
              <w:pStyle w:val="Tableformat"/>
              <w:numPr>
                <w:ilvl w:val="0"/>
                <w:numId w:val="10"/>
              </w:numPr>
              <w:spacing w:line="254" w:lineRule="auto"/>
              <w:rPr>
                <w:color w:val="0070C0"/>
                <w:lang w:val="en-AU"/>
              </w:rPr>
            </w:pPr>
            <w:r w:rsidRPr="009226E8">
              <w:rPr>
                <w:color w:val="0070C0"/>
                <w:lang w:val="en-AU"/>
              </w:rPr>
              <w:t>more recent cost estimates significantly exceed previous cost estimates; or</w:t>
            </w:r>
          </w:p>
          <w:p w14:paraId="5B55B6E7" w14:textId="77777777" w:rsidR="0043361A" w:rsidRPr="009226E8" w:rsidRDefault="0043361A" w:rsidP="00C62598">
            <w:pPr>
              <w:pStyle w:val="Tableformat"/>
              <w:numPr>
                <w:ilvl w:val="0"/>
                <w:numId w:val="10"/>
              </w:numPr>
              <w:spacing w:line="254" w:lineRule="auto"/>
              <w:rPr>
                <w:color w:val="0070C0"/>
                <w:lang w:val="en-AU"/>
              </w:rPr>
            </w:pPr>
            <w:r w:rsidRPr="009226E8">
              <w:rPr>
                <w:color w:val="0070C0"/>
                <w:lang w:val="en-AU"/>
              </w:rPr>
              <w:t xml:space="preserve">the Parties are unable to agree on a timetable for a Project; or </w:t>
            </w:r>
          </w:p>
          <w:p w14:paraId="5B55B6E8" w14:textId="77777777" w:rsidR="0043361A" w:rsidRPr="009226E8" w:rsidRDefault="0043361A" w:rsidP="00C62598">
            <w:pPr>
              <w:pStyle w:val="Tableformat"/>
              <w:numPr>
                <w:ilvl w:val="0"/>
                <w:numId w:val="10"/>
              </w:numPr>
              <w:spacing w:line="254" w:lineRule="auto"/>
              <w:rPr>
                <w:color w:val="0070C0"/>
                <w:lang w:val="en-AU"/>
              </w:rPr>
            </w:pPr>
            <w:r w:rsidRPr="009226E8">
              <w:rPr>
                <w:color w:val="0070C0"/>
                <w:lang w:val="en-AU"/>
              </w:rPr>
              <w:t>significant delays occur against the agreed timetable for preparing the Project</w:t>
            </w:r>
            <w:r w:rsidR="006A3F96" w:rsidRPr="009226E8">
              <w:rPr>
                <w:color w:val="0070C0"/>
                <w:lang w:val="en-AU"/>
              </w:rPr>
              <w:t xml:space="preserve"> </w:t>
            </w:r>
            <w:r w:rsidRPr="009226E8">
              <w:rPr>
                <w:color w:val="0070C0"/>
                <w:lang w:val="en-AU"/>
              </w:rPr>
              <w:t>for construction; or</w:t>
            </w:r>
          </w:p>
          <w:p w14:paraId="5B55B6E9" w14:textId="77777777" w:rsidR="0043361A" w:rsidRPr="009226E8" w:rsidRDefault="0043361A" w:rsidP="00C62598">
            <w:pPr>
              <w:pStyle w:val="Tableformat"/>
              <w:numPr>
                <w:ilvl w:val="0"/>
                <w:numId w:val="10"/>
              </w:numPr>
              <w:spacing w:line="254" w:lineRule="auto"/>
              <w:rPr>
                <w:color w:val="0070C0"/>
                <w:lang w:val="en-AU"/>
              </w:rPr>
            </w:pPr>
            <w:r w:rsidRPr="009226E8">
              <w:rPr>
                <w:color w:val="0070C0"/>
                <w:lang w:val="en-AU"/>
              </w:rPr>
              <w:t>there is agreement that a Project</w:t>
            </w:r>
            <w:r w:rsidR="006A3F96" w:rsidRPr="009226E8">
              <w:rPr>
                <w:color w:val="0070C0"/>
                <w:lang w:val="en-AU"/>
              </w:rPr>
              <w:t xml:space="preserve"> </w:t>
            </w:r>
            <w:r w:rsidRPr="009226E8">
              <w:rPr>
                <w:color w:val="0070C0"/>
                <w:lang w:val="en-AU"/>
              </w:rPr>
              <w:t>has been superseded.</w:t>
            </w:r>
          </w:p>
          <w:p w14:paraId="5B55B6EA"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 xml:space="preserve">If a Party to this Schedule proposes to cancel a Project set out in Tables 2A-H, they must notify the other Party in writing. </w:t>
            </w:r>
          </w:p>
          <w:p w14:paraId="5B55B6EB"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In the event that a Project</w:t>
            </w:r>
            <w:r w:rsidR="006A3F96" w:rsidRPr="009226E8">
              <w:rPr>
                <w:color w:val="0070C0"/>
                <w:lang w:val="en-AU"/>
              </w:rPr>
              <w:t xml:space="preserve"> </w:t>
            </w:r>
            <w:r w:rsidRPr="009226E8">
              <w:rPr>
                <w:color w:val="0070C0"/>
                <w:lang w:val="en-AU"/>
              </w:rPr>
              <w:t xml:space="preserve">has been cancelled in accordance with Term </w:t>
            </w:r>
            <w:r w:rsidR="002462C4">
              <w:rPr>
                <w:color w:val="0070C0"/>
                <w:lang w:val="en-AU"/>
              </w:rPr>
              <w:t>5</w:t>
            </w:r>
            <w:r w:rsidR="0082228B">
              <w:rPr>
                <w:color w:val="0070C0"/>
                <w:lang w:val="en-AU"/>
              </w:rPr>
              <w:t>1</w:t>
            </w:r>
            <w:r w:rsidR="00D6397C" w:rsidRPr="009226E8">
              <w:rPr>
                <w:color w:val="0070C0"/>
                <w:lang w:val="en-AU"/>
              </w:rPr>
              <w:t xml:space="preserve"> </w:t>
            </w:r>
            <w:r w:rsidRPr="009226E8">
              <w:rPr>
                <w:color w:val="0070C0"/>
                <w:lang w:val="en-AU"/>
              </w:rPr>
              <w:t>above, contractual obligations shall be negotiated between the Commonwealth and States with consideration of the proportion of their funding contribution.</w:t>
            </w:r>
          </w:p>
          <w:p w14:paraId="5B55B6EC"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lastRenderedPageBreak/>
              <w:t xml:space="preserve">In the event a Party to this Schedule cancels a Project contrary to Term </w:t>
            </w:r>
            <w:r w:rsidR="002462C4">
              <w:rPr>
                <w:color w:val="0070C0"/>
                <w:lang w:val="en-AU"/>
              </w:rPr>
              <w:t>5</w:t>
            </w:r>
            <w:r w:rsidR="0082228B">
              <w:rPr>
                <w:color w:val="0070C0"/>
                <w:lang w:val="en-AU"/>
              </w:rPr>
              <w:t>1</w:t>
            </w:r>
            <w:r w:rsidR="00D6397C" w:rsidRPr="009226E8">
              <w:rPr>
                <w:color w:val="0070C0"/>
                <w:lang w:val="en-AU"/>
              </w:rPr>
              <w:t xml:space="preserve"> </w:t>
            </w:r>
            <w:r w:rsidRPr="009226E8">
              <w:rPr>
                <w:color w:val="0070C0"/>
                <w:lang w:val="en-AU"/>
              </w:rPr>
              <w:t>above, the Party that cancels the Project</w:t>
            </w:r>
            <w:r w:rsidR="006A3F96" w:rsidRPr="009226E8">
              <w:rPr>
                <w:color w:val="0070C0"/>
                <w:lang w:val="en-AU"/>
              </w:rPr>
              <w:t xml:space="preserve"> </w:t>
            </w:r>
            <w:r w:rsidRPr="009226E8">
              <w:rPr>
                <w:color w:val="0070C0"/>
                <w:lang w:val="en-AU"/>
              </w:rPr>
              <w:t>shall bear responsibility for associated costs, unless otherwise agreed by the Parties.</w:t>
            </w:r>
          </w:p>
          <w:p w14:paraId="5B55B6ED"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In the event of a Project</w:t>
            </w:r>
            <w:r w:rsidR="006A3F96" w:rsidRPr="009226E8">
              <w:rPr>
                <w:color w:val="0070C0"/>
                <w:lang w:val="en-AU"/>
              </w:rPr>
              <w:t xml:space="preserve"> </w:t>
            </w:r>
            <w:r w:rsidRPr="009226E8">
              <w:rPr>
                <w:color w:val="0070C0"/>
                <w:lang w:val="en-AU"/>
              </w:rPr>
              <w:t>cancellation, the Commonwealth</w:t>
            </w:r>
            <w:r w:rsidR="00E96508" w:rsidRPr="009226E8">
              <w:rPr>
                <w:color w:val="0070C0"/>
                <w:lang w:val="en-AU"/>
              </w:rPr>
              <w:t>’s share of any remaining</w:t>
            </w:r>
            <w:r w:rsidR="00942FA5" w:rsidRPr="009226E8">
              <w:rPr>
                <w:color w:val="0070C0"/>
                <w:lang w:val="en-AU"/>
              </w:rPr>
              <w:t xml:space="preserve"> funding will be moved to State Unallocated</w:t>
            </w:r>
            <w:r w:rsidR="00436E6E" w:rsidRPr="009226E8">
              <w:rPr>
                <w:color w:val="0070C0"/>
                <w:lang w:val="en-AU"/>
              </w:rPr>
              <w:t xml:space="preserve"> for future distribution to priorities in that State</w:t>
            </w:r>
            <w:r w:rsidRPr="009226E8">
              <w:rPr>
                <w:color w:val="0070C0"/>
                <w:lang w:val="en-AU"/>
              </w:rPr>
              <w:t xml:space="preserve">.  In the case of a State, the State may choose to reallocate its share of </w:t>
            </w:r>
            <w:r w:rsidR="009A01B7" w:rsidRPr="009226E8">
              <w:rPr>
                <w:color w:val="0070C0"/>
                <w:lang w:val="en-AU"/>
              </w:rPr>
              <w:t>any remaining</w:t>
            </w:r>
            <w:r w:rsidRPr="009226E8">
              <w:rPr>
                <w:color w:val="0070C0"/>
                <w:lang w:val="en-AU"/>
              </w:rPr>
              <w:t xml:space="preserve"> funding to other Projects.</w:t>
            </w:r>
          </w:p>
          <w:p w14:paraId="5B55B6EE" w14:textId="77777777" w:rsidR="0043361A" w:rsidRPr="009226E8" w:rsidRDefault="0043361A" w:rsidP="0082228B">
            <w:pPr>
              <w:pStyle w:val="Tableformat"/>
              <w:numPr>
                <w:ilvl w:val="0"/>
                <w:numId w:val="23"/>
              </w:numPr>
              <w:spacing w:line="254" w:lineRule="auto"/>
              <w:rPr>
                <w:color w:val="0070C0"/>
                <w:lang w:val="en-AU"/>
              </w:rPr>
            </w:pPr>
            <w:r w:rsidRPr="009226E8">
              <w:rPr>
                <w:color w:val="0070C0"/>
                <w:lang w:val="en-AU"/>
              </w:rPr>
              <w:t>Cancelled Projects</w:t>
            </w:r>
            <w:r w:rsidR="006A3F96" w:rsidRPr="009226E8">
              <w:rPr>
                <w:color w:val="0070C0"/>
                <w:lang w:val="en-AU"/>
              </w:rPr>
              <w:t xml:space="preserve"> </w:t>
            </w:r>
            <w:r w:rsidRPr="009226E8">
              <w:rPr>
                <w:color w:val="0070C0"/>
                <w:lang w:val="en-AU"/>
              </w:rPr>
              <w:t>will be removed from Tables 2A-H to this Schedule</w:t>
            </w:r>
            <w:r w:rsidR="009605BB" w:rsidRPr="009226E8">
              <w:rPr>
                <w:color w:val="0070C0"/>
                <w:lang w:val="en-AU"/>
              </w:rPr>
              <w:t xml:space="preserve"> once financial arrangements are finalised</w:t>
            </w:r>
            <w:r w:rsidRPr="009226E8">
              <w:rPr>
                <w:color w:val="0070C0"/>
                <w:lang w:val="en-AU"/>
              </w:rPr>
              <w:t>.</w:t>
            </w:r>
          </w:p>
          <w:p w14:paraId="5B55B6EF" w14:textId="77777777" w:rsidR="003F0066" w:rsidRPr="009226E8" w:rsidRDefault="0043361A" w:rsidP="000F6673">
            <w:pPr>
              <w:pStyle w:val="Tableformat"/>
              <w:spacing w:line="256" w:lineRule="auto"/>
              <w:rPr>
                <w:b/>
                <w:color w:val="0070C0"/>
                <w:u w:val="single"/>
                <w:lang w:val="en-AU"/>
              </w:rPr>
            </w:pPr>
            <w:r w:rsidRPr="009226E8">
              <w:rPr>
                <w:b/>
                <w:color w:val="0070C0"/>
                <w:u w:val="single"/>
                <w:lang w:val="en-AU"/>
              </w:rPr>
              <w:t xml:space="preserve"> </w:t>
            </w:r>
            <w:bookmarkStart w:id="2" w:name="_Hlk172631314"/>
            <w:r w:rsidR="004C79F6" w:rsidRPr="009226E8">
              <w:rPr>
                <w:b/>
                <w:color w:val="0070C0"/>
                <w:u w:val="single"/>
                <w:lang w:val="en-AU"/>
              </w:rPr>
              <w:t>Asset management</w:t>
            </w:r>
            <w:r w:rsidR="003F79B2" w:rsidRPr="009226E8">
              <w:rPr>
                <w:b/>
                <w:color w:val="0070C0"/>
                <w:u w:val="single"/>
                <w:lang w:val="en-AU"/>
              </w:rPr>
              <w:t>, maintenance</w:t>
            </w:r>
            <w:r w:rsidR="004C79F6" w:rsidRPr="009226E8">
              <w:rPr>
                <w:b/>
                <w:color w:val="0070C0"/>
                <w:u w:val="single"/>
                <w:lang w:val="en-AU"/>
              </w:rPr>
              <w:t xml:space="preserve"> and network performance</w:t>
            </w:r>
          </w:p>
          <w:p w14:paraId="5B55B6F0" w14:textId="77777777" w:rsidR="00746B64" w:rsidRPr="008224C4" w:rsidRDefault="00746B64" w:rsidP="0082228B">
            <w:pPr>
              <w:pStyle w:val="Tableformat"/>
              <w:keepNext/>
              <w:numPr>
                <w:ilvl w:val="0"/>
                <w:numId w:val="23"/>
              </w:numPr>
              <w:spacing w:line="257" w:lineRule="auto"/>
              <w:rPr>
                <w:color w:val="0070C0"/>
                <w:lang w:val="en-AU"/>
              </w:rPr>
            </w:pPr>
            <w:r w:rsidRPr="009226E8">
              <w:rPr>
                <w:color w:val="0070C0"/>
                <w:lang w:val="en-AU"/>
              </w:rPr>
              <w:t xml:space="preserve">The Parties recognise that ownership and responsibility for those parts of the </w:t>
            </w:r>
            <w:r w:rsidRPr="008224C4">
              <w:rPr>
                <w:color w:val="0070C0"/>
                <w:lang w:val="en-AU"/>
              </w:rPr>
              <w:t>National Land Transport Network that are within the boundaries o</w:t>
            </w:r>
            <w:r w:rsidR="00C8780C" w:rsidRPr="008224C4">
              <w:rPr>
                <w:color w:val="0070C0"/>
                <w:lang w:val="en-AU"/>
              </w:rPr>
              <w:t>f</w:t>
            </w:r>
            <w:r w:rsidRPr="008224C4">
              <w:rPr>
                <w:color w:val="0070C0"/>
                <w:lang w:val="en-AU"/>
              </w:rPr>
              <w:t xml:space="preserve"> the relevant State will remain with that State. </w:t>
            </w:r>
          </w:p>
          <w:p w14:paraId="5B55B6F1" w14:textId="77777777" w:rsidR="00596DC0" w:rsidRPr="000E5B59" w:rsidRDefault="004C79F6" w:rsidP="0082228B">
            <w:pPr>
              <w:pStyle w:val="Tableformat"/>
              <w:keepNext/>
              <w:numPr>
                <w:ilvl w:val="0"/>
                <w:numId w:val="23"/>
              </w:numPr>
              <w:spacing w:line="257" w:lineRule="auto"/>
              <w:rPr>
                <w:color w:val="0070C0"/>
                <w:lang w:val="en-AU"/>
              </w:rPr>
            </w:pPr>
            <w:bookmarkStart w:id="3" w:name="_Hlk172646233"/>
            <w:r w:rsidRPr="000E5B59">
              <w:rPr>
                <w:color w:val="0070C0"/>
                <w:lang w:val="en-AU"/>
              </w:rPr>
              <w:t>The Commonwealth</w:t>
            </w:r>
            <w:r w:rsidR="00596DC0" w:rsidRPr="000E5B59">
              <w:rPr>
                <w:color w:val="0070C0"/>
                <w:lang w:val="en-AU"/>
              </w:rPr>
              <w:t>’s</w:t>
            </w:r>
            <w:r w:rsidRPr="000E5B59">
              <w:rPr>
                <w:color w:val="0070C0"/>
                <w:lang w:val="en-AU"/>
              </w:rPr>
              <w:t xml:space="preserve"> annual </w:t>
            </w:r>
            <w:r w:rsidR="00596DC0" w:rsidRPr="000E5B59">
              <w:rPr>
                <w:color w:val="0070C0"/>
                <w:lang w:val="en-AU"/>
              </w:rPr>
              <w:t xml:space="preserve">road </w:t>
            </w:r>
            <w:r w:rsidRPr="000E5B59">
              <w:rPr>
                <w:color w:val="0070C0"/>
                <w:lang w:val="en-AU"/>
              </w:rPr>
              <w:t xml:space="preserve">maintenance funding </w:t>
            </w:r>
            <w:r w:rsidR="00596DC0" w:rsidRPr="000E5B59">
              <w:rPr>
                <w:color w:val="0070C0"/>
                <w:lang w:val="en-AU"/>
              </w:rPr>
              <w:t xml:space="preserve">for the National Land Transport Network </w:t>
            </w:r>
            <w:r w:rsidRPr="000E5B59">
              <w:rPr>
                <w:color w:val="0070C0"/>
                <w:lang w:val="en-AU"/>
              </w:rPr>
              <w:t xml:space="preserve">will </w:t>
            </w:r>
            <w:r w:rsidR="00596DC0" w:rsidRPr="000E5B59">
              <w:rPr>
                <w:color w:val="0070C0"/>
                <w:lang w:val="en-AU"/>
              </w:rPr>
              <w:t xml:space="preserve">increase from $350 million </w:t>
            </w:r>
            <w:r w:rsidR="007D69AC" w:rsidRPr="000E5B59">
              <w:rPr>
                <w:color w:val="0070C0"/>
                <w:lang w:val="en-AU"/>
              </w:rPr>
              <w:t xml:space="preserve">in 2023-24 </w:t>
            </w:r>
            <w:r w:rsidR="00596DC0" w:rsidRPr="000E5B59">
              <w:rPr>
                <w:color w:val="0070C0"/>
                <w:lang w:val="en-AU"/>
              </w:rPr>
              <w:t xml:space="preserve">to $460 million </w:t>
            </w:r>
            <w:r w:rsidR="00CC3F6A" w:rsidRPr="000E5B59">
              <w:rPr>
                <w:color w:val="0070C0"/>
                <w:lang w:val="en-AU"/>
              </w:rPr>
              <w:t>in</w:t>
            </w:r>
            <w:r w:rsidR="00596DC0" w:rsidRPr="000E5B59">
              <w:rPr>
                <w:color w:val="0070C0"/>
                <w:lang w:val="en-AU"/>
              </w:rPr>
              <w:t xml:space="preserve"> 2024-25</w:t>
            </w:r>
            <w:r w:rsidR="00D61AB2" w:rsidRPr="000E5B59">
              <w:rPr>
                <w:color w:val="0070C0"/>
                <w:lang w:val="en-AU"/>
              </w:rPr>
              <w:t>.</w:t>
            </w:r>
          </w:p>
          <w:bookmarkEnd w:id="3"/>
          <w:p w14:paraId="5B55B6F2" w14:textId="77777777" w:rsidR="004C79F6" w:rsidRPr="000E5B59" w:rsidRDefault="00596DC0" w:rsidP="0082228B">
            <w:pPr>
              <w:pStyle w:val="Tableformat"/>
              <w:keepNext/>
              <w:numPr>
                <w:ilvl w:val="0"/>
                <w:numId w:val="23"/>
              </w:numPr>
              <w:spacing w:line="257" w:lineRule="auto"/>
              <w:rPr>
                <w:color w:val="0070C0"/>
                <w:lang w:val="en-AU"/>
              </w:rPr>
            </w:pPr>
            <w:r w:rsidRPr="000E5B59">
              <w:rPr>
                <w:color w:val="0070C0"/>
                <w:lang w:val="en-AU"/>
              </w:rPr>
              <w:t xml:space="preserve">The formula for allocating road maintenance funding amongst States will </w:t>
            </w:r>
            <w:r w:rsidR="004C79F6" w:rsidRPr="000E5B59">
              <w:rPr>
                <w:color w:val="0070C0"/>
                <w:lang w:val="en-AU"/>
              </w:rPr>
              <w:t>be set out in the Notes on Administration.</w:t>
            </w:r>
          </w:p>
          <w:p w14:paraId="5B55B6F3" w14:textId="77777777" w:rsidR="00E923E4" w:rsidRPr="009226E8" w:rsidRDefault="00C95A3F" w:rsidP="0082228B">
            <w:pPr>
              <w:pStyle w:val="Tableformat"/>
              <w:keepNext/>
              <w:numPr>
                <w:ilvl w:val="0"/>
                <w:numId w:val="23"/>
              </w:numPr>
              <w:spacing w:line="257" w:lineRule="auto"/>
              <w:rPr>
                <w:color w:val="0070C0"/>
                <w:lang w:val="en-AU"/>
              </w:rPr>
            </w:pPr>
            <w:r w:rsidRPr="009226E8">
              <w:rPr>
                <w:lang w:val="en-AU"/>
              </w:rPr>
              <w:t xml:space="preserve">The States will provide the Commonwealth with </w:t>
            </w:r>
            <w:r w:rsidRPr="009226E8">
              <w:rPr>
                <w:color w:val="0070C0"/>
                <w:lang w:val="en-AU"/>
              </w:rPr>
              <w:t>a Road Maintenance Formula Data Report and a Maintenance Performance Report annually, including agreed data on the condition and usage of, and maintenance expenditure on, the Network as outlined in the Notes on Administration.</w:t>
            </w:r>
          </w:p>
          <w:bookmarkEnd w:id="2"/>
          <w:p w14:paraId="5B55B6F4" w14:textId="77777777" w:rsidR="00625DE5" w:rsidRPr="009226E8" w:rsidRDefault="00625DE5" w:rsidP="001B3E11">
            <w:pPr>
              <w:pStyle w:val="Tableformat"/>
              <w:spacing w:line="256" w:lineRule="auto"/>
              <w:rPr>
                <w:b/>
                <w:color w:val="0070C0"/>
                <w:u w:val="single"/>
                <w:lang w:val="en-AU"/>
              </w:rPr>
            </w:pPr>
            <w:r w:rsidRPr="009226E8">
              <w:rPr>
                <w:b/>
                <w:color w:val="0070C0"/>
                <w:u w:val="single"/>
                <w:lang w:val="en-AU"/>
              </w:rPr>
              <w:t>Funding recognition</w:t>
            </w:r>
          </w:p>
          <w:p w14:paraId="5B55B6F5" w14:textId="77777777" w:rsidR="00625DE5" w:rsidRPr="009226E8" w:rsidRDefault="00625DE5" w:rsidP="0082228B">
            <w:pPr>
              <w:pStyle w:val="Tableformat"/>
              <w:numPr>
                <w:ilvl w:val="0"/>
                <w:numId w:val="23"/>
              </w:numPr>
              <w:spacing w:line="256" w:lineRule="auto"/>
              <w:rPr>
                <w:color w:val="0070C0"/>
                <w:lang w:val="en-AU"/>
              </w:rPr>
            </w:pPr>
            <w:r w:rsidRPr="009226E8">
              <w:rPr>
                <w:color w:val="0070C0"/>
                <w:lang w:val="en-AU"/>
              </w:rPr>
              <w:t>In</w:t>
            </w:r>
            <w:r w:rsidR="00E41288" w:rsidRPr="009226E8">
              <w:rPr>
                <w:color w:val="0070C0"/>
                <w:lang w:val="en-AU"/>
              </w:rPr>
              <w:t xml:space="preserve"> addition to the requirements set out in clause 21 of the </w:t>
            </w:r>
            <w:hyperlink r:id="rId15" w:history="1">
              <w:r w:rsidR="00E41288" w:rsidRPr="009226E8">
                <w:rPr>
                  <w:rStyle w:val="Hyperlink"/>
                  <w:lang w:val="en-AU"/>
                </w:rPr>
                <w:t>FFA – Infrastructure</w:t>
              </w:r>
            </w:hyperlink>
            <w:r w:rsidR="00E41288" w:rsidRPr="009226E8">
              <w:rPr>
                <w:color w:val="0070C0"/>
                <w:lang w:val="en-AU"/>
              </w:rPr>
              <w:t>, States agree to:</w:t>
            </w:r>
          </w:p>
          <w:p w14:paraId="5B55B6F6" w14:textId="77777777" w:rsidR="000F4169" w:rsidRPr="009226E8" w:rsidRDefault="000F4169" w:rsidP="00C62598">
            <w:pPr>
              <w:pStyle w:val="Tableformat"/>
              <w:numPr>
                <w:ilvl w:val="0"/>
                <w:numId w:val="11"/>
              </w:numPr>
              <w:spacing w:line="256" w:lineRule="auto"/>
              <w:rPr>
                <w:color w:val="0070C0"/>
                <w:lang w:val="en-AU"/>
              </w:rPr>
            </w:pPr>
            <w:r w:rsidRPr="009226E8">
              <w:rPr>
                <w:color w:val="0070C0"/>
                <w:lang w:val="en-AU"/>
              </w:rPr>
              <w:t xml:space="preserve">recognise the Commonwealth’s funding contribution to Projects in all publications, promotional and advertising materials, including Project signage, </w:t>
            </w:r>
            <w:r w:rsidR="0021118B" w:rsidRPr="009226E8">
              <w:rPr>
                <w:color w:val="0070C0"/>
                <w:lang w:val="en-AU"/>
              </w:rPr>
              <w:t xml:space="preserve">social media, </w:t>
            </w:r>
            <w:r w:rsidRPr="009226E8">
              <w:rPr>
                <w:color w:val="0070C0"/>
                <w:lang w:val="en-AU"/>
              </w:rPr>
              <w:t xml:space="preserve">public announcements and activities in relation to a </w:t>
            </w:r>
            <w:r w:rsidR="00ED6EA9" w:rsidRPr="009226E8">
              <w:rPr>
                <w:color w:val="0070C0"/>
                <w:lang w:val="en-AU"/>
              </w:rPr>
              <w:t xml:space="preserve">Project </w:t>
            </w:r>
            <w:r w:rsidRPr="009226E8">
              <w:rPr>
                <w:color w:val="0070C0"/>
                <w:lang w:val="en-AU"/>
              </w:rPr>
              <w:t xml:space="preserve">as </w:t>
            </w:r>
            <w:r w:rsidR="00370084" w:rsidRPr="009226E8">
              <w:rPr>
                <w:color w:val="0070C0"/>
                <w:lang w:val="en-AU"/>
              </w:rPr>
              <w:t>set out in the N</w:t>
            </w:r>
            <w:r w:rsidR="001222BD" w:rsidRPr="009226E8">
              <w:rPr>
                <w:color w:val="0070C0"/>
                <w:lang w:val="en-AU"/>
              </w:rPr>
              <w:t xml:space="preserve">otes </w:t>
            </w:r>
            <w:r w:rsidR="00370084" w:rsidRPr="009226E8">
              <w:rPr>
                <w:color w:val="0070C0"/>
                <w:lang w:val="en-AU"/>
              </w:rPr>
              <w:t>o</w:t>
            </w:r>
            <w:r w:rsidR="001222BD" w:rsidRPr="009226E8">
              <w:rPr>
                <w:color w:val="0070C0"/>
                <w:lang w:val="en-AU"/>
              </w:rPr>
              <w:t xml:space="preserve">n </w:t>
            </w:r>
            <w:r w:rsidR="00C869EE" w:rsidRPr="009226E8">
              <w:rPr>
                <w:color w:val="0070C0"/>
                <w:lang w:val="en-AU"/>
              </w:rPr>
              <w:t>Administration</w:t>
            </w:r>
            <w:r w:rsidRPr="009226E8">
              <w:rPr>
                <w:color w:val="0070C0"/>
                <w:lang w:val="en-AU"/>
              </w:rPr>
              <w:t xml:space="preserve">, and must consult the Commonwealth prior to release of all promotional-related materials concerning projects funded through this </w:t>
            </w:r>
            <w:r w:rsidR="001D0697" w:rsidRPr="009226E8">
              <w:rPr>
                <w:color w:val="0070C0"/>
                <w:lang w:val="en-AU"/>
              </w:rPr>
              <w:t>Schedule</w:t>
            </w:r>
            <w:r w:rsidRPr="009226E8">
              <w:rPr>
                <w:color w:val="0070C0"/>
                <w:lang w:val="en-AU"/>
              </w:rPr>
              <w:t>;</w:t>
            </w:r>
          </w:p>
          <w:p w14:paraId="5B55B6F7" w14:textId="77777777" w:rsidR="000F4169" w:rsidRPr="009226E8" w:rsidRDefault="000F4169" w:rsidP="00C62598">
            <w:pPr>
              <w:pStyle w:val="Tableformat"/>
              <w:numPr>
                <w:ilvl w:val="0"/>
                <w:numId w:val="11"/>
              </w:numPr>
              <w:spacing w:line="256" w:lineRule="auto"/>
              <w:rPr>
                <w:color w:val="0070C0"/>
                <w:lang w:val="en-AU"/>
              </w:rPr>
            </w:pPr>
            <w:r w:rsidRPr="009226E8">
              <w:rPr>
                <w:color w:val="0070C0"/>
                <w:lang w:val="en-AU"/>
              </w:rPr>
              <w:t xml:space="preserve">provide reasonable opportunity for the Commonwealth to contribute to developing communications strategies for </w:t>
            </w:r>
            <w:r w:rsidRPr="009226E8">
              <w:rPr>
                <w:color w:val="0070C0"/>
                <w:lang w:val="en-AU"/>
              </w:rPr>
              <w:lastRenderedPageBreak/>
              <w:t>Projects with a Commonwealth funding contribution</w:t>
            </w:r>
            <w:r w:rsidR="00617021" w:rsidRPr="009226E8">
              <w:rPr>
                <w:color w:val="0070C0"/>
                <w:lang w:val="en-AU"/>
              </w:rPr>
              <w:t xml:space="preserve">, and for a Commonwealth representative </w:t>
            </w:r>
            <w:r w:rsidR="002A348F" w:rsidRPr="009226E8">
              <w:rPr>
                <w:color w:val="0070C0"/>
                <w:lang w:val="en-AU"/>
              </w:rPr>
              <w:t>to attend any events</w:t>
            </w:r>
            <w:r w:rsidRPr="009226E8">
              <w:rPr>
                <w:color w:val="0070C0"/>
                <w:lang w:val="en-AU"/>
              </w:rPr>
              <w:t>;</w:t>
            </w:r>
          </w:p>
          <w:p w14:paraId="5B55B6F8" w14:textId="77777777" w:rsidR="000F4169" w:rsidRPr="009226E8" w:rsidRDefault="000F4169" w:rsidP="00C62598">
            <w:pPr>
              <w:pStyle w:val="Tableformat"/>
              <w:numPr>
                <w:ilvl w:val="0"/>
                <w:numId w:val="11"/>
              </w:numPr>
              <w:spacing w:line="256" w:lineRule="auto"/>
              <w:rPr>
                <w:color w:val="0070C0"/>
                <w:lang w:val="en-AU"/>
              </w:rPr>
            </w:pPr>
            <w:r w:rsidRPr="009226E8">
              <w:rPr>
                <w:color w:val="0070C0"/>
                <w:lang w:val="en-AU"/>
              </w:rPr>
              <w:t xml:space="preserve">provide the Commonwealth with equal access to products that they obtain for use in the development of promotional material including but not limited to Project data, footage and images; </w:t>
            </w:r>
          </w:p>
          <w:p w14:paraId="5B55B6F9" w14:textId="77777777" w:rsidR="00E832F4" w:rsidRPr="009226E8" w:rsidRDefault="000F4169" w:rsidP="00C62598">
            <w:pPr>
              <w:pStyle w:val="Tableformat"/>
              <w:numPr>
                <w:ilvl w:val="0"/>
                <w:numId w:val="11"/>
              </w:numPr>
              <w:spacing w:line="256" w:lineRule="auto"/>
              <w:rPr>
                <w:color w:val="0070C0"/>
                <w:lang w:val="en-AU"/>
              </w:rPr>
            </w:pPr>
            <w:r w:rsidRPr="009226E8">
              <w:rPr>
                <w:color w:val="0070C0"/>
                <w:lang w:val="en-AU"/>
              </w:rPr>
              <w:t>where the Commonwealth is a majority funder of a Project, promotional material and public recognition should provide major prominence to the Commonwealth’s contribution, with the Parties to agree the content and timing</w:t>
            </w:r>
            <w:r w:rsidR="00445A75" w:rsidRPr="009226E8">
              <w:rPr>
                <w:color w:val="0070C0"/>
                <w:lang w:val="en-AU"/>
              </w:rPr>
              <w:t>; and</w:t>
            </w:r>
          </w:p>
          <w:p w14:paraId="5B55B6FA" w14:textId="77777777" w:rsidR="00445A75" w:rsidRPr="009226E8" w:rsidRDefault="00445A75" w:rsidP="00C62598">
            <w:pPr>
              <w:pStyle w:val="Tableformat"/>
              <w:numPr>
                <w:ilvl w:val="0"/>
                <w:numId w:val="11"/>
              </w:numPr>
              <w:spacing w:line="256" w:lineRule="auto"/>
              <w:rPr>
                <w:color w:val="0070C0"/>
                <w:lang w:val="en-AU"/>
              </w:rPr>
            </w:pPr>
            <w:r w:rsidRPr="009226E8">
              <w:rPr>
                <w:color w:val="0070C0"/>
                <w:lang w:val="en-AU"/>
              </w:rPr>
              <w:t>comply with the published Australian Government Building Australia Signage Guidelines</w:t>
            </w:r>
            <w:r w:rsidR="001D74BD" w:rsidRPr="009226E8">
              <w:rPr>
                <w:color w:val="0070C0"/>
                <w:lang w:val="en-AU"/>
              </w:rPr>
              <w:t>.</w:t>
            </w:r>
          </w:p>
          <w:p w14:paraId="5B55B6FB" w14:textId="77777777" w:rsidR="00247B3A" w:rsidRPr="009226E8" w:rsidRDefault="00247B3A" w:rsidP="00047E80">
            <w:pPr>
              <w:pStyle w:val="Tableformat"/>
              <w:spacing w:line="256" w:lineRule="auto"/>
              <w:rPr>
                <w:b/>
                <w:color w:val="0070C0"/>
                <w:u w:val="single"/>
                <w:lang w:val="en-AU"/>
              </w:rPr>
            </w:pPr>
            <w:r w:rsidRPr="009226E8">
              <w:rPr>
                <w:b/>
                <w:color w:val="0070C0"/>
                <w:u w:val="single"/>
                <w:lang w:val="en-AU"/>
              </w:rPr>
              <w:t>Review of this Schedule</w:t>
            </w:r>
          </w:p>
          <w:p w14:paraId="5B55B6FC" w14:textId="77777777" w:rsidR="00247B3A" w:rsidRPr="009226E8" w:rsidRDefault="00247B3A" w:rsidP="0082228B">
            <w:pPr>
              <w:pStyle w:val="Tableformat"/>
              <w:numPr>
                <w:ilvl w:val="0"/>
                <w:numId w:val="23"/>
              </w:numPr>
              <w:spacing w:line="256" w:lineRule="auto"/>
              <w:rPr>
                <w:color w:val="0070C0"/>
                <w:lang w:val="en-AU"/>
              </w:rPr>
            </w:pPr>
            <w:r w:rsidRPr="009226E8">
              <w:rPr>
                <w:color w:val="0070C0"/>
                <w:lang w:val="en-AU"/>
              </w:rPr>
              <w:t xml:space="preserve">To assess the degree to which the agreed objectives and outcomes and/or outputs of this Schedule have been achieved, and inform decisions following its expiry, an independent review of this Schedule will </w:t>
            </w:r>
            <w:r w:rsidR="00B4686F" w:rsidRPr="009226E8">
              <w:rPr>
                <w:color w:val="0070C0"/>
                <w:lang w:val="en-AU"/>
              </w:rPr>
              <w:t>be undertaken</w:t>
            </w:r>
            <w:r w:rsidRPr="009226E8">
              <w:rPr>
                <w:color w:val="0070C0"/>
                <w:lang w:val="en-AU"/>
              </w:rPr>
              <w:t xml:space="preserve"> approximately twelve months prior to its expiry.</w:t>
            </w:r>
          </w:p>
          <w:p w14:paraId="5B55B6FD" w14:textId="77777777" w:rsidR="00047E80" w:rsidRPr="009226E8" w:rsidRDefault="00047E80" w:rsidP="00047E80">
            <w:pPr>
              <w:pStyle w:val="Tableformat"/>
              <w:spacing w:line="256" w:lineRule="auto"/>
              <w:rPr>
                <w:b/>
                <w:color w:val="0070C0"/>
                <w:u w:val="single"/>
                <w:lang w:val="en-AU"/>
              </w:rPr>
            </w:pPr>
            <w:r w:rsidRPr="009226E8">
              <w:rPr>
                <w:b/>
                <w:color w:val="0070C0"/>
                <w:u w:val="single"/>
                <w:lang w:val="en-AU"/>
              </w:rPr>
              <w:t>Dispute resolution</w:t>
            </w:r>
          </w:p>
          <w:p w14:paraId="5B55B6FE" w14:textId="77777777" w:rsidR="00B77CCA" w:rsidRPr="009226E8" w:rsidRDefault="00B77CCA" w:rsidP="0082228B">
            <w:pPr>
              <w:pStyle w:val="Tableformat"/>
              <w:numPr>
                <w:ilvl w:val="0"/>
                <w:numId w:val="23"/>
              </w:numPr>
              <w:spacing w:line="256" w:lineRule="auto"/>
              <w:rPr>
                <w:color w:val="0070C0"/>
                <w:lang w:val="en-AU"/>
              </w:rPr>
            </w:pPr>
            <w:r w:rsidRPr="009226E8">
              <w:rPr>
                <w:color w:val="0070C0"/>
                <w:lang w:val="en-AU"/>
              </w:rPr>
              <w:t xml:space="preserve">In addition to </w:t>
            </w:r>
            <w:r w:rsidR="008B5516" w:rsidRPr="009226E8">
              <w:rPr>
                <w:color w:val="0070C0"/>
                <w:lang w:val="en-AU"/>
              </w:rPr>
              <w:t xml:space="preserve">clauses </w:t>
            </w:r>
            <w:r w:rsidR="00082718" w:rsidRPr="009226E8">
              <w:rPr>
                <w:color w:val="0070C0"/>
                <w:lang w:val="en-AU"/>
              </w:rPr>
              <w:t xml:space="preserve">43 </w:t>
            </w:r>
            <w:r w:rsidR="008B5516" w:rsidRPr="009226E8">
              <w:rPr>
                <w:color w:val="0070C0"/>
                <w:lang w:val="en-AU"/>
              </w:rPr>
              <w:t>to 45 of the FFA – Infrastructure (D</w:t>
            </w:r>
            <w:r w:rsidRPr="009226E8">
              <w:rPr>
                <w:color w:val="0070C0"/>
                <w:lang w:val="en-AU"/>
              </w:rPr>
              <w:t xml:space="preserve">ispute </w:t>
            </w:r>
            <w:r w:rsidR="008B5516" w:rsidRPr="009226E8">
              <w:rPr>
                <w:color w:val="0070C0"/>
                <w:lang w:val="en-AU"/>
              </w:rPr>
              <w:t>r</w:t>
            </w:r>
            <w:r w:rsidRPr="009226E8">
              <w:rPr>
                <w:color w:val="0070C0"/>
                <w:lang w:val="en-AU"/>
              </w:rPr>
              <w:t>esolution</w:t>
            </w:r>
            <w:r w:rsidR="008B5516" w:rsidRPr="009226E8">
              <w:rPr>
                <w:color w:val="0070C0"/>
                <w:lang w:val="en-AU"/>
              </w:rPr>
              <w:t>), the Parties agree:</w:t>
            </w:r>
          </w:p>
          <w:p w14:paraId="5B55B6FF" w14:textId="77777777" w:rsidR="00B77CCA" w:rsidRPr="009226E8" w:rsidRDefault="00B704A5" w:rsidP="00C62598">
            <w:pPr>
              <w:pStyle w:val="Tableformat"/>
              <w:numPr>
                <w:ilvl w:val="0"/>
                <w:numId w:val="12"/>
              </w:numPr>
              <w:spacing w:line="256" w:lineRule="auto"/>
              <w:rPr>
                <w:color w:val="0070C0"/>
                <w:lang w:val="en-AU"/>
              </w:rPr>
            </w:pPr>
            <w:r w:rsidRPr="009226E8">
              <w:rPr>
                <w:color w:val="0070C0"/>
                <w:lang w:val="en-AU"/>
              </w:rPr>
              <w:t xml:space="preserve">Officials of relevant Parties may seek to resolve disputes </w:t>
            </w:r>
            <w:r w:rsidR="00FE70BF" w:rsidRPr="009226E8">
              <w:rPr>
                <w:color w:val="0070C0"/>
                <w:lang w:val="en-AU"/>
              </w:rPr>
              <w:t xml:space="preserve">bilaterally or </w:t>
            </w:r>
            <w:r w:rsidRPr="009226E8">
              <w:rPr>
                <w:color w:val="0070C0"/>
                <w:lang w:val="en-AU"/>
              </w:rPr>
              <w:t xml:space="preserve">through </w:t>
            </w:r>
            <w:r w:rsidR="00551F82" w:rsidRPr="009226E8">
              <w:rPr>
                <w:color w:val="0070C0"/>
                <w:lang w:val="en-AU"/>
              </w:rPr>
              <w:t xml:space="preserve">existing </w:t>
            </w:r>
            <w:r w:rsidR="00F934A9" w:rsidRPr="009226E8">
              <w:rPr>
                <w:color w:val="0070C0"/>
                <w:lang w:val="en-AU"/>
              </w:rPr>
              <w:t xml:space="preserve">multilateral </w:t>
            </w:r>
            <w:r w:rsidRPr="009226E8">
              <w:rPr>
                <w:color w:val="0070C0"/>
                <w:lang w:val="en-AU"/>
              </w:rPr>
              <w:t>official</w:t>
            </w:r>
            <w:r w:rsidR="00FE70BF" w:rsidRPr="009226E8">
              <w:rPr>
                <w:color w:val="0070C0"/>
                <w:lang w:val="en-AU"/>
              </w:rPr>
              <w:t>s</w:t>
            </w:r>
            <w:r w:rsidR="00161447" w:rsidRPr="009226E8">
              <w:rPr>
                <w:color w:val="0070C0"/>
                <w:lang w:val="en-AU"/>
              </w:rPr>
              <w:t>-</w:t>
            </w:r>
            <w:r w:rsidRPr="009226E8">
              <w:rPr>
                <w:color w:val="0070C0"/>
                <w:lang w:val="en-AU"/>
              </w:rPr>
              <w:t>level for</w:t>
            </w:r>
            <w:r w:rsidR="00551F82" w:rsidRPr="009226E8">
              <w:rPr>
                <w:color w:val="0070C0"/>
                <w:lang w:val="en-AU"/>
              </w:rPr>
              <w:t>a</w:t>
            </w:r>
            <w:r w:rsidRPr="009226E8">
              <w:rPr>
                <w:color w:val="0070C0"/>
                <w:lang w:val="en-AU"/>
              </w:rPr>
              <w:t>.</w:t>
            </w:r>
            <w:r w:rsidR="00B77CCA" w:rsidRPr="009226E8">
              <w:rPr>
                <w:color w:val="0070C0"/>
                <w:lang w:val="en-AU"/>
              </w:rPr>
              <w:t xml:space="preserve"> </w:t>
            </w:r>
          </w:p>
          <w:p w14:paraId="5B55B700" w14:textId="77777777" w:rsidR="00047E80" w:rsidRPr="009226E8" w:rsidRDefault="00047E80" w:rsidP="00047E80">
            <w:pPr>
              <w:pStyle w:val="Tableformat"/>
              <w:spacing w:line="256" w:lineRule="auto"/>
              <w:rPr>
                <w:b/>
                <w:color w:val="0070C0"/>
                <w:u w:val="single"/>
                <w:lang w:val="en-AU"/>
              </w:rPr>
            </w:pPr>
            <w:r w:rsidRPr="009226E8">
              <w:rPr>
                <w:b/>
                <w:color w:val="0070C0"/>
                <w:u w:val="single"/>
                <w:lang w:val="en-AU"/>
              </w:rPr>
              <w:t>Transitional arrangements</w:t>
            </w:r>
          </w:p>
          <w:p w14:paraId="5B55B701" w14:textId="77777777" w:rsidR="008D6E5C" w:rsidRPr="009226E8" w:rsidRDefault="008D6E5C" w:rsidP="0082228B">
            <w:pPr>
              <w:pStyle w:val="Tableformat"/>
              <w:numPr>
                <w:ilvl w:val="0"/>
                <w:numId w:val="23"/>
              </w:numPr>
              <w:spacing w:line="256" w:lineRule="auto"/>
              <w:rPr>
                <w:color w:val="0070C0"/>
                <w:lang w:val="en-AU"/>
              </w:rPr>
            </w:pPr>
            <w:r w:rsidRPr="009226E8">
              <w:rPr>
                <w:color w:val="0070C0"/>
                <w:lang w:val="en-AU"/>
              </w:rPr>
              <w:t>Transitional arrangements for projects that commenced under a previous National Partnership Agreement or bilateral agreement are set out in the Notes on Administration.</w:t>
            </w:r>
            <w:r w:rsidR="009A01B7" w:rsidRPr="009226E8">
              <w:rPr>
                <w:color w:val="0070C0"/>
                <w:lang w:val="en-AU"/>
              </w:rPr>
              <w:t xml:space="preserve"> The Parties will negotiate transitional arrangements in good faith</w:t>
            </w:r>
            <w:r w:rsidR="00D57E35" w:rsidRPr="009226E8">
              <w:rPr>
                <w:color w:val="0070C0"/>
                <w:lang w:val="en-AU"/>
              </w:rPr>
              <w:t>, with a focus on high value or high</w:t>
            </w:r>
            <w:r w:rsidR="00393B3F" w:rsidRPr="009226E8">
              <w:rPr>
                <w:color w:val="0070C0"/>
                <w:lang w:val="en-AU"/>
              </w:rPr>
              <w:t>-</w:t>
            </w:r>
            <w:r w:rsidR="00D57E35" w:rsidRPr="009226E8">
              <w:rPr>
                <w:color w:val="0070C0"/>
                <w:lang w:val="en-AU"/>
              </w:rPr>
              <w:t>risk projects.</w:t>
            </w:r>
          </w:p>
          <w:p w14:paraId="5B55B702" w14:textId="77777777" w:rsidR="002F2A84" w:rsidRPr="009226E8" w:rsidRDefault="002F2A84" w:rsidP="002F2A84">
            <w:pPr>
              <w:pStyle w:val="Tableformat"/>
              <w:spacing w:line="256" w:lineRule="auto"/>
              <w:rPr>
                <w:b/>
                <w:color w:val="0070C0"/>
                <w:u w:val="single"/>
                <w:lang w:val="en-AU"/>
              </w:rPr>
            </w:pPr>
            <w:r w:rsidRPr="009226E8">
              <w:rPr>
                <w:b/>
                <w:color w:val="0070C0"/>
                <w:u w:val="single"/>
                <w:lang w:val="en-AU"/>
              </w:rPr>
              <w:t>Definitions</w:t>
            </w:r>
          </w:p>
          <w:p w14:paraId="5B55B703" w14:textId="77777777" w:rsidR="002F2A84" w:rsidRPr="009226E8" w:rsidRDefault="002F2A84" w:rsidP="0082228B">
            <w:pPr>
              <w:pStyle w:val="Tableformat"/>
              <w:numPr>
                <w:ilvl w:val="0"/>
                <w:numId w:val="23"/>
              </w:numPr>
              <w:spacing w:line="256" w:lineRule="auto"/>
              <w:rPr>
                <w:color w:val="0070C0"/>
                <w:lang w:val="en-AU"/>
              </w:rPr>
            </w:pPr>
            <w:r w:rsidRPr="009226E8">
              <w:rPr>
                <w:color w:val="0070C0"/>
                <w:lang w:val="en-AU"/>
              </w:rPr>
              <w:t>For the purpose of the Schedule and its Tables:</w:t>
            </w:r>
          </w:p>
          <w:p w14:paraId="5B55B704" w14:textId="77777777" w:rsidR="000F6673" w:rsidRPr="009226E8" w:rsidRDefault="00641CDD" w:rsidP="009D5A90">
            <w:pPr>
              <w:pStyle w:val="Tableformat"/>
              <w:numPr>
                <w:ilvl w:val="0"/>
                <w:numId w:val="13"/>
              </w:numPr>
              <w:spacing w:line="256" w:lineRule="auto"/>
              <w:rPr>
                <w:color w:val="0070C0"/>
                <w:lang w:val="en-AU"/>
              </w:rPr>
            </w:pPr>
            <w:r w:rsidRPr="009226E8">
              <w:rPr>
                <w:color w:val="0070C0"/>
                <w:lang w:val="en-AU"/>
              </w:rPr>
              <w:t>‘</w:t>
            </w:r>
            <w:r w:rsidR="000F6673" w:rsidRPr="009226E8">
              <w:rPr>
                <w:color w:val="0070C0"/>
                <w:lang w:val="en-AU"/>
              </w:rPr>
              <w:t>Annual Infrastructure Plan</w:t>
            </w:r>
            <w:r w:rsidRPr="009226E8">
              <w:rPr>
                <w:color w:val="0070C0"/>
                <w:lang w:val="en-AU"/>
              </w:rPr>
              <w:t>’</w:t>
            </w:r>
            <w:r w:rsidR="000F6673" w:rsidRPr="009226E8">
              <w:rPr>
                <w:color w:val="0070C0"/>
                <w:lang w:val="en-AU"/>
              </w:rPr>
              <w:t xml:space="preserve"> means</w:t>
            </w:r>
            <w:r w:rsidRPr="009226E8">
              <w:rPr>
                <w:color w:val="0070C0"/>
                <w:lang w:val="en-AU"/>
              </w:rPr>
              <w:t xml:space="preserve"> a plan </w:t>
            </w:r>
            <w:r w:rsidR="00954817" w:rsidRPr="009226E8">
              <w:rPr>
                <w:color w:val="0070C0"/>
                <w:lang w:val="en-AU"/>
              </w:rPr>
              <w:t>developed</w:t>
            </w:r>
            <w:r w:rsidRPr="009226E8">
              <w:rPr>
                <w:color w:val="0070C0"/>
                <w:lang w:val="en-AU"/>
              </w:rPr>
              <w:t xml:space="preserve"> by a State</w:t>
            </w:r>
            <w:r w:rsidR="00954817" w:rsidRPr="009226E8">
              <w:rPr>
                <w:color w:val="0070C0"/>
                <w:lang w:val="en-AU"/>
              </w:rPr>
              <w:t xml:space="preserve"> and</w:t>
            </w:r>
            <w:r w:rsidRPr="009226E8">
              <w:rPr>
                <w:color w:val="0070C0"/>
                <w:lang w:val="en-AU"/>
              </w:rPr>
              <w:t xml:space="preserve"> </w:t>
            </w:r>
            <w:r w:rsidR="00954817" w:rsidRPr="009226E8">
              <w:rPr>
                <w:color w:val="0070C0"/>
                <w:lang w:val="en-AU"/>
              </w:rPr>
              <w:t>provided to the Commonwealth</w:t>
            </w:r>
            <w:r w:rsidRPr="009226E8">
              <w:rPr>
                <w:color w:val="0070C0"/>
                <w:lang w:val="en-AU"/>
              </w:rPr>
              <w:t xml:space="preserve"> annually</w:t>
            </w:r>
            <w:r w:rsidR="00954817" w:rsidRPr="009226E8">
              <w:rPr>
                <w:color w:val="0070C0"/>
                <w:lang w:val="en-AU"/>
              </w:rPr>
              <w:t xml:space="preserve">, which provides a long-term </w:t>
            </w:r>
            <w:r w:rsidR="007A7E0A" w:rsidRPr="009226E8">
              <w:rPr>
                <w:color w:val="0070C0"/>
                <w:lang w:val="en-AU"/>
              </w:rPr>
              <w:t xml:space="preserve">(10 year) </w:t>
            </w:r>
            <w:r w:rsidR="00954817" w:rsidRPr="009226E8">
              <w:rPr>
                <w:color w:val="0070C0"/>
                <w:lang w:val="en-AU"/>
              </w:rPr>
              <w:t>strategic view of a State’s land transport infrastructure priorities, in</w:t>
            </w:r>
            <w:r w:rsidR="009D5A90" w:rsidRPr="009226E8">
              <w:rPr>
                <w:color w:val="0070C0"/>
                <w:lang w:val="en-AU"/>
              </w:rPr>
              <w:t>clud</w:t>
            </w:r>
            <w:r w:rsidR="00954817" w:rsidRPr="009226E8">
              <w:rPr>
                <w:color w:val="0070C0"/>
                <w:lang w:val="en-AU"/>
              </w:rPr>
              <w:t xml:space="preserve">ing </w:t>
            </w:r>
            <w:r w:rsidR="009D5A90" w:rsidRPr="009226E8">
              <w:rPr>
                <w:color w:val="0070C0"/>
                <w:lang w:val="en-AU"/>
              </w:rPr>
              <w:t xml:space="preserve">priority projects that have or are seeking a federal funding </w:t>
            </w:r>
            <w:r w:rsidR="009D5A90" w:rsidRPr="009226E8">
              <w:rPr>
                <w:color w:val="0070C0"/>
                <w:lang w:val="en-AU"/>
              </w:rPr>
              <w:lastRenderedPageBreak/>
              <w:t>contribution over the next ten years and how they will be sequenced</w:t>
            </w:r>
            <w:r w:rsidRPr="009226E8">
              <w:rPr>
                <w:color w:val="0070C0"/>
                <w:lang w:val="en-AU"/>
              </w:rPr>
              <w:t>.</w:t>
            </w:r>
          </w:p>
          <w:p w14:paraId="5B55B705" w14:textId="77777777" w:rsidR="000F6673" w:rsidRPr="009226E8" w:rsidRDefault="00275B21" w:rsidP="00C62598">
            <w:pPr>
              <w:pStyle w:val="Tableformat"/>
              <w:numPr>
                <w:ilvl w:val="0"/>
                <w:numId w:val="13"/>
              </w:numPr>
              <w:spacing w:line="256" w:lineRule="auto"/>
              <w:rPr>
                <w:color w:val="0070C0"/>
                <w:lang w:val="en-AU"/>
              </w:rPr>
            </w:pPr>
            <w:r w:rsidRPr="009226E8">
              <w:rPr>
                <w:color w:val="0070C0"/>
                <w:lang w:val="en-AU"/>
              </w:rPr>
              <w:t>‘</w:t>
            </w:r>
            <w:r w:rsidR="000F6673" w:rsidRPr="009226E8">
              <w:rPr>
                <w:color w:val="0070C0"/>
                <w:lang w:val="en-AU"/>
              </w:rPr>
              <w:t>Approval instrument</w:t>
            </w:r>
            <w:r w:rsidRPr="009226E8">
              <w:rPr>
                <w:color w:val="0070C0"/>
                <w:lang w:val="en-AU"/>
              </w:rPr>
              <w:t>’</w:t>
            </w:r>
            <w:r w:rsidR="000F6673" w:rsidRPr="009226E8">
              <w:rPr>
                <w:color w:val="0070C0"/>
                <w:lang w:val="en-AU"/>
              </w:rPr>
              <w:t xml:space="preserve"> means</w:t>
            </w:r>
            <w:r w:rsidR="00641CDD" w:rsidRPr="009226E8">
              <w:rPr>
                <w:color w:val="0070C0"/>
                <w:lang w:val="en-AU"/>
              </w:rPr>
              <w:t xml:space="preserve"> a project approval instrument as defined under the NLT Act.</w:t>
            </w:r>
          </w:p>
          <w:p w14:paraId="5B55B706" w14:textId="77777777" w:rsidR="000F6673" w:rsidRPr="009226E8" w:rsidRDefault="00275B21" w:rsidP="00C62598">
            <w:pPr>
              <w:pStyle w:val="Tableformat"/>
              <w:numPr>
                <w:ilvl w:val="0"/>
                <w:numId w:val="13"/>
              </w:numPr>
              <w:spacing w:line="256" w:lineRule="auto"/>
              <w:rPr>
                <w:color w:val="0070C0"/>
                <w:lang w:val="en-AU"/>
              </w:rPr>
            </w:pPr>
            <w:r w:rsidRPr="009226E8">
              <w:rPr>
                <w:color w:val="0070C0"/>
                <w:lang w:val="en-AU"/>
              </w:rPr>
              <w:t>‘</w:t>
            </w:r>
            <w:r w:rsidR="000F6673" w:rsidRPr="009226E8">
              <w:rPr>
                <w:color w:val="0070C0"/>
                <w:lang w:val="en-AU"/>
              </w:rPr>
              <w:t>Business case</w:t>
            </w:r>
            <w:r w:rsidRPr="009226E8">
              <w:rPr>
                <w:color w:val="0070C0"/>
                <w:lang w:val="en-AU"/>
              </w:rPr>
              <w:t>’</w:t>
            </w:r>
            <w:r w:rsidR="000F6673" w:rsidRPr="009226E8">
              <w:rPr>
                <w:color w:val="0070C0"/>
                <w:lang w:val="en-AU"/>
              </w:rPr>
              <w:t xml:space="preserve"> means</w:t>
            </w:r>
            <w:r w:rsidR="00393B3F" w:rsidRPr="009226E8">
              <w:rPr>
                <w:color w:val="0070C0"/>
                <w:lang w:val="en-AU"/>
              </w:rPr>
              <w:t xml:space="preserve"> a document, detailed or strategic, that sets the scope of a proposed project and costings.</w:t>
            </w:r>
          </w:p>
          <w:p w14:paraId="5B55B707" w14:textId="77777777" w:rsidR="001C5149" w:rsidRPr="009226E8" w:rsidRDefault="00B548B6" w:rsidP="001C5149">
            <w:pPr>
              <w:pStyle w:val="Tableformat"/>
              <w:numPr>
                <w:ilvl w:val="0"/>
                <w:numId w:val="13"/>
              </w:numPr>
              <w:spacing w:line="256" w:lineRule="auto"/>
              <w:rPr>
                <w:color w:val="0070C0"/>
                <w:lang w:val="en-AU"/>
              </w:rPr>
            </w:pPr>
            <w:r w:rsidRPr="009226E8">
              <w:rPr>
                <w:color w:val="0070C0"/>
                <w:lang w:val="en-AU"/>
              </w:rPr>
              <w:t>‘</w:t>
            </w:r>
            <w:r w:rsidR="000F6673" w:rsidRPr="009226E8">
              <w:rPr>
                <w:color w:val="0070C0"/>
                <w:lang w:val="en-AU"/>
              </w:rPr>
              <w:t>Funding approval</w:t>
            </w:r>
            <w:r w:rsidRPr="009226E8">
              <w:rPr>
                <w:color w:val="0070C0"/>
                <w:lang w:val="en-AU"/>
              </w:rPr>
              <w:t>’</w:t>
            </w:r>
            <w:r w:rsidR="000F6673" w:rsidRPr="009226E8">
              <w:rPr>
                <w:color w:val="0070C0"/>
                <w:lang w:val="en-AU"/>
              </w:rPr>
              <w:t xml:space="preserve"> means</w:t>
            </w:r>
            <w:r w:rsidRPr="009226E8">
              <w:rPr>
                <w:color w:val="0070C0"/>
                <w:lang w:val="en-AU"/>
              </w:rPr>
              <w:t xml:space="preserve"> </w:t>
            </w:r>
            <w:r w:rsidR="002F2712" w:rsidRPr="009226E8">
              <w:rPr>
                <w:color w:val="0070C0"/>
                <w:lang w:val="en-AU"/>
              </w:rPr>
              <w:t xml:space="preserve">a project approval instrument has been issued by </w:t>
            </w:r>
            <w:r w:rsidRPr="009226E8">
              <w:rPr>
                <w:color w:val="0070C0"/>
                <w:lang w:val="en-AU"/>
              </w:rPr>
              <w:t>the Commonwealth under the NLT Act.</w:t>
            </w:r>
          </w:p>
          <w:p w14:paraId="5B55B708" w14:textId="77777777" w:rsidR="000F6673" w:rsidRPr="009226E8" w:rsidRDefault="00B548B6" w:rsidP="001C5149">
            <w:pPr>
              <w:pStyle w:val="Tableformat"/>
              <w:numPr>
                <w:ilvl w:val="0"/>
                <w:numId w:val="13"/>
              </w:numPr>
              <w:spacing w:line="256" w:lineRule="auto"/>
              <w:rPr>
                <w:color w:val="0070C0"/>
                <w:lang w:val="en-AU"/>
              </w:rPr>
            </w:pPr>
            <w:r w:rsidRPr="009226E8">
              <w:rPr>
                <w:color w:val="0070C0"/>
                <w:lang w:val="en-AU"/>
              </w:rPr>
              <w:t>‘</w:t>
            </w:r>
            <w:r w:rsidR="000F6673" w:rsidRPr="009226E8">
              <w:rPr>
                <w:color w:val="0070C0"/>
                <w:lang w:val="en-AU"/>
              </w:rPr>
              <w:t>Funding commitment</w:t>
            </w:r>
            <w:r w:rsidRPr="009226E8">
              <w:rPr>
                <w:color w:val="0070C0"/>
                <w:lang w:val="en-AU"/>
              </w:rPr>
              <w:t>’</w:t>
            </w:r>
            <w:r w:rsidR="000F6673" w:rsidRPr="009226E8">
              <w:rPr>
                <w:color w:val="0070C0"/>
                <w:lang w:val="en-AU"/>
              </w:rPr>
              <w:t xml:space="preserve"> means</w:t>
            </w:r>
            <w:r w:rsidR="002232CF" w:rsidRPr="009226E8">
              <w:rPr>
                <w:color w:val="0070C0"/>
                <w:lang w:val="en-AU"/>
              </w:rPr>
              <w:t xml:space="preserve"> the commitment of Commonwealth funds for a Project through a Commonwealth Budget process</w:t>
            </w:r>
            <w:r w:rsidR="002F2712" w:rsidRPr="009226E8">
              <w:rPr>
                <w:color w:val="0070C0"/>
                <w:lang w:val="en-AU"/>
              </w:rPr>
              <w:t xml:space="preserve"> and does not constitute approval under the NLT Act</w:t>
            </w:r>
            <w:r w:rsidR="002232CF" w:rsidRPr="009226E8">
              <w:rPr>
                <w:color w:val="0070C0"/>
                <w:lang w:val="en-AU"/>
              </w:rPr>
              <w:t>.</w:t>
            </w:r>
          </w:p>
          <w:p w14:paraId="5B55B709" w14:textId="77777777" w:rsidR="000820D0" w:rsidRPr="009226E8" w:rsidRDefault="00510563" w:rsidP="00C62598">
            <w:pPr>
              <w:pStyle w:val="Tableformat"/>
              <w:numPr>
                <w:ilvl w:val="0"/>
                <w:numId w:val="13"/>
              </w:numPr>
              <w:spacing w:line="256" w:lineRule="auto"/>
              <w:rPr>
                <w:color w:val="0070C0"/>
                <w:lang w:val="en-AU"/>
              </w:rPr>
            </w:pPr>
            <w:r w:rsidRPr="009226E8">
              <w:rPr>
                <w:color w:val="0070C0"/>
                <w:lang w:val="en-AU"/>
              </w:rPr>
              <w:t>‘</w:t>
            </w:r>
            <w:r w:rsidR="006A31CE" w:rsidRPr="009226E8">
              <w:rPr>
                <w:color w:val="0070C0"/>
                <w:lang w:val="en-AU"/>
              </w:rPr>
              <w:t>Inactive Project</w:t>
            </w:r>
            <w:r w:rsidRPr="009226E8">
              <w:rPr>
                <w:color w:val="0070C0"/>
                <w:lang w:val="en-AU"/>
              </w:rPr>
              <w:t>’</w:t>
            </w:r>
            <w:r w:rsidR="000820D0" w:rsidRPr="009226E8">
              <w:rPr>
                <w:color w:val="0070C0"/>
                <w:lang w:val="en-AU"/>
              </w:rPr>
              <w:t xml:space="preserve"> </w:t>
            </w:r>
            <w:r w:rsidR="001D74BD" w:rsidRPr="009226E8">
              <w:rPr>
                <w:color w:val="0070C0"/>
                <w:lang w:val="en-AU"/>
              </w:rPr>
              <w:t>means</w:t>
            </w:r>
            <w:r w:rsidR="000820D0" w:rsidRPr="009226E8">
              <w:rPr>
                <w:color w:val="0070C0"/>
                <w:lang w:val="en-AU"/>
              </w:rPr>
              <w:t xml:space="preserve"> a </w:t>
            </w:r>
            <w:r w:rsidR="00D74A64" w:rsidRPr="009226E8">
              <w:rPr>
                <w:color w:val="0070C0"/>
                <w:lang w:val="en-AU"/>
              </w:rPr>
              <w:t>P</w:t>
            </w:r>
            <w:r w:rsidR="000820D0" w:rsidRPr="009226E8">
              <w:rPr>
                <w:color w:val="0070C0"/>
                <w:lang w:val="en-AU"/>
              </w:rPr>
              <w:t>roject where funds have been committed by the Commonwealth, regardless of whether a project approval instrument is in place or not, and:</w:t>
            </w:r>
          </w:p>
          <w:p w14:paraId="5B55B70A" w14:textId="77777777" w:rsidR="000820D0" w:rsidRPr="009226E8" w:rsidRDefault="000820D0" w:rsidP="00C62598">
            <w:pPr>
              <w:pStyle w:val="Tableformat"/>
              <w:numPr>
                <w:ilvl w:val="0"/>
                <w:numId w:val="14"/>
              </w:numPr>
              <w:spacing w:line="256" w:lineRule="auto"/>
              <w:rPr>
                <w:color w:val="0070C0"/>
                <w:lang w:val="en-AU"/>
              </w:rPr>
            </w:pPr>
            <w:r w:rsidRPr="009226E8">
              <w:rPr>
                <w:color w:val="0070C0"/>
                <w:lang w:val="en-AU"/>
              </w:rPr>
              <w:t xml:space="preserve"> has been inactive for three years from the time the funding commitment was first made; and</w:t>
            </w:r>
          </w:p>
          <w:p w14:paraId="5B55B70B" w14:textId="77777777" w:rsidR="000820D0" w:rsidRPr="009226E8" w:rsidRDefault="000820D0" w:rsidP="00C62598">
            <w:pPr>
              <w:pStyle w:val="Tableformat"/>
              <w:numPr>
                <w:ilvl w:val="0"/>
                <w:numId w:val="14"/>
              </w:numPr>
              <w:spacing w:line="256" w:lineRule="auto"/>
              <w:rPr>
                <w:color w:val="0070C0"/>
                <w:lang w:val="en-AU"/>
              </w:rPr>
            </w:pPr>
            <w:r w:rsidRPr="009226E8">
              <w:rPr>
                <w:color w:val="0070C0"/>
                <w:lang w:val="en-AU"/>
              </w:rPr>
              <w:t>is not under construction, is not out for tender, and there are no plans to go out for tender; and</w:t>
            </w:r>
          </w:p>
          <w:p w14:paraId="5B55B70C" w14:textId="77777777" w:rsidR="006A31CE" w:rsidRPr="009226E8" w:rsidRDefault="000820D0" w:rsidP="00C62598">
            <w:pPr>
              <w:pStyle w:val="Tableformat"/>
              <w:numPr>
                <w:ilvl w:val="0"/>
                <w:numId w:val="14"/>
              </w:numPr>
              <w:spacing w:line="256" w:lineRule="auto"/>
              <w:rPr>
                <w:color w:val="0070C0"/>
                <w:lang w:val="en-AU"/>
              </w:rPr>
            </w:pPr>
            <w:r w:rsidRPr="009226E8">
              <w:rPr>
                <w:color w:val="0070C0"/>
                <w:lang w:val="en-AU"/>
              </w:rPr>
              <w:t xml:space="preserve">neither </w:t>
            </w:r>
            <w:r w:rsidR="00D74A64" w:rsidRPr="009226E8">
              <w:rPr>
                <w:color w:val="0070C0"/>
                <w:lang w:val="en-AU"/>
              </w:rPr>
              <w:t>P</w:t>
            </w:r>
            <w:r w:rsidRPr="009226E8">
              <w:rPr>
                <w:color w:val="0070C0"/>
                <w:lang w:val="en-AU"/>
              </w:rPr>
              <w:t xml:space="preserve">arty objects to the </w:t>
            </w:r>
            <w:r w:rsidR="00D74A64" w:rsidRPr="009226E8">
              <w:rPr>
                <w:color w:val="0070C0"/>
                <w:lang w:val="en-AU"/>
              </w:rPr>
              <w:t>P</w:t>
            </w:r>
            <w:r w:rsidRPr="009226E8">
              <w:rPr>
                <w:color w:val="0070C0"/>
                <w:lang w:val="en-AU"/>
              </w:rPr>
              <w:t>roject’s removal.</w:t>
            </w:r>
          </w:p>
          <w:p w14:paraId="5B55B70D" w14:textId="77777777" w:rsidR="00392955" w:rsidRPr="009226E8" w:rsidRDefault="00392955" w:rsidP="00C62598">
            <w:pPr>
              <w:pStyle w:val="Tableformat"/>
              <w:numPr>
                <w:ilvl w:val="0"/>
                <w:numId w:val="13"/>
              </w:numPr>
              <w:spacing w:line="256" w:lineRule="auto"/>
              <w:rPr>
                <w:color w:val="0070C0"/>
                <w:lang w:val="en-AU"/>
              </w:rPr>
            </w:pPr>
            <w:r w:rsidRPr="009226E8">
              <w:rPr>
                <w:color w:val="0070C0"/>
                <w:lang w:val="en-AU"/>
              </w:rPr>
              <w:t>‘National Land Transport Network’ means the National Land Transport Network as determined by the Commonwealth Minister under Part 2 of the NLT Act.</w:t>
            </w:r>
          </w:p>
          <w:p w14:paraId="5B55B70E" w14:textId="77777777" w:rsidR="00392955" w:rsidRPr="009226E8" w:rsidRDefault="00392955" w:rsidP="00C62598">
            <w:pPr>
              <w:pStyle w:val="Tableformat"/>
              <w:numPr>
                <w:ilvl w:val="0"/>
                <w:numId w:val="13"/>
              </w:numPr>
              <w:spacing w:line="256" w:lineRule="auto"/>
              <w:rPr>
                <w:color w:val="0070C0"/>
                <w:lang w:val="en-AU"/>
              </w:rPr>
            </w:pPr>
            <w:r w:rsidRPr="009226E8">
              <w:rPr>
                <w:color w:val="0070C0"/>
                <w:lang w:val="en-AU"/>
              </w:rPr>
              <w:t>‘Notes on Administration’ means the administrative requirements to support the implementation of Projects under the Schedule, as updated from time to time.</w:t>
            </w:r>
          </w:p>
          <w:p w14:paraId="5B55B70F" w14:textId="77777777" w:rsidR="00510563" w:rsidRPr="009226E8" w:rsidRDefault="00392955" w:rsidP="00C62598">
            <w:pPr>
              <w:pStyle w:val="Tableformat"/>
              <w:numPr>
                <w:ilvl w:val="0"/>
                <w:numId w:val="13"/>
              </w:numPr>
              <w:spacing w:line="256" w:lineRule="auto"/>
              <w:rPr>
                <w:color w:val="0070C0"/>
                <w:lang w:val="en-AU"/>
              </w:rPr>
            </w:pPr>
            <w:r w:rsidRPr="009226E8">
              <w:rPr>
                <w:color w:val="0070C0"/>
                <w:lang w:val="en-AU"/>
              </w:rPr>
              <w:t>‘</w:t>
            </w:r>
            <w:r w:rsidR="00510563" w:rsidRPr="009226E8">
              <w:rPr>
                <w:color w:val="0070C0"/>
                <w:lang w:val="en-AU"/>
              </w:rPr>
              <w:t xml:space="preserve">Project’ means a </w:t>
            </w:r>
            <w:r w:rsidR="00A20688" w:rsidRPr="009226E8">
              <w:rPr>
                <w:color w:val="0070C0"/>
                <w:lang w:val="en-AU"/>
              </w:rPr>
              <w:t>p</w:t>
            </w:r>
            <w:r w:rsidR="00510563" w:rsidRPr="009226E8">
              <w:rPr>
                <w:color w:val="0070C0"/>
                <w:lang w:val="en-AU"/>
              </w:rPr>
              <w:t>roject approved under the NLT Ac</w:t>
            </w:r>
            <w:r w:rsidR="00FD64A1" w:rsidRPr="009226E8">
              <w:rPr>
                <w:color w:val="0070C0"/>
                <w:lang w:val="en-AU"/>
              </w:rPr>
              <w:t>t, including a program</w:t>
            </w:r>
            <w:r w:rsidR="00B532A6" w:rsidRPr="009226E8">
              <w:rPr>
                <w:color w:val="0070C0"/>
                <w:lang w:val="en-AU"/>
              </w:rPr>
              <w:t xml:space="preserve"> </w:t>
            </w:r>
            <w:r w:rsidR="00DE44AB" w:rsidRPr="009226E8">
              <w:rPr>
                <w:color w:val="0070C0"/>
                <w:lang w:val="en-AU"/>
              </w:rPr>
              <w:t>(</w:t>
            </w:r>
            <w:r w:rsidR="00B532A6" w:rsidRPr="009226E8">
              <w:rPr>
                <w:color w:val="0070C0"/>
                <w:lang w:val="en-AU"/>
              </w:rPr>
              <w:t xml:space="preserve">as defined in </w:t>
            </w:r>
            <w:r w:rsidR="00DE44AB" w:rsidRPr="009226E8">
              <w:rPr>
                <w:color w:val="0070C0"/>
                <w:lang w:val="en-AU"/>
              </w:rPr>
              <w:t xml:space="preserve">Term </w:t>
            </w:r>
            <w:r w:rsidR="002462C4">
              <w:rPr>
                <w:color w:val="0070C0"/>
                <w:lang w:val="en-AU"/>
              </w:rPr>
              <w:t>6</w:t>
            </w:r>
            <w:r w:rsidR="0082228B">
              <w:rPr>
                <w:color w:val="0070C0"/>
                <w:lang w:val="en-AU"/>
              </w:rPr>
              <w:t>5</w:t>
            </w:r>
            <w:r w:rsidR="00DE44AB" w:rsidRPr="009226E8">
              <w:rPr>
                <w:color w:val="0070C0"/>
                <w:lang w:val="en-AU"/>
              </w:rPr>
              <w:t>(</w:t>
            </w:r>
            <w:r w:rsidR="00CD7713" w:rsidRPr="009226E8">
              <w:rPr>
                <w:color w:val="0070C0"/>
                <w:lang w:val="en-AU"/>
              </w:rPr>
              <w:t>j</w:t>
            </w:r>
            <w:r w:rsidR="00DE44AB" w:rsidRPr="009226E8">
              <w:rPr>
                <w:color w:val="0070C0"/>
                <w:lang w:val="en-AU"/>
              </w:rPr>
              <w:t>))</w:t>
            </w:r>
            <w:r w:rsidR="00FD64A1" w:rsidRPr="009226E8">
              <w:rPr>
                <w:color w:val="0070C0"/>
                <w:lang w:val="en-AU"/>
              </w:rPr>
              <w:t>.</w:t>
            </w:r>
          </w:p>
          <w:p w14:paraId="5B55B710" w14:textId="77777777" w:rsidR="00392955" w:rsidRPr="009226E8" w:rsidRDefault="00392955" w:rsidP="00C62598">
            <w:pPr>
              <w:pStyle w:val="Tableformat"/>
              <w:numPr>
                <w:ilvl w:val="0"/>
                <w:numId w:val="13"/>
              </w:numPr>
              <w:spacing w:line="256" w:lineRule="auto"/>
              <w:rPr>
                <w:color w:val="0070C0"/>
                <w:lang w:val="en-AU"/>
              </w:rPr>
            </w:pPr>
            <w:r w:rsidRPr="009226E8">
              <w:rPr>
                <w:color w:val="0070C0"/>
                <w:lang w:val="en-AU"/>
              </w:rPr>
              <w:t>‘</w:t>
            </w:r>
            <w:r w:rsidR="00FD64A1" w:rsidRPr="009226E8">
              <w:rPr>
                <w:color w:val="0070C0"/>
                <w:lang w:val="en-AU"/>
              </w:rPr>
              <w:t>p</w:t>
            </w:r>
            <w:r w:rsidRPr="009226E8">
              <w:rPr>
                <w:color w:val="0070C0"/>
                <w:lang w:val="en-AU"/>
              </w:rPr>
              <w:t>rogram’ means</w:t>
            </w:r>
            <w:r w:rsidR="00B704A5" w:rsidRPr="009226E8">
              <w:rPr>
                <w:color w:val="0070C0"/>
                <w:lang w:val="en-AU"/>
              </w:rPr>
              <w:t xml:space="preserve"> </w:t>
            </w:r>
            <w:r w:rsidR="00A20688" w:rsidRPr="009226E8">
              <w:rPr>
                <w:color w:val="0070C0"/>
                <w:lang w:val="en-AU"/>
              </w:rPr>
              <w:t>a</w:t>
            </w:r>
            <w:r w:rsidR="00B704A5" w:rsidRPr="009226E8">
              <w:rPr>
                <w:color w:val="0070C0"/>
                <w:lang w:val="en-AU"/>
              </w:rPr>
              <w:t xml:space="preserve"> rolling program of </w:t>
            </w:r>
            <w:r w:rsidR="00A20688" w:rsidRPr="009226E8">
              <w:rPr>
                <w:color w:val="0070C0"/>
                <w:lang w:val="en-AU"/>
              </w:rPr>
              <w:t>projects</w:t>
            </w:r>
            <w:r w:rsidR="00B704A5" w:rsidRPr="009226E8">
              <w:rPr>
                <w:color w:val="0070C0"/>
                <w:lang w:val="en-AU"/>
              </w:rPr>
              <w:t xml:space="preserve"> targeted </w:t>
            </w:r>
            <w:r w:rsidR="0063138F" w:rsidRPr="009226E8">
              <w:rPr>
                <w:color w:val="0070C0"/>
                <w:lang w:val="en-AU"/>
              </w:rPr>
              <w:t xml:space="preserve">to </w:t>
            </w:r>
            <w:r w:rsidR="00B704A5" w:rsidRPr="009226E8">
              <w:rPr>
                <w:color w:val="0070C0"/>
                <w:lang w:val="en-AU"/>
              </w:rPr>
              <w:t>strategic outcomes</w:t>
            </w:r>
            <w:r w:rsidR="00DA2848" w:rsidRPr="009226E8">
              <w:rPr>
                <w:color w:val="0070C0"/>
                <w:lang w:val="en-AU"/>
              </w:rPr>
              <w:t xml:space="preserve"> or</w:t>
            </w:r>
            <w:r w:rsidR="00B704A5" w:rsidRPr="009226E8">
              <w:rPr>
                <w:color w:val="0070C0"/>
                <w:lang w:val="en-AU"/>
              </w:rPr>
              <w:t xml:space="preserve"> corridors</w:t>
            </w:r>
            <w:r w:rsidR="00957175" w:rsidRPr="009226E8">
              <w:rPr>
                <w:color w:val="0070C0"/>
                <w:lang w:val="en-AU"/>
              </w:rPr>
              <w:t>,</w:t>
            </w:r>
            <w:r w:rsidR="00B704A5" w:rsidRPr="009226E8">
              <w:rPr>
                <w:color w:val="0070C0"/>
                <w:lang w:val="en-AU"/>
              </w:rPr>
              <w:t xml:space="preserve"> </w:t>
            </w:r>
            <w:r w:rsidR="0063138F" w:rsidRPr="009226E8">
              <w:rPr>
                <w:color w:val="0070C0"/>
                <w:lang w:val="en-AU"/>
              </w:rPr>
              <w:t>o</w:t>
            </w:r>
            <w:r w:rsidR="00B704A5" w:rsidRPr="009226E8">
              <w:rPr>
                <w:color w:val="0070C0"/>
                <w:lang w:val="en-AU"/>
              </w:rPr>
              <w:t xml:space="preserve">r </w:t>
            </w:r>
            <w:r w:rsidR="00A20688" w:rsidRPr="009226E8">
              <w:rPr>
                <w:color w:val="0070C0"/>
                <w:lang w:val="en-AU"/>
              </w:rPr>
              <w:t xml:space="preserve">a rolling </w:t>
            </w:r>
            <w:r w:rsidR="00B704A5" w:rsidRPr="009226E8">
              <w:rPr>
                <w:color w:val="0070C0"/>
                <w:lang w:val="en-AU"/>
              </w:rPr>
              <w:t>program of low risk projects</w:t>
            </w:r>
            <w:r w:rsidR="00D6397C" w:rsidRPr="009226E8">
              <w:rPr>
                <w:color w:val="0070C0"/>
                <w:lang w:val="en-AU"/>
              </w:rPr>
              <w:t>.</w:t>
            </w:r>
          </w:p>
          <w:p w14:paraId="5B55B711" w14:textId="77777777" w:rsidR="00DE71DF" w:rsidRPr="009226E8" w:rsidRDefault="00275B21" w:rsidP="00C62598">
            <w:pPr>
              <w:pStyle w:val="Tableformat"/>
              <w:numPr>
                <w:ilvl w:val="0"/>
                <w:numId w:val="13"/>
              </w:numPr>
              <w:spacing w:line="256" w:lineRule="auto"/>
              <w:rPr>
                <w:color w:val="0070C0"/>
                <w:lang w:val="en-AU"/>
              </w:rPr>
            </w:pPr>
            <w:r w:rsidRPr="009226E8">
              <w:rPr>
                <w:color w:val="0070C0"/>
                <w:lang w:val="en-AU"/>
              </w:rPr>
              <w:t>‘</w:t>
            </w:r>
            <w:r w:rsidR="00DE71DF" w:rsidRPr="009226E8">
              <w:rPr>
                <w:color w:val="0070C0"/>
                <w:lang w:val="en-AU"/>
              </w:rPr>
              <w:t>State Unallocated</w:t>
            </w:r>
            <w:r w:rsidRPr="009226E8">
              <w:rPr>
                <w:color w:val="0070C0"/>
                <w:lang w:val="en-AU"/>
              </w:rPr>
              <w:t>’</w:t>
            </w:r>
            <w:r w:rsidR="000F6673" w:rsidRPr="009226E8">
              <w:rPr>
                <w:color w:val="0070C0"/>
                <w:lang w:val="en-AU"/>
              </w:rPr>
              <w:t xml:space="preserve"> means</w:t>
            </w:r>
            <w:r w:rsidR="000431E6" w:rsidRPr="009226E8">
              <w:rPr>
                <w:color w:val="0070C0"/>
                <w:lang w:val="en-AU"/>
              </w:rPr>
              <w:t xml:space="preserve"> the remainder of the total committed Commonwealth allocation for a State less commitments for Projects</w:t>
            </w:r>
            <w:r w:rsidR="00192291" w:rsidRPr="009226E8">
              <w:rPr>
                <w:color w:val="0070C0"/>
                <w:lang w:val="en-AU"/>
              </w:rPr>
              <w:t xml:space="preserve"> (this can include savings from closed Projects or Projects that</w:t>
            </w:r>
            <w:r w:rsidR="00276277" w:rsidRPr="009226E8">
              <w:rPr>
                <w:color w:val="0070C0"/>
                <w:lang w:val="en-AU"/>
              </w:rPr>
              <w:t xml:space="preserve"> have been withdrawn or cancelled</w:t>
            </w:r>
            <w:r w:rsidR="00192291" w:rsidRPr="009226E8">
              <w:rPr>
                <w:color w:val="0070C0"/>
                <w:lang w:val="en-AU"/>
              </w:rPr>
              <w:t xml:space="preserve">). This unallocated funding will be used to contribute towards future priorities </w:t>
            </w:r>
            <w:r w:rsidR="0030396F" w:rsidRPr="009226E8">
              <w:rPr>
                <w:color w:val="0070C0"/>
                <w:lang w:val="en-AU"/>
              </w:rPr>
              <w:t xml:space="preserve">for that State </w:t>
            </w:r>
            <w:r w:rsidR="00192291" w:rsidRPr="009226E8">
              <w:rPr>
                <w:color w:val="0070C0"/>
                <w:lang w:val="en-AU"/>
              </w:rPr>
              <w:t>i.e. to fund new Projects and/or cost pressures</w:t>
            </w:r>
            <w:r w:rsidR="000431E6" w:rsidRPr="009226E8">
              <w:rPr>
                <w:color w:val="0070C0"/>
                <w:lang w:val="en-AU"/>
              </w:rPr>
              <w:t>.</w:t>
            </w:r>
          </w:p>
          <w:p w14:paraId="5B55B712" w14:textId="77777777" w:rsidR="005907CC" w:rsidRPr="009226E8" w:rsidRDefault="005907CC" w:rsidP="00C62598">
            <w:pPr>
              <w:pStyle w:val="Tableformat"/>
              <w:numPr>
                <w:ilvl w:val="0"/>
                <w:numId w:val="13"/>
              </w:numPr>
              <w:spacing w:line="256" w:lineRule="auto"/>
              <w:rPr>
                <w:color w:val="0070C0"/>
                <w:lang w:val="en-AU"/>
              </w:rPr>
            </w:pPr>
            <w:r w:rsidRPr="009226E8">
              <w:rPr>
                <w:color w:val="0070C0"/>
                <w:lang w:val="en-AU"/>
              </w:rPr>
              <w:lastRenderedPageBreak/>
              <w:t>‘Sub-Program’ means</w:t>
            </w:r>
            <w:r w:rsidR="00252C7F" w:rsidRPr="009226E8">
              <w:rPr>
                <w:color w:val="0070C0"/>
                <w:lang w:val="en-AU"/>
              </w:rPr>
              <w:t xml:space="preserve"> </w:t>
            </w:r>
            <w:r w:rsidRPr="009226E8">
              <w:rPr>
                <w:color w:val="0070C0"/>
                <w:lang w:val="en-AU"/>
              </w:rPr>
              <w:t xml:space="preserve">the Black Spots Program, the Roads to Recovery Program, and any other </w:t>
            </w:r>
            <w:r w:rsidR="002C4DAA" w:rsidRPr="009226E8">
              <w:rPr>
                <w:color w:val="0070C0"/>
                <w:lang w:val="en-AU"/>
              </w:rPr>
              <w:t xml:space="preserve">purpose-specific </w:t>
            </w:r>
            <w:r w:rsidR="00753C45" w:rsidRPr="009226E8">
              <w:rPr>
                <w:color w:val="0070C0"/>
                <w:lang w:val="en-AU"/>
              </w:rPr>
              <w:t xml:space="preserve">funding </w:t>
            </w:r>
            <w:r w:rsidRPr="009226E8">
              <w:rPr>
                <w:color w:val="0070C0"/>
                <w:lang w:val="en-AU"/>
              </w:rPr>
              <w:t xml:space="preserve">program administered under the </w:t>
            </w:r>
            <w:r w:rsidR="00252C7F" w:rsidRPr="009226E8">
              <w:rPr>
                <w:color w:val="0070C0"/>
                <w:lang w:val="en-AU"/>
              </w:rPr>
              <w:t xml:space="preserve">Schedule </w:t>
            </w:r>
            <w:r w:rsidRPr="009226E8">
              <w:rPr>
                <w:color w:val="0070C0"/>
                <w:lang w:val="en-AU"/>
              </w:rPr>
              <w:t xml:space="preserve">that is designated in the Notes on Administration as a Sub-Program. </w:t>
            </w:r>
          </w:p>
          <w:p w14:paraId="5B55B713" w14:textId="77777777" w:rsidR="000F6673" w:rsidRPr="009226E8" w:rsidRDefault="00C5455B" w:rsidP="00C62598">
            <w:pPr>
              <w:pStyle w:val="Tableformat"/>
              <w:numPr>
                <w:ilvl w:val="0"/>
                <w:numId w:val="13"/>
              </w:numPr>
              <w:spacing w:line="256" w:lineRule="auto"/>
              <w:rPr>
                <w:color w:val="0070C0"/>
                <w:lang w:val="en-AU"/>
              </w:rPr>
            </w:pPr>
            <w:r w:rsidRPr="009226E8" w:rsidDel="00C5455B">
              <w:rPr>
                <w:color w:val="0070C0"/>
                <w:lang w:val="en-AU"/>
              </w:rPr>
              <w:t xml:space="preserve"> </w:t>
            </w:r>
            <w:r w:rsidR="00275B21" w:rsidRPr="009226E8">
              <w:rPr>
                <w:color w:val="0070C0"/>
                <w:lang w:val="en-AU"/>
              </w:rPr>
              <w:t>‘</w:t>
            </w:r>
            <w:r w:rsidR="000F6673" w:rsidRPr="009226E8">
              <w:rPr>
                <w:color w:val="0070C0"/>
                <w:lang w:val="en-AU"/>
              </w:rPr>
              <w:t>Under consideration</w:t>
            </w:r>
            <w:r w:rsidR="00275B21" w:rsidRPr="009226E8">
              <w:rPr>
                <w:color w:val="0070C0"/>
                <w:lang w:val="en-AU"/>
              </w:rPr>
              <w:t>’</w:t>
            </w:r>
            <w:r w:rsidR="000F6673" w:rsidRPr="009226E8">
              <w:rPr>
                <w:color w:val="0070C0"/>
                <w:lang w:val="en-AU"/>
              </w:rPr>
              <w:t xml:space="preserve"> means</w:t>
            </w:r>
            <w:r w:rsidR="00495070" w:rsidRPr="009226E8">
              <w:rPr>
                <w:color w:val="0070C0"/>
                <w:lang w:val="en-AU"/>
              </w:rPr>
              <w:t xml:space="preserve"> </w:t>
            </w:r>
            <w:r w:rsidR="006C6424" w:rsidRPr="009226E8">
              <w:rPr>
                <w:color w:val="0070C0"/>
                <w:lang w:val="en-AU"/>
              </w:rPr>
              <w:t>bu</w:t>
            </w:r>
            <w:r w:rsidR="00D01751" w:rsidRPr="009226E8">
              <w:rPr>
                <w:color w:val="0070C0"/>
                <w:lang w:val="en-AU"/>
              </w:rPr>
              <w:t xml:space="preserve">siness case funding has been committed to the project </w:t>
            </w:r>
            <w:r w:rsidR="005B7242" w:rsidRPr="009226E8">
              <w:rPr>
                <w:color w:val="0070C0"/>
                <w:lang w:val="en-AU"/>
              </w:rPr>
              <w:t>but there is no commitment to delivery funding</w:t>
            </w:r>
            <w:r w:rsidR="00694F20" w:rsidRPr="009226E8">
              <w:rPr>
                <w:color w:val="0070C0"/>
                <w:lang w:val="en-AU"/>
              </w:rPr>
              <w:t xml:space="preserve"> </w:t>
            </w:r>
            <w:r w:rsidR="00AB2AE1" w:rsidRPr="009226E8">
              <w:rPr>
                <w:color w:val="0070C0"/>
                <w:lang w:val="en-AU"/>
              </w:rPr>
              <w:t>and</w:t>
            </w:r>
            <w:r w:rsidR="00694F20" w:rsidRPr="009226E8">
              <w:rPr>
                <w:color w:val="0070C0"/>
                <w:lang w:val="en-AU"/>
              </w:rPr>
              <w:t xml:space="preserve"> construction</w:t>
            </w:r>
            <w:r w:rsidR="00D01751" w:rsidRPr="009226E8">
              <w:rPr>
                <w:color w:val="0070C0"/>
                <w:lang w:val="en-AU"/>
              </w:rPr>
              <w:t>.</w:t>
            </w:r>
          </w:p>
          <w:p w14:paraId="5B55B714" w14:textId="77777777" w:rsidR="000F4169" w:rsidRPr="009226E8" w:rsidRDefault="000F4169" w:rsidP="009F7B44">
            <w:pPr>
              <w:pStyle w:val="Tableformat"/>
              <w:spacing w:line="256" w:lineRule="auto"/>
              <w:rPr>
                <w:color w:val="0070C0"/>
                <w:lang w:val="en-AU"/>
              </w:rPr>
            </w:pPr>
          </w:p>
        </w:tc>
      </w:tr>
    </w:tbl>
    <w:p w14:paraId="5B55B716" w14:textId="77777777" w:rsidR="00205899" w:rsidRPr="001E7A79" w:rsidRDefault="00205899" w:rsidP="00205899">
      <w:pPr>
        <w:rPr>
          <w:lang w:val="en-AU"/>
        </w:rPr>
      </w:pPr>
    </w:p>
    <w:p w14:paraId="5B55B717" w14:textId="77777777" w:rsidR="00BD3346" w:rsidRPr="001E7A79" w:rsidRDefault="00BD3346">
      <w:pPr>
        <w:widowControl/>
        <w:spacing w:after="160" w:line="259" w:lineRule="auto"/>
        <w:rPr>
          <w:lang w:val="en-AU"/>
        </w:rPr>
      </w:pPr>
      <w:r w:rsidRPr="001E7A79">
        <w:rPr>
          <w:lang w:val="en-AU"/>
        </w:rPr>
        <w:br w:type="page"/>
      </w:r>
    </w:p>
    <w:p w14:paraId="5B55B718" w14:textId="77777777" w:rsidR="00205899" w:rsidRPr="001E7A79" w:rsidRDefault="00205899" w:rsidP="00205899">
      <w:pPr>
        <w:rPr>
          <w:lang w:val="en-AU"/>
        </w:rPr>
        <w:sectPr w:rsidR="00205899" w:rsidRPr="001E7A79" w:rsidSect="00205899">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709" w:gutter="0"/>
          <w:pgNumType w:chapStyle="9"/>
          <w:cols w:space="708"/>
          <w:titlePg/>
          <w:docGrid w:linePitch="360"/>
        </w:sectPr>
      </w:pPr>
    </w:p>
    <w:p w14:paraId="5B55B719" w14:textId="77777777" w:rsidR="00BD3346" w:rsidRPr="001E7A79" w:rsidRDefault="00BD3346">
      <w:pPr>
        <w:rPr>
          <w:lang w:val="en-AU"/>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71B"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71A" w14:textId="77777777" w:rsidR="00993AEE" w:rsidRPr="00D852D7" w:rsidRDefault="00993AEE" w:rsidP="00993AEE">
            <w:pPr>
              <w:pStyle w:val="Tableformat"/>
              <w:spacing w:line="256" w:lineRule="auto"/>
              <w:rPr>
                <w:b/>
                <w:color w:val="auto"/>
                <w:lang w:val="en-AU" w:eastAsia="en-US"/>
              </w:rPr>
            </w:pPr>
            <w:r w:rsidRPr="001E7A79">
              <w:rPr>
                <w:b/>
                <w:color w:val="auto"/>
                <w:lang w:val="en-AU"/>
              </w:rPr>
              <w:t>Table 3A: New South Wales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71F"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71C"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1D"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1E"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993AEE" w:rsidRPr="00D852D7" w14:paraId="5B55B72A"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720" w14:textId="77777777" w:rsidR="00993AEE" w:rsidRDefault="00993AEE" w:rsidP="00993AEE">
            <w:pPr>
              <w:pStyle w:val="Milestonetable"/>
              <w:spacing w:line="256" w:lineRule="auto"/>
              <w:rPr>
                <w:b/>
                <w:color w:val="auto"/>
                <w:lang w:val="en-AU" w:eastAsia="en-US"/>
              </w:rPr>
            </w:pPr>
            <w:r>
              <w:rPr>
                <w:b/>
                <w:color w:val="auto"/>
                <w:lang w:val="en-AU" w:eastAsia="en-US"/>
              </w:rPr>
              <w:t>Bilateral performance report</w:t>
            </w:r>
          </w:p>
          <w:p w14:paraId="5B55B721" w14:textId="77777777" w:rsidR="00993AEE" w:rsidRPr="00CC48AD" w:rsidRDefault="00993AEE" w:rsidP="00993AEE">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722" w14:textId="77777777" w:rsidR="00993AEE" w:rsidRDefault="00993AEE" w:rsidP="00993AEE">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723" w14:textId="77777777" w:rsidR="00993AEE" w:rsidRDefault="00993AEE" w:rsidP="00993AEE">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724" w14:textId="77777777" w:rsidR="00993AEE" w:rsidRPr="00CC48AD" w:rsidRDefault="00993AEE" w:rsidP="00993AEE">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725"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26" w14:textId="77777777" w:rsidR="00993AEE" w:rsidRDefault="00993AEE" w:rsidP="00993AEE">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642CC8" w:rsidRPr="008C7507">
              <w:rPr>
                <w:color w:val="auto"/>
                <w:lang w:val="en-AU" w:eastAsia="en-US"/>
              </w:rPr>
              <w:t>, consistent with the existing Indigenous Employment and Supplier-use</w:t>
            </w:r>
            <w:r w:rsidR="00EF6017" w:rsidRPr="008C7507">
              <w:rPr>
                <w:color w:val="auto"/>
                <w:lang w:val="en-AU" w:eastAsia="en-US"/>
              </w:rPr>
              <w:t xml:space="preserve"> Infrastructure Framework</w:t>
            </w:r>
            <w:r>
              <w:rPr>
                <w:color w:val="auto"/>
                <w:lang w:val="en-AU" w:eastAsia="en-US"/>
              </w:rPr>
              <w:t>:</w:t>
            </w:r>
          </w:p>
          <w:p w14:paraId="5B55B727" w14:textId="77777777" w:rsidR="00993AEE" w:rsidRDefault="00993AEE" w:rsidP="00993AEE">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w:t>
            </w:r>
            <w:r w:rsidR="002D58D1">
              <w:rPr>
                <w:color w:val="auto"/>
                <w:lang w:val="en-AU" w:eastAsia="en-US"/>
              </w:rPr>
              <w:t>P</w:t>
            </w:r>
            <w:r>
              <w:rPr>
                <w:color w:val="auto"/>
                <w:lang w:val="en-AU" w:eastAsia="en-US"/>
              </w:rPr>
              <w:t>rojects</w:t>
            </w:r>
            <w:r w:rsidRPr="00CB03CE">
              <w:rPr>
                <w:color w:val="auto"/>
                <w:lang w:val="en-AU" w:eastAsia="en-US"/>
              </w:rPr>
              <w:t xml:space="preserve">. </w:t>
            </w:r>
          </w:p>
          <w:p w14:paraId="5B55B728" w14:textId="77777777" w:rsidR="00993AEE" w:rsidRPr="00CB03CE" w:rsidRDefault="00993AEE" w:rsidP="00993AEE">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w:t>
            </w:r>
            <w:r w:rsidR="002D58D1">
              <w:rPr>
                <w:color w:val="auto"/>
                <w:lang w:val="en-AU" w:eastAsia="en-US"/>
              </w:rPr>
              <w:t>P</w:t>
            </w:r>
            <w:r>
              <w:rPr>
                <w:color w:val="auto"/>
                <w:lang w:val="en-AU" w:eastAsia="en-US"/>
              </w:rPr>
              <w:t>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729" w14:textId="77777777" w:rsidR="00993AEE" w:rsidRPr="00D852D7" w:rsidRDefault="00993AEE" w:rsidP="00993AEE">
            <w:pPr>
              <w:pStyle w:val="Milestonetable"/>
              <w:spacing w:line="256" w:lineRule="auto"/>
              <w:rPr>
                <w:color w:val="auto"/>
                <w:lang w:val="en-AU" w:eastAsia="en-US"/>
              </w:rPr>
            </w:pPr>
            <w:r>
              <w:rPr>
                <w:color w:val="auto"/>
                <w:lang w:val="en-AU" w:eastAsia="en-US"/>
              </w:rPr>
              <w:t>Annually, by 30 August for each year this Schedule is in effect.</w:t>
            </w:r>
          </w:p>
        </w:tc>
      </w:tr>
      <w:tr w:rsidR="00993AEE" w:rsidRPr="00D852D7" w14:paraId="5B55B732" w14:textId="77777777" w:rsidTr="00993AEE">
        <w:trPr>
          <w:cantSplit/>
        </w:trPr>
        <w:tc>
          <w:tcPr>
            <w:tcW w:w="1013" w:type="pct"/>
            <w:vMerge/>
            <w:tcBorders>
              <w:left w:val="single" w:sz="8" w:space="0" w:color="4F81BD"/>
              <w:right w:val="single" w:sz="8" w:space="0" w:color="4F81BD"/>
            </w:tcBorders>
          </w:tcPr>
          <w:p w14:paraId="5B55B72B"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2C" w14:textId="77777777" w:rsidR="00993AEE" w:rsidRDefault="00993AEE" w:rsidP="00993AEE">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72D" w14:textId="77777777" w:rsidR="00993AEE" w:rsidRPr="00E326B2" w:rsidRDefault="00993AEE" w:rsidP="00993AEE">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2"/>
            </w:r>
            <w:r w:rsidRPr="00E326B2">
              <w:rPr>
                <w:color w:val="auto"/>
                <w:lang w:val="en-AU" w:eastAsia="en-US"/>
              </w:rPr>
              <w:t xml:space="preserve"> by number of contracts and contract value ($) for </w:t>
            </w:r>
            <w:r w:rsidR="002D58D1">
              <w:rPr>
                <w:color w:val="auto"/>
                <w:lang w:val="en-AU" w:eastAsia="en-US"/>
              </w:rPr>
              <w:t>P</w:t>
            </w:r>
            <w:r w:rsidRPr="00E326B2">
              <w:rPr>
                <w:color w:val="auto"/>
                <w:lang w:val="en-AU" w:eastAsia="en-US"/>
              </w:rPr>
              <w:t>rojects.</w:t>
            </w:r>
          </w:p>
          <w:p w14:paraId="5B55B72E" w14:textId="77777777" w:rsidR="00993AEE" w:rsidRDefault="00993AEE" w:rsidP="00993AEE">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72F" w14:textId="77777777" w:rsidR="00993AEE" w:rsidRDefault="00993AEE" w:rsidP="00993AEE">
            <w:pPr>
              <w:pStyle w:val="Milestonetable"/>
              <w:numPr>
                <w:ilvl w:val="0"/>
                <w:numId w:val="17"/>
              </w:numPr>
              <w:spacing w:line="256" w:lineRule="auto"/>
              <w:rPr>
                <w:color w:val="auto"/>
                <w:lang w:val="en-AU" w:eastAsia="en-US"/>
              </w:rPr>
            </w:pPr>
            <w:r>
              <w:rPr>
                <w:color w:val="auto"/>
                <w:lang w:val="en-AU" w:eastAsia="en-US"/>
              </w:rPr>
              <w:t>Proportion (%) and value ($) of local content used</w:t>
            </w:r>
            <w:r w:rsidR="002D58D1">
              <w:rPr>
                <w:color w:val="auto"/>
                <w:lang w:val="en-AU" w:eastAsia="en-US"/>
              </w:rPr>
              <w:t xml:space="preserve"> in Projects</w:t>
            </w:r>
            <w:r>
              <w:rPr>
                <w:color w:val="auto"/>
                <w:lang w:val="en-AU" w:eastAsia="en-US"/>
              </w:rPr>
              <w:t>.</w:t>
            </w:r>
          </w:p>
          <w:p w14:paraId="5B55B730" w14:textId="77777777" w:rsidR="00993AEE" w:rsidRPr="00E326B2" w:rsidRDefault="00993AEE" w:rsidP="00993AEE">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731" w14:textId="77777777" w:rsidR="00993AEE" w:rsidRDefault="00993AEE" w:rsidP="00993AEE">
            <w:pPr>
              <w:pStyle w:val="Milestonetable"/>
              <w:spacing w:line="256" w:lineRule="auto"/>
              <w:jc w:val="right"/>
              <w:rPr>
                <w:color w:val="auto"/>
                <w:lang w:val="en-AU" w:eastAsia="en-US"/>
              </w:rPr>
            </w:pPr>
          </w:p>
        </w:tc>
      </w:tr>
      <w:tr w:rsidR="00993AEE" w:rsidRPr="00D852D7" w14:paraId="5B55B737" w14:textId="77777777" w:rsidTr="00993AEE">
        <w:trPr>
          <w:cantSplit/>
        </w:trPr>
        <w:tc>
          <w:tcPr>
            <w:tcW w:w="1013" w:type="pct"/>
            <w:vMerge/>
            <w:tcBorders>
              <w:left w:val="single" w:sz="8" w:space="0" w:color="4F81BD"/>
              <w:right w:val="single" w:sz="8" w:space="0" w:color="4F81BD"/>
            </w:tcBorders>
          </w:tcPr>
          <w:p w14:paraId="5B55B733"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34" w14:textId="77777777" w:rsidR="00993AEE" w:rsidRDefault="00993AEE" w:rsidP="00993AEE">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735" w14:textId="77777777" w:rsidR="00993AEE" w:rsidRPr="00E326B2" w:rsidRDefault="00993AEE" w:rsidP="00993AEE">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sidR="002D58D1">
              <w:rPr>
                <w:color w:val="auto"/>
                <w:lang w:val="en-AU" w:eastAsia="en-US"/>
              </w:rPr>
              <w:t xml:space="preserve">on Projects </w:t>
            </w:r>
            <w:r w:rsidRPr="00E326B2">
              <w:rPr>
                <w:color w:val="auto"/>
                <w:lang w:val="en-AU" w:eastAsia="en-US"/>
              </w:rPr>
              <w:t xml:space="preserve">(target: </w:t>
            </w:r>
            <w:r w:rsidR="002D58D1">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736" w14:textId="77777777" w:rsidR="00993AEE" w:rsidRPr="00D852D7" w:rsidRDefault="00993AEE" w:rsidP="00993AEE">
            <w:pPr>
              <w:pStyle w:val="Milestonetable"/>
              <w:spacing w:line="256" w:lineRule="auto"/>
              <w:jc w:val="right"/>
              <w:rPr>
                <w:color w:val="auto"/>
                <w:lang w:val="en-AU" w:eastAsia="en-US"/>
              </w:rPr>
            </w:pPr>
          </w:p>
        </w:tc>
      </w:tr>
      <w:tr w:rsidR="00993AEE" w:rsidRPr="00D852D7" w14:paraId="5B55B73E" w14:textId="77777777" w:rsidTr="00993AEE">
        <w:trPr>
          <w:cantSplit/>
        </w:trPr>
        <w:tc>
          <w:tcPr>
            <w:tcW w:w="1013" w:type="pct"/>
            <w:vMerge/>
            <w:tcBorders>
              <w:left w:val="single" w:sz="8" w:space="0" w:color="4F81BD"/>
              <w:right w:val="single" w:sz="8" w:space="0" w:color="4F81BD"/>
            </w:tcBorders>
          </w:tcPr>
          <w:p w14:paraId="5B55B738"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39" w14:textId="77777777" w:rsidR="00993AEE" w:rsidRDefault="00993AEE" w:rsidP="00993AEE">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73A" w14:textId="77777777" w:rsidR="002D58D1" w:rsidRPr="002D58D1" w:rsidRDefault="002D58D1" w:rsidP="002D58D1">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73B" w14:textId="77777777" w:rsidR="00993AEE" w:rsidRPr="00E326B2" w:rsidRDefault="002D58D1" w:rsidP="002D58D1">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sidR="00C84A5F">
              <w:rPr>
                <w:color w:val="auto"/>
                <w:lang w:val="en-AU" w:eastAsia="en-US"/>
              </w:rPr>
              <w:t>.</w:t>
            </w:r>
          </w:p>
          <w:p w14:paraId="5B55B73C" w14:textId="77777777" w:rsidR="00993AEE" w:rsidRPr="00E326B2" w:rsidRDefault="00993AEE" w:rsidP="00993AEE">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73D" w14:textId="77777777" w:rsidR="00993AEE" w:rsidRPr="00D852D7" w:rsidRDefault="00993AEE" w:rsidP="00993AEE">
            <w:pPr>
              <w:pStyle w:val="Milestonetable"/>
              <w:spacing w:line="256" w:lineRule="auto"/>
              <w:jc w:val="right"/>
              <w:rPr>
                <w:color w:val="auto"/>
                <w:lang w:val="en-AU" w:eastAsia="en-US"/>
              </w:rPr>
            </w:pPr>
          </w:p>
        </w:tc>
      </w:tr>
      <w:tr w:rsidR="00993AEE" w:rsidRPr="00D852D7" w14:paraId="5B55B745" w14:textId="77777777" w:rsidTr="00993AEE">
        <w:trPr>
          <w:cantSplit/>
        </w:trPr>
        <w:tc>
          <w:tcPr>
            <w:tcW w:w="1013" w:type="pct"/>
            <w:vMerge/>
            <w:tcBorders>
              <w:left w:val="single" w:sz="8" w:space="0" w:color="4F81BD"/>
              <w:right w:val="single" w:sz="8" w:space="0" w:color="4F81BD"/>
            </w:tcBorders>
          </w:tcPr>
          <w:p w14:paraId="5B55B73F"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40" w14:textId="77777777" w:rsidR="00993AEE" w:rsidRDefault="00993AEE" w:rsidP="00993AEE">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741" w14:textId="77777777" w:rsidR="00993AEE" w:rsidRDefault="00993AEE" w:rsidP="00993AEE">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742" w14:textId="77777777" w:rsidR="00993AEE" w:rsidRDefault="00993AEE" w:rsidP="00993AEE">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743" w14:textId="77777777" w:rsidR="009024CC" w:rsidRPr="00114692" w:rsidRDefault="009024CC" w:rsidP="00993AEE">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744" w14:textId="77777777" w:rsidR="00993AEE" w:rsidRPr="00D852D7" w:rsidRDefault="00993AEE" w:rsidP="00993AEE">
            <w:pPr>
              <w:pStyle w:val="Milestonetable"/>
              <w:spacing w:line="256" w:lineRule="auto"/>
              <w:jc w:val="right"/>
              <w:rPr>
                <w:color w:val="auto"/>
                <w:lang w:val="en-AU" w:eastAsia="en-US"/>
              </w:rPr>
            </w:pPr>
          </w:p>
        </w:tc>
      </w:tr>
      <w:tr w:rsidR="00993AEE" w:rsidRPr="00D852D7" w14:paraId="5B55B74C" w14:textId="77777777" w:rsidTr="00993AEE">
        <w:trPr>
          <w:cantSplit/>
        </w:trPr>
        <w:tc>
          <w:tcPr>
            <w:tcW w:w="1013" w:type="pct"/>
            <w:vMerge/>
            <w:tcBorders>
              <w:left w:val="single" w:sz="8" w:space="0" w:color="4F81BD"/>
              <w:bottom w:val="single" w:sz="8" w:space="0" w:color="4F81BD"/>
              <w:right w:val="single" w:sz="8" w:space="0" w:color="4F81BD"/>
            </w:tcBorders>
          </w:tcPr>
          <w:p w14:paraId="5B55B746" w14:textId="77777777" w:rsidR="00993AEE" w:rsidRPr="00C246D6" w:rsidRDefault="00993AEE" w:rsidP="00993AEE">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47" w14:textId="77777777" w:rsidR="00993AEE" w:rsidRPr="008E7835" w:rsidRDefault="00993AEE" w:rsidP="00993AEE">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748" w14:textId="77777777" w:rsidR="00993AEE" w:rsidRDefault="002D58D1" w:rsidP="00993AEE">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sidR="009024CC">
              <w:rPr>
                <w:color w:val="auto"/>
                <w:lang w:val="en-AU" w:eastAsia="en-US"/>
              </w:rPr>
              <w:t xml:space="preserve"> </w:t>
            </w:r>
            <w:r w:rsidR="009024CC" w:rsidRPr="002D58D1">
              <w:rPr>
                <w:color w:val="auto"/>
                <w:lang w:val="en-AU" w:eastAsia="en-US"/>
              </w:rPr>
              <w:t>proportion (%)</w:t>
            </w:r>
            <w:r w:rsidR="009024CC">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00993AEE" w:rsidRPr="008E7835">
              <w:rPr>
                <w:color w:val="auto"/>
                <w:lang w:val="en-AU" w:eastAsia="en-US"/>
              </w:rPr>
              <w:t>.</w:t>
            </w:r>
            <w:r w:rsidR="00D25755">
              <w:rPr>
                <w:rStyle w:val="FootnoteReference"/>
                <w:color w:val="auto"/>
                <w:lang w:val="en-AU" w:eastAsia="en-US"/>
              </w:rPr>
              <w:footnoteReference w:id="3"/>
            </w:r>
          </w:p>
          <w:p w14:paraId="5B55B749" w14:textId="77777777" w:rsidR="007422BB" w:rsidRPr="007422BB" w:rsidRDefault="007422BB" w:rsidP="007422BB">
            <w:pPr>
              <w:pStyle w:val="Milestonetable"/>
              <w:spacing w:line="256" w:lineRule="auto"/>
              <w:ind w:left="720"/>
              <w:rPr>
                <w:b/>
                <w:color w:val="auto"/>
                <w:lang w:val="en-AU" w:eastAsia="en-US"/>
              </w:rPr>
            </w:pPr>
            <w:r w:rsidRPr="007422BB">
              <w:rPr>
                <w:b/>
                <w:color w:val="auto"/>
                <w:lang w:val="en-AU" w:eastAsia="en-US"/>
              </w:rPr>
              <w:t>OR</w:t>
            </w:r>
          </w:p>
          <w:p w14:paraId="5B55B74A" w14:textId="77777777" w:rsidR="00993AEE" w:rsidRPr="008E7835" w:rsidRDefault="002D58D1" w:rsidP="002D58D1">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r w:rsidR="00993AEE" w:rsidRPr="002D58D1">
              <w:rPr>
                <w:color w:val="auto"/>
                <w:lang w:val="en-AU" w:eastAsia="en-US"/>
              </w:rPr>
              <w:t>.</w:t>
            </w:r>
          </w:p>
        </w:tc>
        <w:tc>
          <w:tcPr>
            <w:tcW w:w="783" w:type="pct"/>
            <w:vMerge/>
            <w:tcBorders>
              <w:left w:val="single" w:sz="8" w:space="0" w:color="4F81BD"/>
              <w:right w:val="single" w:sz="8" w:space="0" w:color="4F81BD"/>
            </w:tcBorders>
          </w:tcPr>
          <w:p w14:paraId="5B55B74B" w14:textId="77777777" w:rsidR="00993AEE" w:rsidRPr="00D852D7" w:rsidRDefault="00993AEE" w:rsidP="00993AEE">
            <w:pPr>
              <w:pStyle w:val="Milestonetable"/>
              <w:spacing w:line="256" w:lineRule="auto"/>
              <w:jc w:val="right"/>
              <w:rPr>
                <w:color w:val="auto"/>
                <w:lang w:val="en-AU" w:eastAsia="en-US"/>
              </w:rPr>
            </w:pPr>
          </w:p>
        </w:tc>
      </w:tr>
      <w:tr w:rsidR="00993AEE" w:rsidRPr="00D852D7" w14:paraId="5B55B752"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4D" w14:textId="77777777" w:rsidR="00993AEE" w:rsidRDefault="00993AEE" w:rsidP="00993AEE">
            <w:pPr>
              <w:pStyle w:val="Milestonetable"/>
              <w:spacing w:line="256" w:lineRule="auto"/>
              <w:rPr>
                <w:b/>
                <w:color w:val="auto"/>
                <w:lang w:val="en-AU" w:eastAsia="en-US"/>
              </w:rPr>
            </w:pPr>
            <w:r>
              <w:rPr>
                <w:b/>
                <w:color w:val="auto"/>
                <w:lang w:val="en-AU" w:eastAsia="en-US"/>
              </w:rPr>
              <w:t xml:space="preserve">Transport outcomes reporting </w:t>
            </w:r>
          </w:p>
          <w:p w14:paraId="5B55B74E" w14:textId="77777777" w:rsidR="00993AEE" w:rsidRPr="00F44874" w:rsidRDefault="00993AEE" w:rsidP="00993AEE">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4F" w14:textId="77777777" w:rsidR="00993AEE" w:rsidRDefault="00993AEE" w:rsidP="00993AEE">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750" w14:textId="77777777" w:rsidR="00993AEE" w:rsidRDefault="00993AEE" w:rsidP="00993AEE">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751" w14:textId="77777777" w:rsidR="00993AEE" w:rsidRPr="00D852D7" w:rsidRDefault="00993AEE" w:rsidP="00993AEE">
            <w:pPr>
              <w:pStyle w:val="Milestonetable"/>
              <w:spacing w:line="256" w:lineRule="auto"/>
              <w:jc w:val="right"/>
              <w:rPr>
                <w:color w:val="auto"/>
                <w:lang w:val="en-AU" w:eastAsia="en-US"/>
              </w:rPr>
            </w:pPr>
            <w:r>
              <w:rPr>
                <w:color w:val="auto"/>
                <w:lang w:val="en-AU" w:eastAsia="en-US"/>
              </w:rPr>
              <w:t>As agreed in writing between the Parties</w:t>
            </w:r>
          </w:p>
        </w:tc>
      </w:tr>
      <w:tr w:rsidR="00993AEE" w:rsidRPr="00D852D7" w14:paraId="5B55B756"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53" w14:textId="77777777" w:rsidR="00993AEE" w:rsidRDefault="00993AEE" w:rsidP="00993AEE">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54" w14:textId="77777777" w:rsidR="00993AEE" w:rsidRDefault="00993AEE" w:rsidP="00993AEE">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755" w14:textId="77777777" w:rsidR="00993AEE" w:rsidRPr="00D852D7" w:rsidRDefault="00993AEE" w:rsidP="00993AEE">
            <w:pPr>
              <w:pStyle w:val="Milestonetable"/>
              <w:spacing w:line="256" w:lineRule="auto"/>
              <w:jc w:val="right"/>
              <w:rPr>
                <w:color w:val="auto"/>
                <w:lang w:val="en-AU" w:eastAsia="en-US"/>
              </w:rPr>
            </w:pPr>
            <w:r>
              <w:rPr>
                <w:color w:val="auto"/>
                <w:lang w:val="en-AU" w:eastAsia="en-US"/>
              </w:rPr>
              <w:t>As set out in the Notes on Administration</w:t>
            </w:r>
          </w:p>
        </w:tc>
      </w:tr>
    </w:tbl>
    <w:p w14:paraId="5B55B757" w14:textId="77777777" w:rsidR="008C7507" w:rsidRDefault="008C7507" w:rsidP="00993AEE">
      <w:pPr>
        <w:rPr>
          <w:sz w:val="20"/>
          <w:szCs w:val="20"/>
        </w:rPr>
      </w:pPr>
    </w:p>
    <w:p w14:paraId="5B55B758"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759"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75A"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75B"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r w:rsidR="002375CA">
        <w:rPr>
          <w:sz w:val="20"/>
          <w:szCs w:val="20"/>
        </w:rPr>
        <w:t xml:space="preserve">, </w:t>
      </w:r>
      <w:r w:rsidR="002375CA" w:rsidRPr="002375CA">
        <w:rPr>
          <w:sz w:val="20"/>
          <w:szCs w:val="20"/>
        </w:rPr>
        <w:t>focusing on workforce and skills growth through tangible increases to women’s participation across trades and non-traditional roles</w:t>
      </w:r>
    </w:p>
    <w:p w14:paraId="5B55B75C"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75D" w14:textId="77777777" w:rsidR="00BD3346" w:rsidRPr="001E7A79" w:rsidRDefault="00BD3346" w:rsidP="00BD3346">
      <w:pPr>
        <w:rPr>
          <w:lang w:val="en-AU"/>
        </w:rPr>
      </w:pPr>
    </w:p>
    <w:p w14:paraId="5B55B75E"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760"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75F"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B</w:t>
            </w:r>
            <w:r w:rsidRPr="001E7A79">
              <w:rPr>
                <w:b/>
                <w:color w:val="auto"/>
                <w:lang w:val="en-AU"/>
              </w:rPr>
              <w:t xml:space="preserve">: </w:t>
            </w:r>
            <w:r w:rsidR="0037575D">
              <w:rPr>
                <w:b/>
                <w:color w:val="auto"/>
                <w:lang w:val="en-AU"/>
              </w:rPr>
              <w:t>Victoria</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764"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761"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62"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63"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76F"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765"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766"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767"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768"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769"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76A"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6B"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8C7507">
              <w:rPr>
                <w:color w:val="auto"/>
                <w:lang w:val="en-AU" w:eastAsia="en-US"/>
              </w:rPr>
              <w:t>,</w:t>
            </w:r>
            <w:r w:rsidR="00EF6017" w:rsidRPr="00EC72D8">
              <w:rPr>
                <w:color w:val="auto"/>
                <w:lang w:val="en-AU" w:eastAsia="en-US"/>
              </w:rPr>
              <w:t xml:space="preserve"> consistent with the existing Indigenous Employment and Supplier-use Infrastructure Framework</w:t>
            </w:r>
            <w:r>
              <w:rPr>
                <w:color w:val="auto"/>
                <w:lang w:val="en-AU" w:eastAsia="en-US"/>
              </w:rPr>
              <w:t>:</w:t>
            </w:r>
          </w:p>
          <w:p w14:paraId="5B55B76C"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76D"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76E"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777" w14:textId="77777777" w:rsidTr="00993AEE">
        <w:trPr>
          <w:cantSplit/>
        </w:trPr>
        <w:tc>
          <w:tcPr>
            <w:tcW w:w="1013" w:type="pct"/>
            <w:vMerge/>
            <w:tcBorders>
              <w:left w:val="single" w:sz="8" w:space="0" w:color="4F81BD"/>
              <w:right w:val="single" w:sz="8" w:space="0" w:color="4F81BD"/>
            </w:tcBorders>
          </w:tcPr>
          <w:p w14:paraId="5B55B770"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71"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772"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4"/>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773"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774"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775"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776" w14:textId="77777777" w:rsidR="007422BB" w:rsidRDefault="007422BB" w:rsidP="007422BB">
            <w:pPr>
              <w:pStyle w:val="Milestonetable"/>
              <w:spacing w:line="256" w:lineRule="auto"/>
              <w:jc w:val="right"/>
              <w:rPr>
                <w:color w:val="auto"/>
                <w:lang w:val="en-AU" w:eastAsia="en-US"/>
              </w:rPr>
            </w:pPr>
          </w:p>
        </w:tc>
      </w:tr>
      <w:tr w:rsidR="00117187" w:rsidRPr="00D852D7" w14:paraId="5B55B77C" w14:textId="77777777" w:rsidTr="00993AEE">
        <w:trPr>
          <w:cantSplit/>
        </w:trPr>
        <w:tc>
          <w:tcPr>
            <w:tcW w:w="1013" w:type="pct"/>
            <w:vMerge/>
            <w:tcBorders>
              <w:left w:val="single" w:sz="8" w:space="0" w:color="4F81BD"/>
              <w:right w:val="single" w:sz="8" w:space="0" w:color="4F81BD"/>
            </w:tcBorders>
          </w:tcPr>
          <w:p w14:paraId="5B55B778"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79"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77A" w14:textId="77777777" w:rsidR="00117187" w:rsidRPr="00E326B2" w:rsidRDefault="00117187" w:rsidP="00117187">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77B"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83" w14:textId="77777777" w:rsidTr="00993AEE">
        <w:trPr>
          <w:cantSplit/>
        </w:trPr>
        <w:tc>
          <w:tcPr>
            <w:tcW w:w="1013" w:type="pct"/>
            <w:vMerge/>
            <w:tcBorders>
              <w:left w:val="single" w:sz="8" w:space="0" w:color="4F81BD"/>
              <w:right w:val="single" w:sz="8" w:space="0" w:color="4F81BD"/>
            </w:tcBorders>
          </w:tcPr>
          <w:p w14:paraId="5B55B77D"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7E"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77F" w14:textId="77777777" w:rsidR="00117187" w:rsidRPr="002D58D1" w:rsidRDefault="00117187" w:rsidP="00117187">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780"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781"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782"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8A" w14:textId="77777777" w:rsidTr="00993AEE">
        <w:trPr>
          <w:cantSplit/>
        </w:trPr>
        <w:tc>
          <w:tcPr>
            <w:tcW w:w="1013" w:type="pct"/>
            <w:vMerge/>
            <w:tcBorders>
              <w:left w:val="single" w:sz="8" w:space="0" w:color="4F81BD"/>
              <w:right w:val="single" w:sz="8" w:space="0" w:color="4F81BD"/>
            </w:tcBorders>
          </w:tcPr>
          <w:p w14:paraId="5B55B784"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85"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786"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787"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788" w14:textId="77777777" w:rsidR="00117187" w:rsidRPr="00114692" w:rsidRDefault="00117187" w:rsidP="00117187">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789"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91" w14:textId="77777777" w:rsidTr="00993AEE">
        <w:trPr>
          <w:cantSplit/>
        </w:trPr>
        <w:tc>
          <w:tcPr>
            <w:tcW w:w="1013" w:type="pct"/>
            <w:vMerge/>
            <w:tcBorders>
              <w:left w:val="single" w:sz="8" w:space="0" w:color="4F81BD"/>
              <w:bottom w:val="single" w:sz="8" w:space="0" w:color="4F81BD"/>
              <w:right w:val="single" w:sz="8" w:space="0" w:color="4F81BD"/>
            </w:tcBorders>
          </w:tcPr>
          <w:p w14:paraId="5B55B78B"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8C" w14:textId="77777777" w:rsidR="00117187" w:rsidRPr="008E7835" w:rsidRDefault="00117187" w:rsidP="00117187">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78D" w14:textId="77777777" w:rsidR="00117187" w:rsidRDefault="00117187" w:rsidP="00117187">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5"/>
            </w:r>
          </w:p>
          <w:p w14:paraId="5B55B78E" w14:textId="77777777" w:rsidR="00117187" w:rsidRPr="007422BB" w:rsidRDefault="00117187" w:rsidP="00117187">
            <w:pPr>
              <w:pStyle w:val="Milestonetable"/>
              <w:spacing w:line="256" w:lineRule="auto"/>
              <w:ind w:left="720"/>
              <w:rPr>
                <w:b/>
                <w:color w:val="auto"/>
                <w:lang w:val="en-AU" w:eastAsia="en-US"/>
              </w:rPr>
            </w:pPr>
            <w:r w:rsidRPr="007422BB">
              <w:rPr>
                <w:b/>
                <w:color w:val="auto"/>
                <w:lang w:val="en-AU" w:eastAsia="en-US"/>
              </w:rPr>
              <w:t>OR</w:t>
            </w:r>
          </w:p>
          <w:p w14:paraId="5B55B78F" w14:textId="77777777" w:rsidR="00117187" w:rsidRPr="008E7835" w:rsidRDefault="00117187" w:rsidP="00117187">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790" w14:textId="77777777" w:rsidR="00117187" w:rsidRPr="00D852D7" w:rsidRDefault="00117187" w:rsidP="00117187">
            <w:pPr>
              <w:pStyle w:val="Milestonetable"/>
              <w:spacing w:line="256" w:lineRule="auto"/>
              <w:jc w:val="right"/>
              <w:rPr>
                <w:color w:val="auto"/>
                <w:lang w:val="en-AU" w:eastAsia="en-US"/>
              </w:rPr>
            </w:pPr>
          </w:p>
        </w:tc>
      </w:tr>
      <w:tr w:rsidR="007422BB" w:rsidRPr="00D852D7" w14:paraId="5B55B797"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92"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793"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94"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795"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796"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79B"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98"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99"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79A"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79C" w14:textId="77777777" w:rsidR="008C7507" w:rsidRDefault="008C7507" w:rsidP="00993AEE">
      <w:pPr>
        <w:rPr>
          <w:sz w:val="20"/>
          <w:szCs w:val="20"/>
        </w:rPr>
      </w:pPr>
    </w:p>
    <w:p w14:paraId="5B55B79D"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79E"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79F"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7A0"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7A1"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7A2" w14:textId="77777777" w:rsidR="00993AEE" w:rsidRDefault="00993AEE">
      <w:pPr>
        <w:widowControl/>
        <w:spacing w:after="160" w:line="259" w:lineRule="auto"/>
        <w:rPr>
          <w:lang w:val="en-AU"/>
        </w:rPr>
      </w:pPr>
    </w:p>
    <w:p w14:paraId="5B55B7A3"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7A5"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7A4"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C</w:t>
            </w:r>
            <w:r w:rsidRPr="001E7A79">
              <w:rPr>
                <w:b/>
                <w:color w:val="auto"/>
                <w:lang w:val="en-AU"/>
              </w:rPr>
              <w:t xml:space="preserve">: </w:t>
            </w:r>
            <w:r w:rsidR="0037575D">
              <w:rPr>
                <w:b/>
                <w:color w:val="auto"/>
                <w:lang w:val="en-AU"/>
              </w:rPr>
              <w:t>Queensland</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7A9"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7A6"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A7"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A8"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7B4"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7AA"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7AB"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7AC"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7AD"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7AE"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7AF"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B0"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7B1"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7B2"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7B3"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7BC" w14:textId="77777777" w:rsidTr="00993AEE">
        <w:trPr>
          <w:cantSplit/>
        </w:trPr>
        <w:tc>
          <w:tcPr>
            <w:tcW w:w="1013" w:type="pct"/>
            <w:vMerge/>
            <w:tcBorders>
              <w:left w:val="single" w:sz="8" w:space="0" w:color="4F81BD"/>
              <w:right w:val="single" w:sz="8" w:space="0" w:color="4F81BD"/>
            </w:tcBorders>
          </w:tcPr>
          <w:p w14:paraId="5B55B7B5"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B6"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7B7"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6"/>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7B8"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7B9"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7BA"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7BB" w14:textId="77777777" w:rsidR="007422BB" w:rsidRDefault="007422BB" w:rsidP="007422BB">
            <w:pPr>
              <w:pStyle w:val="Milestonetable"/>
              <w:spacing w:line="256" w:lineRule="auto"/>
              <w:jc w:val="right"/>
              <w:rPr>
                <w:color w:val="auto"/>
                <w:lang w:val="en-AU" w:eastAsia="en-US"/>
              </w:rPr>
            </w:pPr>
          </w:p>
        </w:tc>
      </w:tr>
      <w:tr w:rsidR="00117187" w:rsidRPr="00D852D7" w14:paraId="5B55B7C1" w14:textId="77777777" w:rsidTr="00993AEE">
        <w:trPr>
          <w:cantSplit/>
        </w:trPr>
        <w:tc>
          <w:tcPr>
            <w:tcW w:w="1013" w:type="pct"/>
            <w:vMerge/>
            <w:tcBorders>
              <w:left w:val="single" w:sz="8" w:space="0" w:color="4F81BD"/>
              <w:right w:val="single" w:sz="8" w:space="0" w:color="4F81BD"/>
            </w:tcBorders>
          </w:tcPr>
          <w:p w14:paraId="5B55B7BD"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BE"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7BF" w14:textId="77777777" w:rsidR="00117187" w:rsidRPr="00E326B2" w:rsidRDefault="00117187" w:rsidP="00117187">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7C0"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C8" w14:textId="77777777" w:rsidTr="00993AEE">
        <w:trPr>
          <w:cantSplit/>
        </w:trPr>
        <w:tc>
          <w:tcPr>
            <w:tcW w:w="1013" w:type="pct"/>
            <w:vMerge/>
            <w:tcBorders>
              <w:left w:val="single" w:sz="8" w:space="0" w:color="4F81BD"/>
              <w:right w:val="single" w:sz="8" w:space="0" w:color="4F81BD"/>
            </w:tcBorders>
          </w:tcPr>
          <w:p w14:paraId="5B55B7C2"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C3"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7C4" w14:textId="77777777" w:rsidR="00117187" w:rsidRPr="002D58D1" w:rsidRDefault="00117187" w:rsidP="00117187">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7C5"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7C6"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7C7"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CF" w14:textId="77777777" w:rsidTr="00993AEE">
        <w:trPr>
          <w:cantSplit/>
        </w:trPr>
        <w:tc>
          <w:tcPr>
            <w:tcW w:w="1013" w:type="pct"/>
            <w:vMerge/>
            <w:tcBorders>
              <w:left w:val="single" w:sz="8" w:space="0" w:color="4F81BD"/>
              <w:right w:val="single" w:sz="8" w:space="0" w:color="4F81BD"/>
            </w:tcBorders>
          </w:tcPr>
          <w:p w14:paraId="5B55B7C9"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CA"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7CB"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7CC"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7CD" w14:textId="77777777" w:rsidR="00117187" w:rsidRPr="00114692" w:rsidRDefault="00117187" w:rsidP="00117187">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7CE"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7D6" w14:textId="77777777" w:rsidTr="00993AEE">
        <w:trPr>
          <w:cantSplit/>
        </w:trPr>
        <w:tc>
          <w:tcPr>
            <w:tcW w:w="1013" w:type="pct"/>
            <w:vMerge/>
            <w:tcBorders>
              <w:left w:val="single" w:sz="8" w:space="0" w:color="4F81BD"/>
              <w:bottom w:val="single" w:sz="8" w:space="0" w:color="4F81BD"/>
              <w:right w:val="single" w:sz="8" w:space="0" w:color="4F81BD"/>
            </w:tcBorders>
          </w:tcPr>
          <w:p w14:paraId="5B55B7D0"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D1" w14:textId="77777777" w:rsidR="00117187" w:rsidRPr="008E7835" w:rsidRDefault="00117187" w:rsidP="00117187">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7D2" w14:textId="77777777" w:rsidR="00117187" w:rsidRDefault="00117187" w:rsidP="00117187">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7"/>
            </w:r>
          </w:p>
          <w:p w14:paraId="5B55B7D3" w14:textId="77777777" w:rsidR="00117187" w:rsidRPr="007422BB" w:rsidRDefault="00117187" w:rsidP="00117187">
            <w:pPr>
              <w:pStyle w:val="Milestonetable"/>
              <w:spacing w:line="256" w:lineRule="auto"/>
              <w:ind w:left="720"/>
              <w:rPr>
                <w:b/>
                <w:color w:val="auto"/>
                <w:lang w:val="en-AU" w:eastAsia="en-US"/>
              </w:rPr>
            </w:pPr>
            <w:r w:rsidRPr="007422BB">
              <w:rPr>
                <w:b/>
                <w:color w:val="auto"/>
                <w:lang w:val="en-AU" w:eastAsia="en-US"/>
              </w:rPr>
              <w:t>OR</w:t>
            </w:r>
          </w:p>
          <w:p w14:paraId="5B55B7D4" w14:textId="77777777" w:rsidR="00117187" w:rsidRPr="008E7835" w:rsidRDefault="00117187" w:rsidP="00117187">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7D5" w14:textId="77777777" w:rsidR="00117187" w:rsidRPr="00D852D7" w:rsidRDefault="00117187" w:rsidP="00117187">
            <w:pPr>
              <w:pStyle w:val="Milestonetable"/>
              <w:spacing w:line="256" w:lineRule="auto"/>
              <w:jc w:val="right"/>
              <w:rPr>
                <w:color w:val="auto"/>
                <w:lang w:val="en-AU" w:eastAsia="en-US"/>
              </w:rPr>
            </w:pPr>
          </w:p>
        </w:tc>
      </w:tr>
      <w:tr w:rsidR="007422BB" w:rsidRPr="00D852D7" w14:paraId="5B55B7DC"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D7"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7D8"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D9"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7DA"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7DB"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7E0"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7DD"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DE"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7DF"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7E1" w14:textId="77777777" w:rsidR="008C7507" w:rsidRDefault="008C7507" w:rsidP="00993AEE">
      <w:pPr>
        <w:rPr>
          <w:sz w:val="20"/>
          <w:szCs w:val="20"/>
        </w:rPr>
      </w:pPr>
    </w:p>
    <w:p w14:paraId="5B55B7E2"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7E3"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7E4"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7E5"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7E6"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7E7" w14:textId="77777777" w:rsidR="00993AEE" w:rsidRDefault="00993AEE">
      <w:pPr>
        <w:widowControl/>
        <w:spacing w:after="160" w:line="259" w:lineRule="auto"/>
        <w:rPr>
          <w:lang w:val="en-AU"/>
        </w:rPr>
      </w:pPr>
    </w:p>
    <w:p w14:paraId="5B55B7E8"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7EA"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7E9" w14:textId="77777777" w:rsidR="00993AEE" w:rsidRPr="00D852D7" w:rsidRDefault="00993AEE" w:rsidP="00993AEE">
            <w:pPr>
              <w:pStyle w:val="Tableformat"/>
              <w:spacing w:line="256" w:lineRule="auto"/>
              <w:rPr>
                <w:b/>
                <w:color w:val="auto"/>
                <w:lang w:val="en-AU"/>
              </w:rPr>
            </w:pPr>
            <w:r w:rsidRPr="001E7A79">
              <w:rPr>
                <w:b/>
                <w:color w:val="auto"/>
                <w:lang w:val="en-AU"/>
              </w:rPr>
              <w:lastRenderedPageBreak/>
              <w:t>Table 3</w:t>
            </w:r>
            <w:r w:rsidR="0037575D">
              <w:rPr>
                <w:b/>
                <w:color w:val="auto"/>
                <w:lang w:val="en-AU"/>
              </w:rPr>
              <w:t>D</w:t>
            </w:r>
            <w:r w:rsidRPr="001E7A79">
              <w:rPr>
                <w:b/>
                <w:color w:val="auto"/>
                <w:lang w:val="en-AU"/>
              </w:rPr>
              <w:t xml:space="preserve">: </w:t>
            </w:r>
            <w:r w:rsidR="00FD73C8">
              <w:rPr>
                <w:b/>
                <w:color w:val="auto"/>
                <w:lang w:val="en-AU"/>
              </w:rPr>
              <w:t>Western Australia</w:t>
            </w:r>
            <w:r w:rsidRPr="001E7A79">
              <w:rPr>
                <w:b/>
                <w:color w:val="auto"/>
                <w:lang w:val="en-AU"/>
              </w:rPr>
              <w:t xml:space="preserve"> – Performance requirements</w:t>
            </w:r>
            <w:r w:rsidR="00FD73C8">
              <w:rPr>
                <w:b/>
                <w:color w:val="auto"/>
                <w:lang w:val="en-AU"/>
              </w:rPr>
              <w:t xml:space="preserve"> and</w:t>
            </w:r>
            <w:r w:rsidRPr="001E7A79">
              <w:rPr>
                <w:b/>
                <w:color w:val="auto"/>
                <w:lang w:val="en-AU"/>
              </w:rPr>
              <w:t xml:space="preserve"> reporting </w:t>
            </w:r>
          </w:p>
        </w:tc>
      </w:tr>
      <w:tr w:rsidR="00993AEE" w:rsidRPr="00D852D7" w14:paraId="5B55B7EE"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7EB"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EC"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7ED"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7F9"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7EF"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7F0"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7F1"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7F2"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7F3"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7F4"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F5"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7F6"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7F7"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7F8"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801" w14:textId="77777777" w:rsidTr="00993AEE">
        <w:trPr>
          <w:cantSplit/>
        </w:trPr>
        <w:tc>
          <w:tcPr>
            <w:tcW w:w="1013" w:type="pct"/>
            <w:vMerge/>
            <w:tcBorders>
              <w:left w:val="single" w:sz="8" w:space="0" w:color="4F81BD"/>
              <w:right w:val="single" w:sz="8" w:space="0" w:color="4F81BD"/>
            </w:tcBorders>
          </w:tcPr>
          <w:p w14:paraId="5B55B7FA"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7FB"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7FC"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8"/>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7FD"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7FE"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7FF"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800" w14:textId="77777777" w:rsidR="007422BB" w:rsidRDefault="007422BB" w:rsidP="007422BB">
            <w:pPr>
              <w:pStyle w:val="Milestonetable"/>
              <w:spacing w:line="256" w:lineRule="auto"/>
              <w:jc w:val="right"/>
              <w:rPr>
                <w:color w:val="auto"/>
                <w:lang w:val="en-AU" w:eastAsia="en-US"/>
              </w:rPr>
            </w:pPr>
          </w:p>
        </w:tc>
      </w:tr>
      <w:tr w:rsidR="00117187" w:rsidRPr="00D852D7" w14:paraId="5B55B806" w14:textId="77777777" w:rsidTr="00993AEE">
        <w:trPr>
          <w:cantSplit/>
        </w:trPr>
        <w:tc>
          <w:tcPr>
            <w:tcW w:w="1013" w:type="pct"/>
            <w:vMerge/>
            <w:tcBorders>
              <w:left w:val="single" w:sz="8" w:space="0" w:color="4F81BD"/>
              <w:right w:val="single" w:sz="8" w:space="0" w:color="4F81BD"/>
            </w:tcBorders>
          </w:tcPr>
          <w:p w14:paraId="5B55B802"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03"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804" w14:textId="77777777" w:rsidR="00117187" w:rsidRPr="00E326B2" w:rsidRDefault="00117187" w:rsidP="00117187">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805"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80D" w14:textId="77777777" w:rsidTr="00993AEE">
        <w:trPr>
          <w:cantSplit/>
        </w:trPr>
        <w:tc>
          <w:tcPr>
            <w:tcW w:w="1013" w:type="pct"/>
            <w:vMerge/>
            <w:tcBorders>
              <w:left w:val="single" w:sz="8" w:space="0" w:color="4F81BD"/>
              <w:right w:val="single" w:sz="8" w:space="0" w:color="4F81BD"/>
            </w:tcBorders>
          </w:tcPr>
          <w:p w14:paraId="5B55B807"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08"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809" w14:textId="77777777" w:rsidR="00117187" w:rsidRPr="002D58D1" w:rsidRDefault="00117187" w:rsidP="00117187">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80A"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80B" w14:textId="77777777" w:rsidR="00117187" w:rsidRPr="00E326B2" w:rsidRDefault="00117187" w:rsidP="00117187">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80C" w14:textId="77777777" w:rsidR="00117187" w:rsidRPr="00D852D7" w:rsidRDefault="00117187" w:rsidP="00117187">
            <w:pPr>
              <w:pStyle w:val="Milestonetable"/>
              <w:spacing w:line="256" w:lineRule="auto"/>
              <w:jc w:val="right"/>
              <w:rPr>
                <w:color w:val="auto"/>
                <w:lang w:val="en-AU" w:eastAsia="en-US"/>
              </w:rPr>
            </w:pPr>
          </w:p>
        </w:tc>
      </w:tr>
      <w:tr w:rsidR="00117187" w:rsidRPr="00D852D7" w14:paraId="5B55B814" w14:textId="77777777" w:rsidTr="00993AEE">
        <w:trPr>
          <w:cantSplit/>
        </w:trPr>
        <w:tc>
          <w:tcPr>
            <w:tcW w:w="1013" w:type="pct"/>
            <w:vMerge/>
            <w:tcBorders>
              <w:left w:val="single" w:sz="8" w:space="0" w:color="4F81BD"/>
              <w:right w:val="single" w:sz="8" w:space="0" w:color="4F81BD"/>
            </w:tcBorders>
          </w:tcPr>
          <w:p w14:paraId="5B55B80E" w14:textId="77777777" w:rsidR="00117187" w:rsidRPr="00C246D6" w:rsidRDefault="00117187" w:rsidP="00117187">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0F" w14:textId="77777777" w:rsidR="00117187" w:rsidRDefault="00117187" w:rsidP="00117187">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810"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811" w14:textId="77777777" w:rsidR="00117187" w:rsidRDefault="00117187" w:rsidP="00117187">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812" w14:textId="77777777" w:rsidR="00117187" w:rsidRPr="00114692" w:rsidRDefault="00117187" w:rsidP="00117187">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813" w14:textId="77777777" w:rsidR="00117187" w:rsidRPr="00D852D7" w:rsidRDefault="00117187" w:rsidP="00117187">
            <w:pPr>
              <w:pStyle w:val="Milestonetable"/>
              <w:spacing w:line="256" w:lineRule="auto"/>
              <w:jc w:val="right"/>
              <w:rPr>
                <w:color w:val="auto"/>
                <w:lang w:val="en-AU" w:eastAsia="en-US"/>
              </w:rPr>
            </w:pPr>
          </w:p>
        </w:tc>
      </w:tr>
      <w:tr w:rsidR="007422BB" w:rsidRPr="00D852D7" w14:paraId="5B55B81B" w14:textId="77777777" w:rsidTr="00993AEE">
        <w:trPr>
          <w:cantSplit/>
        </w:trPr>
        <w:tc>
          <w:tcPr>
            <w:tcW w:w="1013" w:type="pct"/>
            <w:vMerge/>
            <w:tcBorders>
              <w:left w:val="single" w:sz="8" w:space="0" w:color="4F81BD"/>
              <w:bottom w:val="single" w:sz="8" w:space="0" w:color="4F81BD"/>
              <w:right w:val="single" w:sz="8" w:space="0" w:color="4F81BD"/>
            </w:tcBorders>
          </w:tcPr>
          <w:p w14:paraId="5B55B815"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16" w14:textId="77777777" w:rsidR="007422BB" w:rsidRDefault="007422BB" w:rsidP="00117187">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817" w14:textId="77777777" w:rsidR="007422BB" w:rsidRPr="008C7507" w:rsidRDefault="008C7507" w:rsidP="008C7507">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7422BB" w:rsidRPr="008C7507">
              <w:rPr>
                <w:rStyle w:val="FootnoteReference"/>
                <w:color w:val="auto"/>
                <w:lang w:val="en-AU" w:eastAsia="en-US"/>
              </w:rPr>
              <w:footnoteReference w:id="9"/>
            </w:r>
          </w:p>
          <w:p w14:paraId="5B55B818" w14:textId="77777777" w:rsidR="007422BB" w:rsidRPr="007422BB" w:rsidRDefault="007422BB" w:rsidP="007422BB">
            <w:pPr>
              <w:pStyle w:val="Milestonetable"/>
              <w:spacing w:line="256" w:lineRule="auto"/>
              <w:ind w:left="720"/>
              <w:rPr>
                <w:b/>
                <w:color w:val="auto"/>
                <w:lang w:val="en-AU" w:eastAsia="en-US"/>
              </w:rPr>
            </w:pPr>
            <w:r w:rsidRPr="007422BB">
              <w:rPr>
                <w:b/>
                <w:color w:val="auto"/>
                <w:lang w:val="en-AU" w:eastAsia="en-US"/>
              </w:rPr>
              <w:t>OR</w:t>
            </w:r>
          </w:p>
          <w:p w14:paraId="5B55B819" w14:textId="77777777" w:rsidR="007422BB" w:rsidRPr="008E7835" w:rsidRDefault="007422BB" w:rsidP="007422BB">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81A" w14:textId="77777777" w:rsidR="007422BB" w:rsidRPr="00D852D7" w:rsidRDefault="007422BB" w:rsidP="007422BB">
            <w:pPr>
              <w:pStyle w:val="Milestonetable"/>
              <w:spacing w:line="256" w:lineRule="auto"/>
              <w:jc w:val="right"/>
              <w:rPr>
                <w:color w:val="auto"/>
                <w:lang w:val="en-AU" w:eastAsia="en-US"/>
              </w:rPr>
            </w:pPr>
          </w:p>
        </w:tc>
      </w:tr>
      <w:tr w:rsidR="007422BB" w:rsidRPr="00D852D7" w14:paraId="5B55B821"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1C"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81D"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1E"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81F"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820"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825"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22"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23"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824"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826" w14:textId="77777777" w:rsidR="008C7507" w:rsidRDefault="008C7507" w:rsidP="00993AEE">
      <w:pPr>
        <w:rPr>
          <w:sz w:val="20"/>
          <w:szCs w:val="20"/>
        </w:rPr>
      </w:pPr>
    </w:p>
    <w:p w14:paraId="5B55B827"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828"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829"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82A"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82B"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82C" w14:textId="77777777" w:rsidR="00993AEE" w:rsidRDefault="00993AEE">
      <w:pPr>
        <w:widowControl/>
        <w:spacing w:after="160" w:line="259" w:lineRule="auto"/>
        <w:rPr>
          <w:lang w:val="en-AU"/>
        </w:rPr>
      </w:pPr>
    </w:p>
    <w:p w14:paraId="5B55B82D"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82F"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82E"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E</w:t>
            </w:r>
            <w:r w:rsidRPr="001E7A79">
              <w:rPr>
                <w:b/>
                <w:color w:val="auto"/>
                <w:lang w:val="en-AU"/>
              </w:rPr>
              <w:t xml:space="preserve">: </w:t>
            </w:r>
            <w:r w:rsidR="00FD73C8">
              <w:rPr>
                <w:b/>
                <w:color w:val="auto"/>
                <w:lang w:val="en-AU"/>
              </w:rPr>
              <w:t>South Australia</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833"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830"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31"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32"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83E"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834"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835"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836"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837"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838"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839"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3A"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83B"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83C"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83D"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846" w14:textId="77777777" w:rsidTr="00993AEE">
        <w:trPr>
          <w:cantSplit/>
        </w:trPr>
        <w:tc>
          <w:tcPr>
            <w:tcW w:w="1013" w:type="pct"/>
            <w:vMerge/>
            <w:tcBorders>
              <w:left w:val="single" w:sz="8" w:space="0" w:color="4F81BD"/>
              <w:right w:val="single" w:sz="8" w:space="0" w:color="4F81BD"/>
            </w:tcBorders>
          </w:tcPr>
          <w:p w14:paraId="5B55B83F"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40"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841"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10"/>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842"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843"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844"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845" w14:textId="77777777" w:rsidR="007422BB" w:rsidRDefault="007422BB" w:rsidP="007422BB">
            <w:pPr>
              <w:pStyle w:val="Milestonetable"/>
              <w:spacing w:line="256" w:lineRule="auto"/>
              <w:jc w:val="right"/>
              <w:rPr>
                <w:color w:val="auto"/>
                <w:lang w:val="en-AU" w:eastAsia="en-US"/>
              </w:rPr>
            </w:pPr>
          </w:p>
        </w:tc>
      </w:tr>
      <w:tr w:rsidR="006056EB" w:rsidRPr="00D852D7" w14:paraId="5B55B84B" w14:textId="77777777" w:rsidTr="00993AEE">
        <w:trPr>
          <w:cantSplit/>
        </w:trPr>
        <w:tc>
          <w:tcPr>
            <w:tcW w:w="1013" w:type="pct"/>
            <w:vMerge/>
            <w:tcBorders>
              <w:left w:val="single" w:sz="8" w:space="0" w:color="4F81BD"/>
              <w:right w:val="single" w:sz="8" w:space="0" w:color="4F81BD"/>
            </w:tcBorders>
          </w:tcPr>
          <w:p w14:paraId="5B55B847"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48"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849" w14:textId="77777777" w:rsidR="006056EB" w:rsidRPr="00E326B2" w:rsidRDefault="006056EB" w:rsidP="006056EB">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84A"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52" w14:textId="77777777" w:rsidTr="00993AEE">
        <w:trPr>
          <w:cantSplit/>
        </w:trPr>
        <w:tc>
          <w:tcPr>
            <w:tcW w:w="1013" w:type="pct"/>
            <w:vMerge/>
            <w:tcBorders>
              <w:left w:val="single" w:sz="8" w:space="0" w:color="4F81BD"/>
              <w:right w:val="single" w:sz="8" w:space="0" w:color="4F81BD"/>
            </w:tcBorders>
          </w:tcPr>
          <w:p w14:paraId="5B55B84C"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4D"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84E" w14:textId="77777777" w:rsidR="006056EB" w:rsidRPr="002D58D1" w:rsidRDefault="006056EB" w:rsidP="006056EB">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84F"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850"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851"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59" w14:textId="77777777" w:rsidTr="00993AEE">
        <w:trPr>
          <w:cantSplit/>
        </w:trPr>
        <w:tc>
          <w:tcPr>
            <w:tcW w:w="1013" w:type="pct"/>
            <w:vMerge/>
            <w:tcBorders>
              <w:left w:val="single" w:sz="8" w:space="0" w:color="4F81BD"/>
              <w:right w:val="single" w:sz="8" w:space="0" w:color="4F81BD"/>
            </w:tcBorders>
          </w:tcPr>
          <w:p w14:paraId="5B55B853"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54"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855"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856"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857" w14:textId="77777777" w:rsidR="006056EB" w:rsidRPr="00114692" w:rsidRDefault="006056EB" w:rsidP="006056EB">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858"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60" w14:textId="77777777" w:rsidTr="00993AEE">
        <w:trPr>
          <w:cantSplit/>
        </w:trPr>
        <w:tc>
          <w:tcPr>
            <w:tcW w:w="1013" w:type="pct"/>
            <w:vMerge/>
            <w:tcBorders>
              <w:left w:val="single" w:sz="8" w:space="0" w:color="4F81BD"/>
              <w:bottom w:val="single" w:sz="8" w:space="0" w:color="4F81BD"/>
              <w:right w:val="single" w:sz="8" w:space="0" w:color="4F81BD"/>
            </w:tcBorders>
          </w:tcPr>
          <w:p w14:paraId="5B55B85A"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5B" w14:textId="77777777" w:rsidR="006056EB" w:rsidRPr="008E7835" w:rsidRDefault="006056EB" w:rsidP="006056EB">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85C" w14:textId="77777777" w:rsidR="006056EB" w:rsidRDefault="006056EB" w:rsidP="006056EB">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11"/>
            </w:r>
          </w:p>
          <w:p w14:paraId="5B55B85D" w14:textId="77777777" w:rsidR="006056EB" w:rsidRPr="007422BB" w:rsidRDefault="006056EB" w:rsidP="006056EB">
            <w:pPr>
              <w:pStyle w:val="Milestonetable"/>
              <w:spacing w:line="256" w:lineRule="auto"/>
              <w:ind w:left="720"/>
              <w:rPr>
                <w:b/>
                <w:color w:val="auto"/>
                <w:lang w:val="en-AU" w:eastAsia="en-US"/>
              </w:rPr>
            </w:pPr>
            <w:r w:rsidRPr="007422BB">
              <w:rPr>
                <w:b/>
                <w:color w:val="auto"/>
                <w:lang w:val="en-AU" w:eastAsia="en-US"/>
              </w:rPr>
              <w:t>OR</w:t>
            </w:r>
          </w:p>
          <w:p w14:paraId="5B55B85E" w14:textId="77777777" w:rsidR="006056EB" w:rsidRPr="008E7835" w:rsidRDefault="006056EB" w:rsidP="006056EB">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85F" w14:textId="77777777" w:rsidR="006056EB" w:rsidRPr="00D852D7" w:rsidRDefault="006056EB" w:rsidP="006056EB">
            <w:pPr>
              <w:pStyle w:val="Milestonetable"/>
              <w:spacing w:line="256" w:lineRule="auto"/>
              <w:jc w:val="right"/>
              <w:rPr>
                <w:color w:val="auto"/>
                <w:lang w:val="en-AU" w:eastAsia="en-US"/>
              </w:rPr>
            </w:pPr>
          </w:p>
        </w:tc>
      </w:tr>
      <w:tr w:rsidR="007422BB" w:rsidRPr="00D852D7" w14:paraId="5B55B866"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61"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862"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63"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864"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865"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86A"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67"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68"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869"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86B" w14:textId="77777777" w:rsidR="008C7507" w:rsidRDefault="008C7507" w:rsidP="00993AEE">
      <w:pPr>
        <w:rPr>
          <w:sz w:val="20"/>
          <w:szCs w:val="20"/>
        </w:rPr>
      </w:pPr>
    </w:p>
    <w:p w14:paraId="5B55B86C"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86D"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86E"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86F"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870"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871" w14:textId="77777777" w:rsidR="00993AEE" w:rsidRDefault="00993AEE">
      <w:pPr>
        <w:widowControl/>
        <w:spacing w:after="160" w:line="259" w:lineRule="auto"/>
        <w:rPr>
          <w:lang w:val="en-AU"/>
        </w:rPr>
      </w:pPr>
    </w:p>
    <w:p w14:paraId="5B55B872"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874"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873"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F</w:t>
            </w:r>
            <w:r w:rsidRPr="001E7A79">
              <w:rPr>
                <w:b/>
                <w:color w:val="auto"/>
                <w:lang w:val="en-AU"/>
              </w:rPr>
              <w:t xml:space="preserve">: </w:t>
            </w:r>
            <w:r w:rsidR="00FD73C8">
              <w:rPr>
                <w:b/>
                <w:color w:val="auto"/>
                <w:lang w:val="en-AU"/>
              </w:rPr>
              <w:t>Tasmania</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878"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875"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76"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77"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883"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879"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87A"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87B"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87C"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87D"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87E"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7F"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880"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881"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882"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88B" w14:textId="77777777" w:rsidTr="00993AEE">
        <w:trPr>
          <w:cantSplit/>
        </w:trPr>
        <w:tc>
          <w:tcPr>
            <w:tcW w:w="1013" w:type="pct"/>
            <w:vMerge/>
            <w:tcBorders>
              <w:left w:val="single" w:sz="8" w:space="0" w:color="4F81BD"/>
              <w:right w:val="single" w:sz="8" w:space="0" w:color="4F81BD"/>
            </w:tcBorders>
          </w:tcPr>
          <w:p w14:paraId="5B55B884"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85"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886"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12"/>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887"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888"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889"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88A" w14:textId="77777777" w:rsidR="007422BB" w:rsidRDefault="007422BB" w:rsidP="007422BB">
            <w:pPr>
              <w:pStyle w:val="Milestonetable"/>
              <w:spacing w:line="256" w:lineRule="auto"/>
              <w:jc w:val="right"/>
              <w:rPr>
                <w:color w:val="auto"/>
                <w:lang w:val="en-AU" w:eastAsia="en-US"/>
              </w:rPr>
            </w:pPr>
          </w:p>
        </w:tc>
      </w:tr>
      <w:tr w:rsidR="006056EB" w:rsidRPr="00D852D7" w14:paraId="5B55B890" w14:textId="77777777" w:rsidTr="00993AEE">
        <w:trPr>
          <w:cantSplit/>
        </w:trPr>
        <w:tc>
          <w:tcPr>
            <w:tcW w:w="1013" w:type="pct"/>
            <w:vMerge/>
            <w:tcBorders>
              <w:left w:val="single" w:sz="8" w:space="0" w:color="4F81BD"/>
              <w:right w:val="single" w:sz="8" w:space="0" w:color="4F81BD"/>
            </w:tcBorders>
          </w:tcPr>
          <w:p w14:paraId="5B55B88C"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8D"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88E" w14:textId="77777777" w:rsidR="006056EB" w:rsidRPr="00E326B2" w:rsidRDefault="006056EB" w:rsidP="006056EB">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88F"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97" w14:textId="77777777" w:rsidTr="00993AEE">
        <w:trPr>
          <w:cantSplit/>
        </w:trPr>
        <w:tc>
          <w:tcPr>
            <w:tcW w:w="1013" w:type="pct"/>
            <w:vMerge/>
            <w:tcBorders>
              <w:left w:val="single" w:sz="8" w:space="0" w:color="4F81BD"/>
              <w:right w:val="single" w:sz="8" w:space="0" w:color="4F81BD"/>
            </w:tcBorders>
          </w:tcPr>
          <w:p w14:paraId="5B55B891"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92"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893" w14:textId="77777777" w:rsidR="006056EB" w:rsidRPr="002D58D1" w:rsidRDefault="006056EB" w:rsidP="006056EB">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894"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895"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896"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9E" w14:textId="77777777" w:rsidTr="00993AEE">
        <w:trPr>
          <w:cantSplit/>
        </w:trPr>
        <w:tc>
          <w:tcPr>
            <w:tcW w:w="1013" w:type="pct"/>
            <w:vMerge/>
            <w:tcBorders>
              <w:left w:val="single" w:sz="8" w:space="0" w:color="4F81BD"/>
              <w:right w:val="single" w:sz="8" w:space="0" w:color="4F81BD"/>
            </w:tcBorders>
          </w:tcPr>
          <w:p w14:paraId="5B55B898"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99"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89A"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89B"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89C" w14:textId="77777777" w:rsidR="006056EB" w:rsidRPr="00114692" w:rsidRDefault="006056EB" w:rsidP="006056EB">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89D"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A5" w14:textId="77777777" w:rsidTr="00993AEE">
        <w:trPr>
          <w:cantSplit/>
        </w:trPr>
        <w:tc>
          <w:tcPr>
            <w:tcW w:w="1013" w:type="pct"/>
            <w:vMerge/>
            <w:tcBorders>
              <w:left w:val="single" w:sz="8" w:space="0" w:color="4F81BD"/>
              <w:bottom w:val="single" w:sz="8" w:space="0" w:color="4F81BD"/>
              <w:right w:val="single" w:sz="8" w:space="0" w:color="4F81BD"/>
            </w:tcBorders>
          </w:tcPr>
          <w:p w14:paraId="5B55B89F"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A0" w14:textId="77777777" w:rsidR="006056EB" w:rsidRPr="008E7835" w:rsidRDefault="006056EB" w:rsidP="006056EB">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8A1" w14:textId="77777777" w:rsidR="006056EB" w:rsidRDefault="006056EB" w:rsidP="006056EB">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13"/>
            </w:r>
          </w:p>
          <w:p w14:paraId="5B55B8A2" w14:textId="77777777" w:rsidR="006056EB" w:rsidRPr="007422BB" w:rsidRDefault="006056EB" w:rsidP="006056EB">
            <w:pPr>
              <w:pStyle w:val="Milestonetable"/>
              <w:spacing w:line="256" w:lineRule="auto"/>
              <w:ind w:left="720"/>
              <w:rPr>
                <w:b/>
                <w:color w:val="auto"/>
                <w:lang w:val="en-AU" w:eastAsia="en-US"/>
              </w:rPr>
            </w:pPr>
            <w:r w:rsidRPr="007422BB">
              <w:rPr>
                <w:b/>
                <w:color w:val="auto"/>
                <w:lang w:val="en-AU" w:eastAsia="en-US"/>
              </w:rPr>
              <w:t>OR</w:t>
            </w:r>
          </w:p>
          <w:p w14:paraId="5B55B8A3" w14:textId="77777777" w:rsidR="006056EB" w:rsidRPr="008E7835" w:rsidRDefault="006056EB" w:rsidP="006056EB">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8A4" w14:textId="77777777" w:rsidR="006056EB" w:rsidRPr="00D852D7" w:rsidRDefault="006056EB" w:rsidP="006056EB">
            <w:pPr>
              <w:pStyle w:val="Milestonetable"/>
              <w:spacing w:line="256" w:lineRule="auto"/>
              <w:jc w:val="right"/>
              <w:rPr>
                <w:color w:val="auto"/>
                <w:lang w:val="en-AU" w:eastAsia="en-US"/>
              </w:rPr>
            </w:pPr>
          </w:p>
        </w:tc>
      </w:tr>
      <w:tr w:rsidR="007422BB" w:rsidRPr="00D852D7" w14:paraId="5B55B8AB"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A6"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8A7"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A8"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8A9"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8AA"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8AF"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AC"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AD"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8AE"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8B0" w14:textId="77777777" w:rsidR="008C7507" w:rsidRDefault="008C7507" w:rsidP="00993AEE">
      <w:pPr>
        <w:rPr>
          <w:sz w:val="20"/>
          <w:szCs w:val="20"/>
        </w:rPr>
      </w:pPr>
    </w:p>
    <w:p w14:paraId="5B55B8B1"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8B2"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8B3"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8B4"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8B5"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8B6" w14:textId="77777777" w:rsidR="00993AEE" w:rsidRDefault="00993AEE">
      <w:pPr>
        <w:widowControl/>
        <w:spacing w:after="160" w:line="259" w:lineRule="auto"/>
        <w:rPr>
          <w:lang w:val="en-AU"/>
        </w:rPr>
      </w:pPr>
    </w:p>
    <w:p w14:paraId="5B55B8B7"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8B9"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8B8"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G</w:t>
            </w:r>
            <w:r w:rsidRPr="001E7A79">
              <w:rPr>
                <w:b/>
                <w:color w:val="auto"/>
                <w:lang w:val="en-AU"/>
              </w:rPr>
              <w:t xml:space="preserve">: </w:t>
            </w:r>
            <w:r w:rsidR="00FD73C8">
              <w:rPr>
                <w:b/>
                <w:color w:val="auto"/>
                <w:lang w:val="en-AU"/>
              </w:rPr>
              <w:t>Australian Capital Territory</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8BD"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8BA"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BB"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8BC"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8C8"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8BE"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8BF"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8C0"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8C1"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8C2"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8C3"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C4"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8C5"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8C6"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8C7"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8D0" w14:textId="77777777" w:rsidTr="00993AEE">
        <w:trPr>
          <w:cantSplit/>
        </w:trPr>
        <w:tc>
          <w:tcPr>
            <w:tcW w:w="1013" w:type="pct"/>
            <w:vMerge/>
            <w:tcBorders>
              <w:left w:val="single" w:sz="8" w:space="0" w:color="4F81BD"/>
              <w:right w:val="single" w:sz="8" w:space="0" w:color="4F81BD"/>
            </w:tcBorders>
          </w:tcPr>
          <w:p w14:paraId="5B55B8C9"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CA"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8CB"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14"/>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8CC"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8CD"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8CE"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8CF" w14:textId="77777777" w:rsidR="007422BB" w:rsidRDefault="007422BB" w:rsidP="007422BB">
            <w:pPr>
              <w:pStyle w:val="Milestonetable"/>
              <w:spacing w:line="256" w:lineRule="auto"/>
              <w:jc w:val="right"/>
              <w:rPr>
                <w:color w:val="auto"/>
                <w:lang w:val="en-AU" w:eastAsia="en-US"/>
              </w:rPr>
            </w:pPr>
          </w:p>
        </w:tc>
      </w:tr>
      <w:tr w:rsidR="006056EB" w:rsidRPr="00D852D7" w14:paraId="5B55B8D5" w14:textId="77777777" w:rsidTr="00993AEE">
        <w:trPr>
          <w:cantSplit/>
        </w:trPr>
        <w:tc>
          <w:tcPr>
            <w:tcW w:w="1013" w:type="pct"/>
            <w:vMerge/>
            <w:tcBorders>
              <w:left w:val="single" w:sz="8" w:space="0" w:color="4F81BD"/>
              <w:right w:val="single" w:sz="8" w:space="0" w:color="4F81BD"/>
            </w:tcBorders>
          </w:tcPr>
          <w:p w14:paraId="5B55B8D1"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D2"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8D3" w14:textId="77777777" w:rsidR="006056EB" w:rsidRPr="00E326B2" w:rsidRDefault="006056EB" w:rsidP="006056EB">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8D4"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DC" w14:textId="77777777" w:rsidTr="00993AEE">
        <w:trPr>
          <w:cantSplit/>
        </w:trPr>
        <w:tc>
          <w:tcPr>
            <w:tcW w:w="1013" w:type="pct"/>
            <w:vMerge/>
            <w:tcBorders>
              <w:left w:val="single" w:sz="8" w:space="0" w:color="4F81BD"/>
              <w:right w:val="single" w:sz="8" w:space="0" w:color="4F81BD"/>
            </w:tcBorders>
          </w:tcPr>
          <w:p w14:paraId="5B55B8D6"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D7"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8D8" w14:textId="77777777" w:rsidR="006056EB" w:rsidRPr="002D58D1" w:rsidRDefault="006056EB" w:rsidP="006056EB">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8D9"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8DA"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8DB"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E3" w14:textId="77777777" w:rsidTr="00993AEE">
        <w:trPr>
          <w:cantSplit/>
        </w:trPr>
        <w:tc>
          <w:tcPr>
            <w:tcW w:w="1013" w:type="pct"/>
            <w:vMerge/>
            <w:tcBorders>
              <w:left w:val="single" w:sz="8" w:space="0" w:color="4F81BD"/>
              <w:right w:val="single" w:sz="8" w:space="0" w:color="4F81BD"/>
            </w:tcBorders>
          </w:tcPr>
          <w:p w14:paraId="5B55B8DD"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DE"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8DF"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8E0"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8E1" w14:textId="77777777" w:rsidR="006056EB" w:rsidRPr="00114692" w:rsidRDefault="006056EB" w:rsidP="006056EB">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8E2"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8EA" w14:textId="77777777" w:rsidTr="00993AEE">
        <w:trPr>
          <w:cantSplit/>
        </w:trPr>
        <w:tc>
          <w:tcPr>
            <w:tcW w:w="1013" w:type="pct"/>
            <w:vMerge/>
            <w:tcBorders>
              <w:left w:val="single" w:sz="8" w:space="0" w:color="4F81BD"/>
              <w:bottom w:val="single" w:sz="8" w:space="0" w:color="4F81BD"/>
              <w:right w:val="single" w:sz="8" w:space="0" w:color="4F81BD"/>
            </w:tcBorders>
          </w:tcPr>
          <w:p w14:paraId="5B55B8E4"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E5" w14:textId="77777777" w:rsidR="006056EB" w:rsidRPr="008E7835" w:rsidRDefault="006056EB" w:rsidP="006056EB">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8E6" w14:textId="77777777" w:rsidR="006056EB" w:rsidRDefault="006056EB" w:rsidP="006056EB">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15"/>
            </w:r>
          </w:p>
          <w:p w14:paraId="5B55B8E7" w14:textId="77777777" w:rsidR="006056EB" w:rsidRPr="007422BB" w:rsidRDefault="006056EB" w:rsidP="006056EB">
            <w:pPr>
              <w:pStyle w:val="Milestonetable"/>
              <w:spacing w:line="256" w:lineRule="auto"/>
              <w:ind w:left="720"/>
              <w:rPr>
                <w:b/>
                <w:color w:val="auto"/>
                <w:lang w:val="en-AU" w:eastAsia="en-US"/>
              </w:rPr>
            </w:pPr>
            <w:r w:rsidRPr="007422BB">
              <w:rPr>
                <w:b/>
                <w:color w:val="auto"/>
                <w:lang w:val="en-AU" w:eastAsia="en-US"/>
              </w:rPr>
              <w:t>OR</w:t>
            </w:r>
          </w:p>
          <w:p w14:paraId="5B55B8E8" w14:textId="77777777" w:rsidR="006056EB" w:rsidRPr="008E7835" w:rsidRDefault="006056EB" w:rsidP="006056EB">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8E9" w14:textId="77777777" w:rsidR="006056EB" w:rsidRPr="00D852D7" w:rsidRDefault="006056EB" w:rsidP="006056EB">
            <w:pPr>
              <w:pStyle w:val="Milestonetable"/>
              <w:spacing w:line="256" w:lineRule="auto"/>
              <w:jc w:val="right"/>
              <w:rPr>
                <w:color w:val="auto"/>
                <w:lang w:val="en-AU" w:eastAsia="en-US"/>
              </w:rPr>
            </w:pPr>
          </w:p>
        </w:tc>
      </w:tr>
      <w:tr w:rsidR="007422BB" w:rsidRPr="00D852D7" w14:paraId="5B55B8F0"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EB"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8EC"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ED"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8EE"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8EF"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8F4"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8F1"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8F2"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8F3"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8F5" w14:textId="77777777" w:rsidR="008C7507" w:rsidRDefault="008C7507" w:rsidP="00993AEE">
      <w:pPr>
        <w:rPr>
          <w:sz w:val="20"/>
          <w:szCs w:val="20"/>
        </w:rPr>
      </w:pPr>
    </w:p>
    <w:p w14:paraId="5B55B8F6"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8F7"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8F8"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8F9"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8FA"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8FB" w14:textId="77777777" w:rsidR="00993AEE" w:rsidRDefault="00993AEE">
      <w:pPr>
        <w:widowControl/>
        <w:spacing w:after="160" w:line="259" w:lineRule="auto"/>
        <w:rPr>
          <w:lang w:val="en-AU"/>
        </w:rPr>
      </w:pPr>
    </w:p>
    <w:p w14:paraId="5B55B8FC" w14:textId="77777777" w:rsidR="00993AEE" w:rsidRDefault="00993AEE">
      <w:pPr>
        <w:widowControl/>
        <w:spacing w:after="160" w:line="259" w:lineRule="auto"/>
        <w:rPr>
          <w:lang w:val="en-AU"/>
        </w:rPr>
      </w:pPr>
      <w:r>
        <w:rPr>
          <w:lang w:val="en-AU"/>
        </w:rPr>
        <w:br w:type="page"/>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824"/>
        <w:gridCol w:w="8931"/>
        <w:gridCol w:w="2183"/>
      </w:tblGrid>
      <w:tr w:rsidR="00993AEE" w:rsidRPr="00D852D7" w14:paraId="5B55B8FE" w14:textId="77777777" w:rsidTr="00993AEE">
        <w:tc>
          <w:tcPr>
            <w:tcW w:w="5000" w:type="pct"/>
            <w:gridSpan w:val="3"/>
            <w:tcBorders>
              <w:top w:val="single" w:sz="8" w:space="0" w:color="4F81BD"/>
              <w:left w:val="single" w:sz="8" w:space="0" w:color="4F81BD"/>
              <w:right w:val="single" w:sz="8" w:space="0" w:color="4F81BD"/>
            </w:tcBorders>
            <w:shd w:val="clear" w:color="auto" w:fill="DEEAF6" w:themeFill="accent1" w:themeFillTint="33"/>
          </w:tcPr>
          <w:p w14:paraId="5B55B8FD" w14:textId="77777777" w:rsidR="00993AEE" w:rsidRPr="00D852D7" w:rsidRDefault="00993AEE" w:rsidP="00993AEE">
            <w:pPr>
              <w:pStyle w:val="Tableformat"/>
              <w:spacing w:line="256" w:lineRule="auto"/>
              <w:rPr>
                <w:b/>
                <w:color w:val="auto"/>
                <w:lang w:val="en-AU" w:eastAsia="en-US"/>
              </w:rPr>
            </w:pPr>
            <w:r w:rsidRPr="001E7A79">
              <w:rPr>
                <w:b/>
                <w:color w:val="auto"/>
                <w:lang w:val="en-AU"/>
              </w:rPr>
              <w:lastRenderedPageBreak/>
              <w:t>Table 3</w:t>
            </w:r>
            <w:r w:rsidR="0037575D">
              <w:rPr>
                <w:b/>
                <w:color w:val="auto"/>
                <w:lang w:val="en-AU"/>
              </w:rPr>
              <w:t>H</w:t>
            </w:r>
            <w:r w:rsidRPr="001E7A79">
              <w:rPr>
                <w:b/>
                <w:color w:val="auto"/>
                <w:lang w:val="en-AU"/>
              </w:rPr>
              <w:t xml:space="preserve">: </w:t>
            </w:r>
            <w:r w:rsidR="00FD73C8">
              <w:rPr>
                <w:b/>
                <w:color w:val="auto"/>
                <w:lang w:val="en-AU"/>
              </w:rPr>
              <w:t>Northern Territory</w:t>
            </w:r>
            <w:r w:rsidRPr="001E7A79">
              <w:rPr>
                <w:b/>
                <w:color w:val="auto"/>
                <w:lang w:val="en-AU"/>
              </w:rPr>
              <w:t xml:space="preserve"> – Performance requirements</w:t>
            </w:r>
            <w:r w:rsidR="0037575D">
              <w:rPr>
                <w:b/>
                <w:color w:val="auto"/>
                <w:lang w:val="en-AU"/>
              </w:rPr>
              <w:t xml:space="preserve"> and</w:t>
            </w:r>
            <w:r w:rsidRPr="001E7A79">
              <w:rPr>
                <w:b/>
                <w:color w:val="auto"/>
                <w:lang w:val="en-AU"/>
              </w:rPr>
              <w:t xml:space="preserve"> reporting </w:t>
            </w:r>
          </w:p>
        </w:tc>
      </w:tr>
      <w:tr w:rsidR="00993AEE" w:rsidRPr="00D852D7" w14:paraId="5B55B902" w14:textId="77777777" w:rsidTr="00993AEE">
        <w:tc>
          <w:tcPr>
            <w:tcW w:w="1013" w:type="pct"/>
            <w:tcBorders>
              <w:top w:val="single" w:sz="8" w:space="0" w:color="4F81BD"/>
              <w:left w:val="single" w:sz="8" w:space="0" w:color="4F81BD"/>
              <w:right w:val="single" w:sz="8" w:space="0" w:color="4F81BD"/>
            </w:tcBorders>
            <w:shd w:val="clear" w:color="auto" w:fill="F2F2F2" w:themeFill="background1" w:themeFillShade="F2"/>
            <w:hideMark/>
          </w:tcPr>
          <w:p w14:paraId="5B55B8FF"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Output</w:t>
            </w:r>
          </w:p>
        </w:tc>
        <w:tc>
          <w:tcPr>
            <w:tcW w:w="3204"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900"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Performance milestones</w:t>
            </w:r>
          </w:p>
        </w:tc>
        <w:tc>
          <w:tcPr>
            <w:tcW w:w="783" w:type="pct"/>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B55B901" w14:textId="77777777" w:rsidR="00993AEE" w:rsidRPr="00D852D7" w:rsidRDefault="00993AEE" w:rsidP="00993AEE">
            <w:pPr>
              <w:pStyle w:val="Tableformat"/>
              <w:spacing w:line="256" w:lineRule="auto"/>
              <w:rPr>
                <w:b/>
                <w:color w:val="auto"/>
                <w:lang w:val="en-AU" w:eastAsia="en-US"/>
              </w:rPr>
            </w:pPr>
            <w:r w:rsidRPr="00D852D7">
              <w:rPr>
                <w:b/>
                <w:color w:val="auto"/>
                <w:lang w:val="en-AU" w:eastAsia="en-US"/>
              </w:rPr>
              <w:t>Report due</w:t>
            </w:r>
          </w:p>
        </w:tc>
      </w:tr>
      <w:tr w:rsidR="007422BB" w:rsidRPr="00D852D7" w14:paraId="5B55B90D" w14:textId="77777777" w:rsidTr="00993AEE">
        <w:trPr>
          <w:cantSplit/>
        </w:trPr>
        <w:tc>
          <w:tcPr>
            <w:tcW w:w="1013" w:type="pct"/>
            <w:vMerge w:val="restart"/>
            <w:tcBorders>
              <w:top w:val="single" w:sz="8" w:space="0" w:color="4F81BD"/>
              <w:left w:val="single" w:sz="8" w:space="0" w:color="4F81BD"/>
              <w:right w:val="single" w:sz="8" w:space="0" w:color="4F81BD"/>
            </w:tcBorders>
          </w:tcPr>
          <w:p w14:paraId="5B55B903" w14:textId="77777777" w:rsidR="007422BB" w:rsidRDefault="007422BB" w:rsidP="007422BB">
            <w:pPr>
              <w:pStyle w:val="Milestonetable"/>
              <w:spacing w:line="256" w:lineRule="auto"/>
              <w:rPr>
                <w:b/>
                <w:color w:val="auto"/>
                <w:lang w:val="en-AU" w:eastAsia="en-US"/>
              </w:rPr>
            </w:pPr>
            <w:r>
              <w:rPr>
                <w:b/>
                <w:color w:val="auto"/>
                <w:lang w:val="en-AU" w:eastAsia="en-US"/>
              </w:rPr>
              <w:t>Bilateral performance report</w:t>
            </w:r>
          </w:p>
          <w:p w14:paraId="5B55B904" w14:textId="77777777" w:rsidR="007422BB" w:rsidRPr="00CC48AD" w:rsidRDefault="007422BB" w:rsidP="007422BB">
            <w:pPr>
              <w:pStyle w:val="Milestonetable"/>
              <w:numPr>
                <w:ilvl w:val="0"/>
                <w:numId w:val="21"/>
              </w:numPr>
              <w:spacing w:line="256" w:lineRule="auto"/>
              <w:ind w:left="447" w:hanging="283"/>
              <w:rPr>
                <w:b/>
                <w:color w:val="auto"/>
                <w:lang w:val="en-AU" w:eastAsia="en-US"/>
              </w:rPr>
            </w:pPr>
            <w:r>
              <w:rPr>
                <w:color w:val="auto"/>
                <w:lang w:val="en-AU" w:eastAsia="en-US"/>
              </w:rPr>
              <w:t>An annual report on progress against bilateral indicators relating to shared complementary policy priorities.</w:t>
            </w:r>
          </w:p>
          <w:p w14:paraId="5B55B905"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cover the previous financial year.</w:t>
            </w:r>
          </w:p>
          <w:p w14:paraId="5B55B906" w14:textId="77777777" w:rsidR="007422BB"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The report will include contextual information on reporting scope, methodology and definitions, if applicable.</w:t>
            </w:r>
          </w:p>
          <w:p w14:paraId="5B55B907" w14:textId="77777777" w:rsidR="007422BB" w:rsidRPr="00CC48AD" w:rsidRDefault="007422BB" w:rsidP="007422BB">
            <w:pPr>
              <w:pStyle w:val="Milestonetable"/>
              <w:numPr>
                <w:ilvl w:val="0"/>
                <w:numId w:val="21"/>
              </w:numPr>
              <w:spacing w:line="256" w:lineRule="auto"/>
              <w:ind w:left="447" w:hanging="283"/>
              <w:rPr>
                <w:color w:val="auto"/>
                <w:lang w:val="en-AU" w:eastAsia="en-US"/>
              </w:rPr>
            </w:pPr>
            <w:r>
              <w:rPr>
                <w:color w:val="auto"/>
                <w:lang w:val="en-AU" w:eastAsia="en-US"/>
              </w:rPr>
              <w:t>Indicators may be revised, by agreement of the Parties, following reviews after years 1 and 3 of this Schedule.</w:t>
            </w:r>
          </w:p>
          <w:p w14:paraId="5B55B908"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09"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First Nations Outcomes</w:t>
            </w:r>
            <w:r w:rsidR="00EF6017" w:rsidRPr="00EC72D8">
              <w:rPr>
                <w:color w:val="auto"/>
                <w:lang w:val="en-AU" w:eastAsia="en-US"/>
              </w:rPr>
              <w:t>, consistent with the existing Indigenous Employment and Supplier-use Infrastructure Framework</w:t>
            </w:r>
            <w:r>
              <w:rPr>
                <w:color w:val="auto"/>
                <w:lang w:val="en-AU" w:eastAsia="en-US"/>
              </w:rPr>
              <w:t>:</w:t>
            </w:r>
          </w:p>
          <w:p w14:paraId="5B55B90A" w14:textId="77777777" w:rsidR="007422BB" w:rsidRDefault="007422BB" w:rsidP="007422BB">
            <w:pPr>
              <w:pStyle w:val="Milestonetable"/>
              <w:numPr>
                <w:ilvl w:val="0"/>
                <w:numId w:val="16"/>
              </w:numPr>
              <w:spacing w:line="256" w:lineRule="auto"/>
              <w:rPr>
                <w:color w:val="auto"/>
                <w:lang w:val="en-AU" w:eastAsia="en-US"/>
              </w:rPr>
            </w:pPr>
            <w:r>
              <w:rPr>
                <w:color w:val="auto"/>
                <w:lang w:val="en-AU" w:eastAsia="en-US"/>
              </w:rPr>
              <w:t>N</w:t>
            </w:r>
            <w:r w:rsidRPr="00CB03CE">
              <w:rPr>
                <w:color w:val="auto"/>
                <w:lang w:val="en-AU" w:eastAsia="en-US"/>
              </w:rPr>
              <w:t>umber and proportion (%) of First Nations people employed</w:t>
            </w:r>
            <w:r>
              <w:rPr>
                <w:color w:val="auto"/>
                <w:lang w:val="en-AU" w:eastAsia="en-US"/>
              </w:rPr>
              <w:t xml:space="preserve"> in Projects</w:t>
            </w:r>
            <w:r w:rsidRPr="00CB03CE">
              <w:rPr>
                <w:color w:val="auto"/>
                <w:lang w:val="en-AU" w:eastAsia="en-US"/>
              </w:rPr>
              <w:t xml:space="preserve">. </w:t>
            </w:r>
          </w:p>
          <w:p w14:paraId="5B55B90B" w14:textId="77777777" w:rsidR="007422BB" w:rsidRPr="00CB03CE" w:rsidRDefault="007422BB" w:rsidP="007422BB">
            <w:pPr>
              <w:pStyle w:val="Milestonetable"/>
              <w:numPr>
                <w:ilvl w:val="0"/>
                <w:numId w:val="16"/>
              </w:numPr>
              <w:spacing w:line="256" w:lineRule="auto"/>
              <w:rPr>
                <w:color w:val="auto"/>
                <w:lang w:val="en-AU" w:eastAsia="en-US"/>
              </w:rPr>
            </w:pPr>
            <w:r>
              <w:rPr>
                <w:color w:val="auto"/>
                <w:lang w:val="en-AU" w:eastAsia="en-US"/>
              </w:rPr>
              <w:t>V</w:t>
            </w:r>
            <w:r w:rsidRPr="00CB03CE">
              <w:rPr>
                <w:color w:val="auto"/>
                <w:lang w:val="en-AU" w:eastAsia="en-US"/>
              </w:rPr>
              <w:t>alue ($) and proportion (%) of First Nations owned businesses (suppliers) used</w:t>
            </w:r>
            <w:r>
              <w:rPr>
                <w:color w:val="auto"/>
                <w:lang w:val="en-AU" w:eastAsia="en-US"/>
              </w:rPr>
              <w:t xml:space="preserve"> in Projects</w:t>
            </w:r>
            <w:r w:rsidRPr="00CB03CE">
              <w:rPr>
                <w:color w:val="auto"/>
                <w:lang w:val="en-AU" w:eastAsia="en-US"/>
              </w:rPr>
              <w:t>.</w:t>
            </w:r>
          </w:p>
        </w:tc>
        <w:tc>
          <w:tcPr>
            <w:tcW w:w="783" w:type="pct"/>
            <w:vMerge w:val="restart"/>
            <w:tcBorders>
              <w:top w:val="single" w:sz="8" w:space="0" w:color="4F81BD"/>
              <w:left w:val="single" w:sz="8" w:space="0" w:color="4F81BD"/>
              <w:right w:val="single" w:sz="8" w:space="0" w:color="4F81BD"/>
            </w:tcBorders>
          </w:tcPr>
          <w:p w14:paraId="5B55B90C" w14:textId="77777777" w:rsidR="007422BB" w:rsidRPr="00D852D7" w:rsidRDefault="007422BB" w:rsidP="007422BB">
            <w:pPr>
              <w:pStyle w:val="Milestonetable"/>
              <w:spacing w:line="256" w:lineRule="auto"/>
              <w:rPr>
                <w:color w:val="auto"/>
                <w:lang w:val="en-AU" w:eastAsia="en-US"/>
              </w:rPr>
            </w:pPr>
            <w:r>
              <w:rPr>
                <w:color w:val="auto"/>
                <w:lang w:val="en-AU" w:eastAsia="en-US"/>
              </w:rPr>
              <w:t>Annually, by 30 August for each year this Schedule is in effect.</w:t>
            </w:r>
          </w:p>
        </w:tc>
      </w:tr>
      <w:tr w:rsidR="007422BB" w:rsidRPr="00D852D7" w14:paraId="5B55B915" w14:textId="77777777" w:rsidTr="00993AEE">
        <w:trPr>
          <w:cantSplit/>
        </w:trPr>
        <w:tc>
          <w:tcPr>
            <w:tcW w:w="1013" w:type="pct"/>
            <w:vMerge/>
            <w:tcBorders>
              <w:left w:val="single" w:sz="8" w:space="0" w:color="4F81BD"/>
              <w:right w:val="single" w:sz="8" w:space="0" w:color="4F81BD"/>
            </w:tcBorders>
          </w:tcPr>
          <w:p w14:paraId="5B55B90E" w14:textId="77777777" w:rsidR="007422BB" w:rsidRPr="00C246D6" w:rsidRDefault="007422BB" w:rsidP="007422B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0F" w14:textId="77777777" w:rsidR="007422BB" w:rsidRDefault="007422BB" w:rsidP="007422B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supporting Australian</w:t>
            </w:r>
            <w:r>
              <w:rPr>
                <w:b/>
                <w:color w:val="auto"/>
                <w:lang w:val="en-AU" w:eastAsia="en-US"/>
              </w:rPr>
              <w:t xml:space="preserve"> Industry</w:t>
            </w:r>
            <w:r w:rsidRPr="00917C1C">
              <w:rPr>
                <w:b/>
                <w:color w:val="auto"/>
                <w:lang w:val="en-AU" w:eastAsia="en-US"/>
              </w:rPr>
              <w:t xml:space="preserve"> indicators</w:t>
            </w:r>
            <w:r>
              <w:rPr>
                <w:color w:val="auto"/>
                <w:lang w:val="en-AU" w:eastAsia="en-US"/>
              </w:rPr>
              <w:t>:</w:t>
            </w:r>
          </w:p>
          <w:p w14:paraId="5B55B910"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 xml:space="preserve">Number </w:t>
            </w:r>
            <w:r w:rsidRPr="00E326B2">
              <w:rPr>
                <w:color w:val="auto"/>
                <w:lang w:val="en-AU" w:eastAsia="en-US"/>
              </w:rPr>
              <w:t>and proportion (%) of non-tier 1 head contractors</w:t>
            </w:r>
            <w:r>
              <w:rPr>
                <w:rStyle w:val="FootnoteReference"/>
                <w:color w:val="auto"/>
                <w:lang w:val="en-AU" w:eastAsia="en-US"/>
              </w:rPr>
              <w:footnoteReference w:id="16"/>
            </w:r>
            <w:r w:rsidRPr="00E326B2">
              <w:rPr>
                <w:color w:val="auto"/>
                <w:lang w:val="en-AU" w:eastAsia="en-US"/>
              </w:rPr>
              <w:t xml:space="preserve"> by number of contracts and contract value ($) for </w:t>
            </w:r>
            <w:r>
              <w:rPr>
                <w:color w:val="auto"/>
                <w:lang w:val="en-AU" w:eastAsia="en-US"/>
              </w:rPr>
              <w:t>P</w:t>
            </w:r>
            <w:r w:rsidRPr="00E326B2">
              <w:rPr>
                <w:color w:val="auto"/>
                <w:lang w:val="en-AU" w:eastAsia="en-US"/>
              </w:rPr>
              <w:t>rojects.</w:t>
            </w:r>
          </w:p>
          <w:p w14:paraId="5B55B911"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of projects over $20 million that have an Australian Industry Plan or Local Industry Participation Plan (target: 100%)</w:t>
            </w:r>
            <w:r w:rsidRPr="00E326B2">
              <w:rPr>
                <w:color w:val="auto"/>
                <w:lang w:val="en-AU" w:eastAsia="en-US"/>
              </w:rPr>
              <w:t>.</w:t>
            </w:r>
          </w:p>
          <w:p w14:paraId="5B55B912" w14:textId="77777777" w:rsidR="007422BB" w:rsidRDefault="007422BB" w:rsidP="007422BB">
            <w:pPr>
              <w:pStyle w:val="Milestonetable"/>
              <w:numPr>
                <w:ilvl w:val="0"/>
                <w:numId w:val="17"/>
              </w:numPr>
              <w:spacing w:line="256" w:lineRule="auto"/>
              <w:rPr>
                <w:color w:val="auto"/>
                <w:lang w:val="en-AU" w:eastAsia="en-US"/>
              </w:rPr>
            </w:pPr>
            <w:r>
              <w:rPr>
                <w:color w:val="auto"/>
                <w:lang w:val="en-AU" w:eastAsia="en-US"/>
              </w:rPr>
              <w:t>Proportion (%) and value ($) of local content used in Projects.</w:t>
            </w:r>
          </w:p>
          <w:p w14:paraId="5B55B913" w14:textId="77777777" w:rsidR="007422BB" w:rsidRPr="00E326B2" w:rsidRDefault="007422BB" w:rsidP="007422BB">
            <w:pPr>
              <w:pStyle w:val="Milestonetable"/>
              <w:numPr>
                <w:ilvl w:val="0"/>
                <w:numId w:val="17"/>
              </w:numPr>
              <w:spacing w:line="256" w:lineRule="auto"/>
              <w:rPr>
                <w:color w:val="auto"/>
                <w:lang w:val="en-AU" w:eastAsia="en-US"/>
              </w:rPr>
            </w:pPr>
            <w:r>
              <w:rPr>
                <w:color w:val="auto"/>
                <w:lang w:val="en-AU" w:eastAsia="en-US"/>
              </w:rPr>
              <w:t>Qualitative reporting on critical supply chain risks and market challenges.</w:t>
            </w:r>
          </w:p>
        </w:tc>
        <w:tc>
          <w:tcPr>
            <w:tcW w:w="783" w:type="pct"/>
            <w:vMerge/>
            <w:tcBorders>
              <w:top w:val="single" w:sz="8" w:space="0" w:color="4F81BD"/>
              <w:left w:val="single" w:sz="8" w:space="0" w:color="4F81BD"/>
              <w:right w:val="single" w:sz="8" w:space="0" w:color="4F81BD"/>
            </w:tcBorders>
          </w:tcPr>
          <w:p w14:paraId="5B55B914" w14:textId="77777777" w:rsidR="007422BB" w:rsidRDefault="007422BB" w:rsidP="007422BB">
            <w:pPr>
              <w:pStyle w:val="Milestonetable"/>
              <w:spacing w:line="256" w:lineRule="auto"/>
              <w:jc w:val="right"/>
              <w:rPr>
                <w:color w:val="auto"/>
                <w:lang w:val="en-AU" w:eastAsia="en-US"/>
              </w:rPr>
            </w:pPr>
          </w:p>
        </w:tc>
      </w:tr>
      <w:tr w:rsidR="006056EB" w:rsidRPr="00D852D7" w14:paraId="5B55B91A" w14:textId="77777777" w:rsidTr="00993AEE">
        <w:trPr>
          <w:cantSplit/>
        </w:trPr>
        <w:tc>
          <w:tcPr>
            <w:tcW w:w="1013" w:type="pct"/>
            <w:vMerge/>
            <w:tcBorders>
              <w:left w:val="single" w:sz="8" w:space="0" w:color="4F81BD"/>
              <w:right w:val="single" w:sz="8" w:space="0" w:color="4F81BD"/>
            </w:tcBorders>
          </w:tcPr>
          <w:p w14:paraId="5B55B916"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17"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917C1C">
              <w:rPr>
                <w:b/>
                <w:color w:val="auto"/>
                <w:lang w:val="en-AU" w:eastAsia="en-US"/>
              </w:rPr>
              <w:t>skills and training</w:t>
            </w:r>
            <w:r>
              <w:rPr>
                <w:color w:val="auto"/>
                <w:lang w:val="en-AU" w:eastAsia="en-US"/>
              </w:rPr>
              <w:t>:</w:t>
            </w:r>
          </w:p>
          <w:p w14:paraId="5B55B918" w14:textId="77777777" w:rsidR="006056EB" w:rsidRPr="00E326B2" w:rsidRDefault="006056EB" w:rsidP="006056EB">
            <w:pPr>
              <w:pStyle w:val="Milestonetable"/>
              <w:numPr>
                <w:ilvl w:val="0"/>
                <w:numId w:val="18"/>
              </w:numPr>
              <w:spacing w:line="256" w:lineRule="auto"/>
              <w:rPr>
                <w:color w:val="auto"/>
                <w:lang w:val="en-AU" w:eastAsia="en-US"/>
              </w:rPr>
            </w:pPr>
            <w:r w:rsidRPr="00E326B2">
              <w:rPr>
                <w:color w:val="auto"/>
                <w:lang w:val="en-AU" w:eastAsia="en-US"/>
              </w:rPr>
              <w:t xml:space="preserve">Proportion (%) of </w:t>
            </w:r>
            <w:r>
              <w:rPr>
                <w:color w:val="auto"/>
                <w:lang w:val="en-AU" w:eastAsia="en-US"/>
              </w:rPr>
              <w:t xml:space="preserve">labour </w:t>
            </w:r>
            <w:r w:rsidRPr="00E326B2">
              <w:rPr>
                <w:color w:val="auto"/>
                <w:lang w:val="en-AU" w:eastAsia="en-US"/>
              </w:rPr>
              <w:t xml:space="preserve">undertaken by apprentices/trainees </w:t>
            </w:r>
            <w:r>
              <w:rPr>
                <w:color w:val="auto"/>
                <w:lang w:val="en-AU" w:eastAsia="en-US"/>
              </w:rPr>
              <w:t xml:space="preserve">on Projects </w:t>
            </w:r>
            <w:r w:rsidRPr="00E326B2">
              <w:rPr>
                <w:color w:val="auto"/>
                <w:lang w:val="en-AU" w:eastAsia="en-US"/>
              </w:rPr>
              <w:t xml:space="preserve">(target: </w:t>
            </w:r>
            <w:r>
              <w:rPr>
                <w:color w:val="auto"/>
                <w:lang w:val="en-AU" w:eastAsia="en-US"/>
              </w:rPr>
              <w:t>1</w:t>
            </w:r>
            <w:r w:rsidRPr="00E326B2">
              <w:rPr>
                <w:color w:val="auto"/>
                <w:lang w:val="en-AU" w:eastAsia="en-US"/>
              </w:rPr>
              <w:t>0%).</w:t>
            </w:r>
          </w:p>
        </w:tc>
        <w:tc>
          <w:tcPr>
            <w:tcW w:w="783" w:type="pct"/>
            <w:vMerge/>
            <w:tcBorders>
              <w:left w:val="single" w:sz="8" w:space="0" w:color="4F81BD"/>
              <w:right w:val="single" w:sz="8" w:space="0" w:color="4F81BD"/>
            </w:tcBorders>
          </w:tcPr>
          <w:p w14:paraId="5B55B919"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921" w14:textId="77777777" w:rsidTr="00993AEE">
        <w:trPr>
          <w:cantSplit/>
        </w:trPr>
        <w:tc>
          <w:tcPr>
            <w:tcW w:w="1013" w:type="pct"/>
            <w:vMerge/>
            <w:tcBorders>
              <w:left w:val="single" w:sz="8" w:space="0" w:color="4F81BD"/>
              <w:right w:val="single" w:sz="8" w:space="0" w:color="4F81BD"/>
            </w:tcBorders>
          </w:tcPr>
          <w:p w14:paraId="5B55B91B"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1C"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women’s participation in construction</w:t>
            </w:r>
            <w:r>
              <w:rPr>
                <w:color w:val="auto"/>
                <w:lang w:val="en-AU" w:eastAsia="en-US"/>
              </w:rPr>
              <w:t>:</w:t>
            </w:r>
          </w:p>
          <w:p w14:paraId="5B55B91D" w14:textId="77777777" w:rsidR="006056EB" w:rsidRPr="002D58D1" w:rsidRDefault="006056EB" w:rsidP="006056EB">
            <w:pPr>
              <w:pStyle w:val="Milestonetable"/>
              <w:numPr>
                <w:ilvl w:val="0"/>
                <w:numId w:val="18"/>
              </w:numPr>
              <w:spacing w:line="256" w:lineRule="auto"/>
              <w:rPr>
                <w:color w:val="auto"/>
                <w:lang w:val="en-AU" w:eastAsia="en-US"/>
              </w:rPr>
            </w:pPr>
            <w:r w:rsidRPr="002D58D1">
              <w:rPr>
                <w:color w:val="auto"/>
                <w:lang w:val="en-AU" w:eastAsia="en-US"/>
              </w:rPr>
              <w:t xml:space="preserve">Proportion (%) of labour undertaken by women apprentices/trainees </w:t>
            </w:r>
            <w:r>
              <w:rPr>
                <w:color w:val="auto"/>
                <w:lang w:val="en-AU" w:eastAsia="en-US"/>
              </w:rPr>
              <w:t>on</w:t>
            </w:r>
            <w:r w:rsidRPr="002D58D1">
              <w:rPr>
                <w:color w:val="auto"/>
                <w:lang w:val="en-AU" w:eastAsia="en-US"/>
              </w:rPr>
              <w:t xml:space="preserve"> </w:t>
            </w:r>
            <w:r>
              <w:rPr>
                <w:color w:val="auto"/>
                <w:lang w:val="en-AU" w:eastAsia="en-US"/>
              </w:rPr>
              <w:t>P</w:t>
            </w:r>
            <w:r w:rsidRPr="002D58D1">
              <w:rPr>
                <w:color w:val="auto"/>
                <w:lang w:val="en-AU" w:eastAsia="en-US"/>
              </w:rPr>
              <w:t xml:space="preserve">rojects. </w:t>
            </w:r>
          </w:p>
          <w:p w14:paraId="5B55B91E"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N</w:t>
            </w:r>
            <w:r w:rsidRPr="002D58D1">
              <w:rPr>
                <w:color w:val="auto"/>
                <w:lang w:val="en-AU" w:eastAsia="en-US"/>
              </w:rPr>
              <w:t>umber, value ($) and proportion (%) of tenders that require head contractors to have a gender equity action plan in place</w:t>
            </w:r>
            <w:r>
              <w:rPr>
                <w:color w:val="auto"/>
                <w:lang w:val="en-AU" w:eastAsia="en-US"/>
              </w:rPr>
              <w:t>.</w:t>
            </w:r>
          </w:p>
          <w:p w14:paraId="5B55B91F" w14:textId="77777777" w:rsidR="006056EB" w:rsidRPr="00E326B2" w:rsidRDefault="006056EB" w:rsidP="006056EB">
            <w:pPr>
              <w:pStyle w:val="Milestonetable"/>
              <w:numPr>
                <w:ilvl w:val="0"/>
                <w:numId w:val="18"/>
              </w:numPr>
              <w:spacing w:line="256" w:lineRule="auto"/>
              <w:rPr>
                <w:color w:val="auto"/>
                <w:lang w:val="en-AU" w:eastAsia="en-US"/>
              </w:rPr>
            </w:pPr>
            <w:r>
              <w:rPr>
                <w:color w:val="auto"/>
                <w:lang w:val="en-AU" w:eastAsia="en-US"/>
              </w:rPr>
              <w:t>Q</w:t>
            </w:r>
            <w:r w:rsidRPr="00E326B2">
              <w:rPr>
                <w:color w:val="auto"/>
                <w:lang w:val="en-AU" w:eastAsia="en-US"/>
              </w:rPr>
              <w:t xml:space="preserve">ualitative reporting on </w:t>
            </w:r>
            <w:r>
              <w:rPr>
                <w:color w:val="auto"/>
                <w:lang w:val="en-AU" w:eastAsia="en-US"/>
              </w:rPr>
              <w:t xml:space="preserve">policies and </w:t>
            </w:r>
            <w:r w:rsidRPr="00E326B2">
              <w:rPr>
                <w:color w:val="auto"/>
                <w:lang w:val="en-AU" w:eastAsia="en-US"/>
              </w:rPr>
              <w:t xml:space="preserve">initiatives supporting women’s participation </w:t>
            </w:r>
            <w:r>
              <w:rPr>
                <w:color w:val="auto"/>
                <w:lang w:val="en-AU" w:eastAsia="en-US"/>
              </w:rPr>
              <w:t xml:space="preserve">and retention </w:t>
            </w:r>
            <w:r w:rsidRPr="00E326B2">
              <w:rPr>
                <w:color w:val="auto"/>
                <w:lang w:val="en-AU" w:eastAsia="en-US"/>
              </w:rPr>
              <w:t>in construction</w:t>
            </w:r>
            <w:r>
              <w:rPr>
                <w:color w:val="auto"/>
                <w:lang w:val="en-AU" w:eastAsia="en-US"/>
              </w:rPr>
              <w:t>.</w:t>
            </w:r>
            <w:r w:rsidRPr="00E326B2">
              <w:rPr>
                <w:color w:val="auto"/>
                <w:lang w:val="en-AU" w:eastAsia="en-US"/>
              </w:rPr>
              <w:t xml:space="preserve"> </w:t>
            </w:r>
          </w:p>
        </w:tc>
        <w:tc>
          <w:tcPr>
            <w:tcW w:w="783" w:type="pct"/>
            <w:vMerge/>
            <w:tcBorders>
              <w:left w:val="single" w:sz="8" w:space="0" w:color="4F81BD"/>
              <w:right w:val="single" w:sz="8" w:space="0" w:color="4F81BD"/>
            </w:tcBorders>
          </w:tcPr>
          <w:p w14:paraId="5B55B920"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928" w14:textId="77777777" w:rsidTr="00993AEE">
        <w:trPr>
          <w:cantSplit/>
        </w:trPr>
        <w:tc>
          <w:tcPr>
            <w:tcW w:w="1013" w:type="pct"/>
            <w:vMerge/>
            <w:tcBorders>
              <w:left w:val="single" w:sz="8" w:space="0" w:color="4F81BD"/>
              <w:right w:val="single" w:sz="8" w:space="0" w:color="4F81BD"/>
            </w:tcBorders>
          </w:tcPr>
          <w:p w14:paraId="5B55B922"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23" w14:textId="77777777" w:rsidR="006056EB" w:rsidRDefault="006056EB" w:rsidP="006056EB">
            <w:pPr>
              <w:pStyle w:val="Milestonetable"/>
              <w:spacing w:line="256" w:lineRule="auto"/>
              <w:rPr>
                <w:color w:val="auto"/>
                <w:lang w:val="en-AU" w:eastAsia="en-US"/>
              </w:rPr>
            </w:pPr>
            <w:r>
              <w:rPr>
                <w:color w:val="auto"/>
                <w:lang w:val="en-AU" w:eastAsia="en-US"/>
              </w:rPr>
              <w:t xml:space="preserve">The report will include the following indicators on </w:t>
            </w:r>
            <w:r w:rsidRPr="00EF1675">
              <w:rPr>
                <w:b/>
                <w:color w:val="auto"/>
                <w:lang w:val="en-AU" w:eastAsia="en-US"/>
              </w:rPr>
              <w:t>decarbonisation</w:t>
            </w:r>
            <w:r>
              <w:rPr>
                <w:color w:val="auto"/>
                <w:lang w:val="en-AU" w:eastAsia="en-US"/>
              </w:rPr>
              <w:t>:</w:t>
            </w:r>
          </w:p>
          <w:p w14:paraId="5B55B924"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w:t>
            </w:r>
            <w:r>
              <w:rPr>
                <w:color w:val="auto"/>
                <w:lang w:val="en-AU" w:eastAsia="en-US"/>
              </w:rPr>
              <w:t>of business cases with an estimated Commonwealth contribution of $250 million or more using the National Carbon Values (NCVs) or better (target: 100%).</w:t>
            </w:r>
          </w:p>
          <w:p w14:paraId="5B55B925" w14:textId="77777777" w:rsidR="006056EB" w:rsidRDefault="006056EB" w:rsidP="006056EB">
            <w:pPr>
              <w:pStyle w:val="Milestonetable"/>
              <w:numPr>
                <w:ilvl w:val="0"/>
                <w:numId w:val="19"/>
              </w:numPr>
              <w:spacing w:line="256" w:lineRule="auto"/>
              <w:rPr>
                <w:color w:val="auto"/>
                <w:lang w:val="en-AU" w:eastAsia="en-US"/>
              </w:rPr>
            </w:pPr>
            <w:r>
              <w:rPr>
                <w:color w:val="auto"/>
                <w:lang w:val="en-AU" w:eastAsia="en-US"/>
              </w:rPr>
              <w:t>N</w:t>
            </w:r>
            <w:r w:rsidRPr="004B5585">
              <w:rPr>
                <w:color w:val="auto"/>
                <w:lang w:val="en-AU" w:eastAsia="en-US"/>
              </w:rPr>
              <w:t xml:space="preserve">umber and proportion (%) of business </w:t>
            </w:r>
            <w:r>
              <w:rPr>
                <w:color w:val="auto"/>
                <w:lang w:val="en-AU" w:eastAsia="en-US"/>
              </w:rPr>
              <w:t xml:space="preserve">cases with an estimated Commonwealth contribution less than $250 million </w:t>
            </w:r>
            <w:r w:rsidRPr="004B5585">
              <w:rPr>
                <w:color w:val="auto"/>
                <w:lang w:val="en-AU" w:eastAsia="en-US"/>
              </w:rPr>
              <w:t xml:space="preserve">using NCVs or better. </w:t>
            </w:r>
          </w:p>
          <w:p w14:paraId="5B55B926" w14:textId="77777777" w:rsidR="006056EB" w:rsidRPr="00114692" w:rsidRDefault="006056EB" w:rsidP="006056EB">
            <w:pPr>
              <w:pStyle w:val="Milestonetable"/>
              <w:numPr>
                <w:ilvl w:val="0"/>
                <w:numId w:val="19"/>
              </w:numPr>
              <w:spacing w:line="256" w:lineRule="auto"/>
              <w:rPr>
                <w:color w:val="auto"/>
                <w:lang w:val="en-AU" w:eastAsia="en-US"/>
              </w:rPr>
            </w:pPr>
            <w:r>
              <w:rPr>
                <w:color w:val="auto"/>
                <w:lang w:val="en-AU" w:eastAsia="en-US"/>
              </w:rPr>
              <w:t>Other reporting on possible future measures agreed to by Infrastructure and Transport Ministers.</w:t>
            </w:r>
          </w:p>
        </w:tc>
        <w:tc>
          <w:tcPr>
            <w:tcW w:w="783" w:type="pct"/>
            <w:vMerge/>
            <w:tcBorders>
              <w:left w:val="single" w:sz="8" w:space="0" w:color="4F81BD"/>
              <w:right w:val="single" w:sz="8" w:space="0" w:color="4F81BD"/>
            </w:tcBorders>
          </w:tcPr>
          <w:p w14:paraId="5B55B927" w14:textId="77777777" w:rsidR="006056EB" w:rsidRPr="00D852D7" w:rsidRDefault="006056EB" w:rsidP="006056EB">
            <w:pPr>
              <w:pStyle w:val="Milestonetable"/>
              <w:spacing w:line="256" w:lineRule="auto"/>
              <w:jc w:val="right"/>
              <w:rPr>
                <w:color w:val="auto"/>
                <w:lang w:val="en-AU" w:eastAsia="en-US"/>
              </w:rPr>
            </w:pPr>
          </w:p>
        </w:tc>
      </w:tr>
      <w:tr w:rsidR="006056EB" w:rsidRPr="00D852D7" w14:paraId="5B55B92F" w14:textId="77777777" w:rsidTr="00993AEE">
        <w:trPr>
          <w:cantSplit/>
        </w:trPr>
        <w:tc>
          <w:tcPr>
            <w:tcW w:w="1013" w:type="pct"/>
            <w:vMerge/>
            <w:tcBorders>
              <w:left w:val="single" w:sz="8" w:space="0" w:color="4F81BD"/>
              <w:bottom w:val="single" w:sz="8" w:space="0" w:color="4F81BD"/>
              <w:right w:val="single" w:sz="8" w:space="0" w:color="4F81BD"/>
            </w:tcBorders>
          </w:tcPr>
          <w:p w14:paraId="5B55B929" w14:textId="77777777" w:rsidR="006056EB" w:rsidRPr="00C246D6" w:rsidRDefault="006056EB" w:rsidP="006056EB">
            <w:pPr>
              <w:pStyle w:val="Milestonetable"/>
              <w:spacing w:line="256" w:lineRule="auto"/>
              <w:rPr>
                <w:b/>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2A" w14:textId="77777777" w:rsidR="006056EB" w:rsidRPr="008E7835" w:rsidRDefault="006056EB" w:rsidP="006056EB">
            <w:pPr>
              <w:pStyle w:val="Milestonetable"/>
              <w:spacing w:line="256" w:lineRule="auto"/>
              <w:rPr>
                <w:color w:val="auto"/>
                <w:lang w:val="en-AU" w:eastAsia="en-US"/>
              </w:rPr>
            </w:pPr>
            <w:r w:rsidRPr="008E7835">
              <w:rPr>
                <w:color w:val="auto"/>
                <w:lang w:val="en-AU" w:eastAsia="en-US"/>
              </w:rPr>
              <w:t xml:space="preserve">The report will include the following indicators on contribution to the </w:t>
            </w:r>
            <w:r w:rsidRPr="008E7835">
              <w:rPr>
                <w:b/>
                <w:color w:val="auto"/>
                <w:lang w:val="en-AU" w:eastAsia="en-US"/>
              </w:rPr>
              <w:t>circular economy</w:t>
            </w:r>
            <w:r w:rsidRPr="008E7835">
              <w:rPr>
                <w:color w:val="auto"/>
                <w:lang w:val="en-AU" w:eastAsia="en-US"/>
              </w:rPr>
              <w:t>:</w:t>
            </w:r>
          </w:p>
          <w:p w14:paraId="5B55B92B" w14:textId="77777777" w:rsidR="006056EB" w:rsidRDefault="006056EB" w:rsidP="006056EB">
            <w:pPr>
              <w:pStyle w:val="Milestonetable"/>
              <w:numPr>
                <w:ilvl w:val="0"/>
                <w:numId w:val="20"/>
              </w:numPr>
              <w:spacing w:line="256" w:lineRule="auto"/>
              <w:rPr>
                <w:color w:val="auto"/>
                <w:lang w:val="en-AU" w:eastAsia="en-US"/>
              </w:rPr>
            </w:pPr>
            <w:r>
              <w:rPr>
                <w:color w:val="auto"/>
                <w:lang w:val="en-AU" w:eastAsia="en-US"/>
              </w:rPr>
              <w:t>T</w:t>
            </w:r>
            <w:r w:rsidRPr="002D58D1">
              <w:rPr>
                <w:color w:val="auto"/>
                <w:lang w:val="en-AU" w:eastAsia="en-US"/>
              </w:rPr>
              <w:t>otal</w:t>
            </w:r>
            <w:r>
              <w:rPr>
                <w:color w:val="auto"/>
                <w:lang w:val="en-AU" w:eastAsia="en-US"/>
              </w:rPr>
              <w:t xml:space="preserve"> </w:t>
            </w:r>
            <w:r w:rsidRPr="002D58D1">
              <w:rPr>
                <w:color w:val="auto"/>
                <w:lang w:val="en-AU" w:eastAsia="en-US"/>
              </w:rPr>
              <w:t>proportion (%)</w:t>
            </w:r>
            <w:r>
              <w:rPr>
                <w:color w:val="auto"/>
                <w:lang w:val="en-AU" w:eastAsia="en-US"/>
              </w:rPr>
              <w:t xml:space="preserve"> and</w:t>
            </w:r>
            <w:r w:rsidRPr="002D58D1">
              <w:rPr>
                <w:color w:val="auto"/>
                <w:lang w:val="en-AU" w:eastAsia="en-US"/>
              </w:rPr>
              <w:t xml:space="preserve"> volume [tonnage or cubic meters] of recycled, re-used or re-purposed materials </w:t>
            </w:r>
            <w:r>
              <w:rPr>
                <w:color w:val="auto"/>
                <w:lang w:val="en-AU" w:eastAsia="en-US"/>
              </w:rPr>
              <w:t>used in Projects</w:t>
            </w:r>
            <w:r w:rsidRPr="008E7835">
              <w:rPr>
                <w:color w:val="auto"/>
                <w:lang w:val="en-AU" w:eastAsia="en-US"/>
              </w:rPr>
              <w:t>.</w:t>
            </w:r>
            <w:r w:rsidR="00D25755">
              <w:rPr>
                <w:rStyle w:val="FootnoteReference"/>
                <w:color w:val="auto"/>
                <w:lang w:val="en-AU" w:eastAsia="en-US"/>
              </w:rPr>
              <w:footnoteReference w:id="17"/>
            </w:r>
          </w:p>
          <w:p w14:paraId="5B55B92C" w14:textId="77777777" w:rsidR="006056EB" w:rsidRPr="007422BB" w:rsidRDefault="006056EB" w:rsidP="006056EB">
            <w:pPr>
              <w:pStyle w:val="Milestonetable"/>
              <w:spacing w:line="256" w:lineRule="auto"/>
              <w:ind w:left="720"/>
              <w:rPr>
                <w:b/>
                <w:color w:val="auto"/>
                <w:lang w:val="en-AU" w:eastAsia="en-US"/>
              </w:rPr>
            </w:pPr>
            <w:r w:rsidRPr="007422BB">
              <w:rPr>
                <w:b/>
                <w:color w:val="auto"/>
                <w:lang w:val="en-AU" w:eastAsia="en-US"/>
              </w:rPr>
              <w:t>OR</w:t>
            </w:r>
          </w:p>
          <w:p w14:paraId="5B55B92D" w14:textId="77777777" w:rsidR="006056EB" w:rsidRPr="008E7835" w:rsidRDefault="006056EB" w:rsidP="006056EB">
            <w:pPr>
              <w:pStyle w:val="Milestonetable"/>
              <w:numPr>
                <w:ilvl w:val="0"/>
                <w:numId w:val="20"/>
              </w:numPr>
              <w:spacing w:line="256" w:lineRule="auto"/>
              <w:rPr>
                <w:i/>
                <w:color w:val="auto"/>
                <w:lang w:val="en-AU" w:eastAsia="en-US"/>
              </w:rPr>
            </w:pPr>
            <w:r>
              <w:rPr>
                <w:color w:val="auto"/>
                <w:lang w:val="en-AU" w:eastAsia="en-US"/>
              </w:rPr>
              <w:t>E</w:t>
            </w:r>
            <w:r w:rsidRPr="002D58D1">
              <w:rPr>
                <w:color w:val="auto"/>
                <w:lang w:val="en-AU" w:eastAsia="en-US"/>
              </w:rPr>
              <w:t>stablish a recycled content optimisation plan, with annual reporting against the plan.</w:t>
            </w:r>
          </w:p>
        </w:tc>
        <w:tc>
          <w:tcPr>
            <w:tcW w:w="783" w:type="pct"/>
            <w:vMerge/>
            <w:tcBorders>
              <w:left w:val="single" w:sz="8" w:space="0" w:color="4F81BD"/>
              <w:right w:val="single" w:sz="8" w:space="0" w:color="4F81BD"/>
            </w:tcBorders>
          </w:tcPr>
          <w:p w14:paraId="5B55B92E" w14:textId="77777777" w:rsidR="006056EB" w:rsidRPr="00D852D7" w:rsidRDefault="006056EB" w:rsidP="006056EB">
            <w:pPr>
              <w:pStyle w:val="Milestonetable"/>
              <w:spacing w:line="256" w:lineRule="auto"/>
              <w:jc w:val="right"/>
              <w:rPr>
                <w:color w:val="auto"/>
                <w:lang w:val="en-AU" w:eastAsia="en-US"/>
              </w:rPr>
            </w:pPr>
          </w:p>
        </w:tc>
      </w:tr>
      <w:tr w:rsidR="007422BB" w:rsidRPr="00D852D7" w14:paraId="5B55B935"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930" w14:textId="77777777" w:rsidR="007422BB" w:rsidRDefault="007422BB" w:rsidP="007422BB">
            <w:pPr>
              <w:pStyle w:val="Milestonetable"/>
              <w:spacing w:line="256" w:lineRule="auto"/>
              <w:rPr>
                <w:b/>
                <w:color w:val="auto"/>
                <w:lang w:val="en-AU" w:eastAsia="en-US"/>
              </w:rPr>
            </w:pPr>
            <w:r>
              <w:rPr>
                <w:b/>
                <w:color w:val="auto"/>
                <w:lang w:val="en-AU" w:eastAsia="en-US"/>
              </w:rPr>
              <w:t xml:space="preserve">Transport outcomes reporting </w:t>
            </w:r>
          </w:p>
          <w:p w14:paraId="5B55B931" w14:textId="77777777" w:rsidR="007422BB" w:rsidRPr="00F44874" w:rsidRDefault="007422BB" w:rsidP="007422BB">
            <w:pPr>
              <w:pStyle w:val="Milestonetable"/>
              <w:spacing w:line="256" w:lineRule="auto"/>
              <w:rPr>
                <w:color w:val="auto"/>
                <w:lang w:val="en-AU" w:eastAsia="en-US"/>
              </w:rPr>
            </w:pP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32"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data and information to </w:t>
            </w:r>
            <w:r w:rsidRPr="005671AE">
              <w:rPr>
                <w:color w:val="auto"/>
                <w:lang w:val="en-AU" w:eastAsia="en-US"/>
              </w:rPr>
              <w:t xml:space="preserve">support evaluation of the achievement of this Schedule’s objectives </w:t>
            </w:r>
            <w:r>
              <w:rPr>
                <w:color w:val="auto"/>
                <w:lang w:val="en-AU" w:eastAsia="en-US"/>
              </w:rPr>
              <w:t>against the Key Performance Indicators as agreed in writing between all Parties.</w:t>
            </w:r>
          </w:p>
          <w:p w14:paraId="5B55B933" w14:textId="77777777" w:rsidR="007422BB" w:rsidRDefault="007422BB" w:rsidP="007422BB">
            <w:pPr>
              <w:pStyle w:val="Milestonetable"/>
              <w:spacing w:line="256" w:lineRule="auto"/>
              <w:rPr>
                <w:color w:val="auto"/>
                <w:lang w:val="en-AU" w:eastAsia="en-US"/>
              </w:rPr>
            </w:pPr>
            <w:r>
              <w:rPr>
                <w:color w:val="auto"/>
                <w:lang w:val="en-AU" w:eastAsia="en-US"/>
              </w:rPr>
              <w:t>An aggregate report on outcomes achieved will be provided to Infrastructure and Transport Ministers annually, with public reporting from year 3 of the operation of the Schedule.</w:t>
            </w:r>
          </w:p>
        </w:tc>
        <w:tc>
          <w:tcPr>
            <w:tcW w:w="783" w:type="pct"/>
            <w:tcBorders>
              <w:left w:val="single" w:sz="8" w:space="0" w:color="4F81BD"/>
              <w:right w:val="single" w:sz="8" w:space="0" w:color="4F81BD"/>
            </w:tcBorders>
          </w:tcPr>
          <w:p w14:paraId="5B55B934"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agreed in writing between the Parties</w:t>
            </w:r>
          </w:p>
        </w:tc>
      </w:tr>
      <w:tr w:rsidR="007422BB" w:rsidRPr="00D852D7" w14:paraId="5B55B939" w14:textId="77777777" w:rsidTr="00993AEE">
        <w:tc>
          <w:tcPr>
            <w:tcW w:w="1013" w:type="pct"/>
            <w:tcBorders>
              <w:top w:val="single" w:sz="8" w:space="0" w:color="4F81BD"/>
              <w:left w:val="single" w:sz="8" w:space="0" w:color="4F81BD"/>
              <w:bottom w:val="single" w:sz="8" w:space="0" w:color="4F81BD"/>
              <w:right w:val="single" w:sz="8" w:space="0" w:color="4F81BD"/>
            </w:tcBorders>
          </w:tcPr>
          <w:p w14:paraId="5B55B936" w14:textId="77777777" w:rsidR="007422BB" w:rsidRDefault="007422BB" w:rsidP="007422BB">
            <w:pPr>
              <w:pStyle w:val="Milestonetable"/>
              <w:spacing w:line="256" w:lineRule="auto"/>
              <w:rPr>
                <w:b/>
                <w:color w:val="auto"/>
                <w:lang w:val="en-AU" w:eastAsia="en-US"/>
              </w:rPr>
            </w:pPr>
            <w:r>
              <w:rPr>
                <w:b/>
                <w:color w:val="auto"/>
                <w:lang w:val="en-AU" w:eastAsia="en-US"/>
              </w:rPr>
              <w:t>Maintenance reporting</w:t>
            </w:r>
          </w:p>
        </w:tc>
        <w:tc>
          <w:tcPr>
            <w:tcW w:w="3204" w:type="pct"/>
            <w:tcBorders>
              <w:top w:val="single" w:sz="8" w:space="0" w:color="4F81BD"/>
              <w:left w:val="single" w:sz="8" w:space="0" w:color="4F81BD"/>
              <w:bottom w:val="single" w:sz="8" w:space="0" w:color="4F81BD"/>
              <w:right w:val="single" w:sz="8" w:space="0" w:color="4F81BD"/>
            </w:tcBorders>
            <w:shd w:val="clear" w:color="auto" w:fill="auto"/>
          </w:tcPr>
          <w:p w14:paraId="5B55B937" w14:textId="77777777" w:rsidR="007422BB" w:rsidRDefault="007422BB" w:rsidP="007422BB">
            <w:pPr>
              <w:pStyle w:val="Milestonetable"/>
              <w:spacing w:line="256" w:lineRule="auto"/>
              <w:rPr>
                <w:color w:val="auto"/>
                <w:lang w:val="en-AU" w:eastAsia="en-US"/>
              </w:rPr>
            </w:pPr>
            <w:r>
              <w:rPr>
                <w:color w:val="auto"/>
                <w:lang w:val="en-AU" w:eastAsia="en-US"/>
              </w:rPr>
              <w:t xml:space="preserve">Provision of </w:t>
            </w:r>
            <w:r w:rsidRPr="003B7774">
              <w:rPr>
                <w:color w:val="auto"/>
                <w:lang w:val="en-AU" w:eastAsia="en-US"/>
              </w:rPr>
              <w:t>a Road Maintenance Formula Data Report and a Maintenance Performance Report annually, including agreed data on the condition and usage of, and maintenance expenditure on, the Network as outlined in the Notes on Administration</w:t>
            </w:r>
            <w:r>
              <w:rPr>
                <w:color w:val="auto"/>
                <w:lang w:val="en-AU" w:eastAsia="en-US"/>
              </w:rPr>
              <w:t>.</w:t>
            </w:r>
          </w:p>
        </w:tc>
        <w:tc>
          <w:tcPr>
            <w:tcW w:w="783" w:type="pct"/>
            <w:tcBorders>
              <w:left w:val="single" w:sz="8" w:space="0" w:color="4F81BD"/>
              <w:right w:val="single" w:sz="8" w:space="0" w:color="4F81BD"/>
            </w:tcBorders>
          </w:tcPr>
          <w:p w14:paraId="5B55B938" w14:textId="77777777" w:rsidR="007422BB" w:rsidRPr="00D852D7" w:rsidRDefault="007422BB" w:rsidP="007422BB">
            <w:pPr>
              <w:pStyle w:val="Milestonetable"/>
              <w:spacing w:line="256" w:lineRule="auto"/>
              <w:jc w:val="right"/>
              <w:rPr>
                <w:color w:val="auto"/>
                <w:lang w:val="en-AU" w:eastAsia="en-US"/>
              </w:rPr>
            </w:pPr>
            <w:r>
              <w:rPr>
                <w:color w:val="auto"/>
                <w:lang w:val="en-AU" w:eastAsia="en-US"/>
              </w:rPr>
              <w:t>As set out in the Notes on Administration</w:t>
            </w:r>
          </w:p>
        </w:tc>
      </w:tr>
    </w:tbl>
    <w:p w14:paraId="5B55B93A" w14:textId="77777777" w:rsidR="008C7507" w:rsidRDefault="008C7507" w:rsidP="00993AEE">
      <w:pPr>
        <w:rPr>
          <w:sz w:val="20"/>
          <w:szCs w:val="20"/>
        </w:rPr>
      </w:pPr>
    </w:p>
    <w:p w14:paraId="5B55B93B" w14:textId="77777777" w:rsidR="00993AEE" w:rsidRDefault="00993AEE" w:rsidP="00993AEE">
      <w:pPr>
        <w:rPr>
          <w:sz w:val="20"/>
          <w:szCs w:val="20"/>
        </w:rPr>
      </w:pPr>
      <w:r w:rsidRPr="00AF491D">
        <w:rPr>
          <w:sz w:val="20"/>
          <w:szCs w:val="20"/>
        </w:rPr>
        <w:t xml:space="preserve">In addition, the Parties agree to support initiatives which enhance </w:t>
      </w:r>
      <w:r w:rsidRPr="001A4032">
        <w:rPr>
          <w:b/>
          <w:sz w:val="20"/>
          <w:szCs w:val="20"/>
        </w:rPr>
        <w:t>construction sector culture and participation</w:t>
      </w:r>
      <w:r w:rsidRPr="00AF491D">
        <w:rPr>
          <w:sz w:val="20"/>
          <w:szCs w:val="20"/>
        </w:rPr>
        <w:t>, including but not limited to:</w:t>
      </w:r>
    </w:p>
    <w:p w14:paraId="5B55B93C"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Enhancing flexibility and work-life balance arrangements</w:t>
      </w:r>
    </w:p>
    <w:p w14:paraId="5B55B93D"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Improving personal wellbeing, including physical and mental health</w:t>
      </w:r>
    </w:p>
    <w:p w14:paraId="5B55B93E"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Attracting and retaining diverse sector talent</w:t>
      </w:r>
    </w:p>
    <w:p w14:paraId="5B55B93F" w14:textId="77777777" w:rsidR="00993AEE" w:rsidRPr="00AF491D" w:rsidRDefault="00993AEE" w:rsidP="00993AEE">
      <w:pPr>
        <w:pStyle w:val="ListParagraph"/>
        <w:widowControl/>
        <w:numPr>
          <w:ilvl w:val="0"/>
          <w:numId w:val="22"/>
        </w:numPr>
        <w:ind w:left="714" w:hanging="357"/>
        <w:rPr>
          <w:sz w:val="20"/>
          <w:szCs w:val="20"/>
        </w:rPr>
      </w:pPr>
      <w:r w:rsidRPr="00AF491D">
        <w:rPr>
          <w:sz w:val="20"/>
          <w:szCs w:val="20"/>
        </w:rPr>
        <w:t xml:space="preserve">Undertaking trials or research in partnership with industry to support development of further learnings and programs. </w:t>
      </w:r>
    </w:p>
    <w:p w14:paraId="5B55B940" w14:textId="77777777" w:rsidR="00993AEE" w:rsidRDefault="00993AEE">
      <w:pPr>
        <w:widowControl/>
        <w:spacing w:after="160" w:line="259" w:lineRule="auto"/>
        <w:rPr>
          <w:lang w:val="en-AU"/>
        </w:rPr>
        <w:sectPr w:rsidR="00993AEE" w:rsidSect="00276D41">
          <w:headerReference w:type="even" r:id="rId22"/>
          <w:headerReference w:type="default" r:id="rId23"/>
          <w:headerReference w:type="first" r:id="rId24"/>
          <w:pgSz w:w="16838" w:h="11906" w:orient="landscape"/>
          <w:pgMar w:top="1440" w:right="1440" w:bottom="1440" w:left="1440" w:header="708" w:footer="708" w:gutter="0"/>
          <w:cols w:space="708"/>
          <w:docGrid w:linePitch="360"/>
        </w:sectPr>
      </w:pPr>
    </w:p>
    <w:tbl>
      <w:tblPr>
        <w:tblW w:w="10773" w:type="dxa"/>
        <w:jc w:val="center"/>
        <w:tblLayout w:type="fixed"/>
        <w:tblLook w:val="01E0" w:firstRow="1" w:lastRow="1" w:firstColumn="1" w:lastColumn="1" w:noHBand="0" w:noVBand="0"/>
      </w:tblPr>
      <w:tblGrid>
        <w:gridCol w:w="4536"/>
        <w:gridCol w:w="1701"/>
        <w:gridCol w:w="4536"/>
      </w:tblGrid>
      <w:tr w:rsidR="007B4341" w:rsidRPr="001E7A79" w14:paraId="5B55B943" w14:textId="77777777" w:rsidTr="007B4341">
        <w:trPr>
          <w:cantSplit/>
          <w:jc w:val="center"/>
        </w:trPr>
        <w:tc>
          <w:tcPr>
            <w:tcW w:w="10773" w:type="dxa"/>
            <w:gridSpan w:val="3"/>
          </w:tcPr>
          <w:p w14:paraId="5B55B941" w14:textId="77777777" w:rsidR="007B4341" w:rsidRPr="001E7A79" w:rsidRDefault="007B4341" w:rsidP="007B4341">
            <w:pPr>
              <w:widowControl/>
              <w:spacing w:after="160" w:line="259" w:lineRule="auto"/>
              <w:rPr>
                <w:lang w:val="en-AU"/>
              </w:rPr>
            </w:pPr>
            <w:r w:rsidRPr="001E7A79">
              <w:rPr>
                <w:lang w:val="en-AU"/>
              </w:rPr>
              <w:lastRenderedPageBreak/>
              <w:t xml:space="preserve">The </w:t>
            </w:r>
            <w:r w:rsidRPr="007B4341">
              <w:rPr>
                <w:lang w:val="en-AU"/>
              </w:rPr>
              <w:t>Parties</w:t>
            </w:r>
            <w:r w:rsidRPr="001E7A79">
              <w:rPr>
                <w:lang w:val="en-AU"/>
              </w:rPr>
              <w:t xml:space="preserve"> have confirmed their commitment to this schedule as follows:</w:t>
            </w:r>
          </w:p>
          <w:p w14:paraId="5B55B942" w14:textId="77777777" w:rsidR="007B4341" w:rsidRPr="001E7A79" w:rsidRDefault="007B4341" w:rsidP="000B1E81">
            <w:pPr>
              <w:rPr>
                <w:rFonts w:ascii="Book Antiqua" w:hAnsi="Book Antiqua"/>
                <w:lang w:val="en-AU"/>
              </w:rPr>
            </w:pPr>
          </w:p>
        </w:tc>
      </w:tr>
      <w:tr w:rsidR="008224C4" w:rsidRPr="001E7A79" w14:paraId="5B55B94B" w14:textId="77777777" w:rsidTr="007B4341">
        <w:trPr>
          <w:cantSplit/>
          <w:jc w:val="center"/>
        </w:trPr>
        <w:tc>
          <w:tcPr>
            <w:tcW w:w="4536" w:type="dxa"/>
          </w:tcPr>
          <w:p w14:paraId="5B55B944" w14:textId="77777777" w:rsidR="008224C4" w:rsidRPr="001E7A79" w:rsidRDefault="008224C4" w:rsidP="000B1E81">
            <w:pPr>
              <w:pStyle w:val="Signed"/>
            </w:pPr>
            <w:r w:rsidRPr="001E7A79">
              <w:rPr>
                <w:rStyle w:val="SignedBold"/>
              </w:rPr>
              <w:t>Signed</w:t>
            </w:r>
            <w:r w:rsidRPr="001E7A79">
              <w:t xml:space="preserve"> for and on behalf of the Commonwealth of Australia by</w:t>
            </w:r>
          </w:p>
          <w:p w14:paraId="5B55B945" w14:textId="77777777" w:rsidR="008224C4" w:rsidRPr="001E7A79" w:rsidRDefault="008224C4" w:rsidP="000B1E81">
            <w:pPr>
              <w:pStyle w:val="LineForSignature"/>
              <w:rPr>
                <w:lang w:val="en-AU"/>
              </w:rPr>
            </w:pPr>
            <w:r w:rsidRPr="001E7A79">
              <w:rPr>
                <w:lang w:val="en-AU"/>
              </w:rPr>
              <w:tab/>
            </w:r>
          </w:p>
          <w:p w14:paraId="5B55B946" w14:textId="77777777" w:rsidR="008224C4" w:rsidRPr="001E7A79" w:rsidRDefault="008224C4" w:rsidP="000B1E81">
            <w:pPr>
              <w:pStyle w:val="SingleParagraph"/>
              <w:rPr>
                <w:rStyle w:val="Bold"/>
              </w:rPr>
            </w:pPr>
            <w:r w:rsidRPr="001E7A79">
              <w:rPr>
                <w:rStyle w:val="Bold"/>
              </w:rPr>
              <w:t xml:space="preserve">The Honourable </w:t>
            </w:r>
            <w:r w:rsidRPr="00240BF8">
              <w:rPr>
                <w:rStyle w:val="Bold"/>
              </w:rPr>
              <w:t>Catherine King</w:t>
            </w:r>
            <w:r w:rsidRPr="001E7A79">
              <w:rPr>
                <w:rStyle w:val="Bold"/>
              </w:rPr>
              <w:t xml:space="preserve"> MP</w:t>
            </w:r>
          </w:p>
          <w:p w14:paraId="5B55B947" w14:textId="77777777" w:rsidR="008224C4" w:rsidRPr="001E7A79" w:rsidRDefault="008224C4" w:rsidP="000B1E81">
            <w:pPr>
              <w:pStyle w:val="Position"/>
            </w:pPr>
            <w:r w:rsidRPr="001E7A79">
              <w:t xml:space="preserve">Minister for </w:t>
            </w:r>
            <w:r>
              <w:t>Infrastructure, Transport, Regional Development and Local Government</w:t>
            </w:r>
            <w:r w:rsidRPr="001E7A79">
              <w:t xml:space="preserve"> </w:t>
            </w:r>
          </w:p>
          <w:p w14:paraId="5B55B948" w14:textId="77777777" w:rsidR="008224C4" w:rsidRPr="001E7A79" w:rsidRDefault="008224C4" w:rsidP="000B1E81">
            <w:pPr>
              <w:pStyle w:val="SingleParagraph"/>
              <w:tabs>
                <w:tab w:val="num" w:pos="1134"/>
              </w:tabs>
              <w:spacing w:after="240"/>
              <w:rPr>
                <w:b/>
              </w:rPr>
            </w:pPr>
            <w:r w:rsidRPr="001E7A79">
              <w:t>[Day]  [Month]  [Year]</w:t>
            </w:r>
          </w:p>
        </w:tc>
        <w:tc>
          <w:tcPr>
            <w:tcW w:w="1701" w:type="dxa"/>
            <w:tcMar>
              <w:left w:w="0" w:type="dxa"/>
              <w:right w:w="0" w:type="dxa"/>
            </w:tcMar>
          </w:tcPr>
          <w:p w14:paraId="5B55B949" w14:textId="77777777" w:rsidR="008224C4" w:rsidRPr="001E7A79" w:rsidRDefault="008224C4" w:rsidP="000B1E81">
            <w:pPr>
              <w:rPr>
                <w:rFonts w:ascii="Book Antiqua" w:hAnsi="Book Antiqua"/>
                <w:lang w:val="en-AU"/>
              </w:rPr>
            </w:pPr>
          </w:p>
        </w:tc>
        <w:tc>
          <w:tcPr>
            <w:tcW w:w="4536" w:type="dxa"/>
          </w:tcPr>
          <w:p w14:paraId="5B55B94A" w14:textId="77777777" w:rsidR="008224C4" w:rsidRPr="001E7A79" w:rsidRDefault="008224C4" w:rsidP="000B1E81">
            <w:pPr>
              <w:rPr>
                <w:rFonts w:ascii="Book Antiqua" w:hAnsi="Book Antiqua"/>
                <w:lang w:val="en-AU"/>
              </w:rPr>
            </w:pPr>
          </w:p>
        </w:tc>
      </w:tr>
    </w:tbl>
    <w:p w14:paraId="5B55B94C" w14:textId="77777777" w:rsidR="008224C4" w:rsidRPr="001E7A79" w:rsidRDefault="008224C4" w:rsidP="008224C4">
      <w:pPr>
        <w:rPr>
          <w:lang w:val="en-AU"/>
        </w:rPr>
      </w:pPr>
      <w:r w:rsidRPr="001E7A79">
        <w:rPr>
          <w:lang w:val="en-AU"/>
        </w:rPr>
        <w:t xml:space="preserve"> </w:t>
      </w:r>
    </w:p>
    <w:tbl>
      <w:tblPr>
        <w:tblW w:w="10773" w:type="dxa"/>
        <w:jc w:val="center"/>
        <w:tblLayout w:type="fixed"/>
        <w:tblLook w:val="01E0" w:firstRow="1" w:lastRow="1" w:firstColumn="1" w:lastColumn="1" w:noHBand="0" w:noVBand="0"/>
      </w:tblPr>
      <w:tblGrid>
        <w:gridCol w:w="4536"/>
        <w:gridCol w:w="1701"/>
        <w:gridCol w:w="4536"/>
      </w:tblGrid>
      <w:tr w:rsidR="008224C4" w:rsidRPr="001E7A79" w14:paraId="5B55B958" w14:textId="77777777" w:rsidTr="000B1E81">
        <w:trPr>
          <w:cantSplit/>
          <w:jc w:val="center"/>
        </w:trPr>
        <w:tc>
          <w:tcPr>
            <w:tcW w:w="4536" w:type="dxa"/>
          </w:tcPr>
          <w:p w14:paraId="5B55B94D" w14:textId="77777777" w:rsidR="008224C4" w:rsidRPr="001E7A79" w:rsidRDefault="008224C4" w:rsidP="000B1E81">
            <w:pPr>
              <w:pStyle w:val="Signed"/>
            </w:pPr>
            <w:r w:rsidRPr="001E7A79">
              <w:br w:type="page"/>
            </w:r>
            <w:r w:rsidRPr="001E7A79">
              <w:rPr>
                <w:rStyle w:val="SignedBold"/>
              </w:rPr>
              <w:t>Signed</w:t>
            </w:r>
            <w:r w:rsidRPr="001E7A79">
              <w:t xml:space="preserve"> for and on behalf of the </w:t>
            </w:r>
            <w:r w:rsidRPr="001E7A79">
              <w:br/>
              <w:t>State of New South Wales by</w:t>
            </w:r>
          </w:p>
          <w:p w14:paraId="5B55B94E" w14:textId="77777777" w:rsidR="008224C4" w:rsidRPr="001E7A79" w:rsidRDefault="008224C4" w:rsidP="000B1E81">
            <w:pPr>
              <w:pStyle w:val="LineForSignature"/>
              <w:rPr>
                <w:lang w:val="en-AU"/>
              </w:rPr>
            </w:pPr>
            <w:r w:rsidRPr="001E7A79">
              <w:rPr>
                <w:lang w:val="en-AU"/>
              </w:rPr>
              <w:tab/>
            </w:r>
          </w:p>
          <w:p w14:paraId="5B55B94F" w14:textId="77777777" w:rsidR="008224C4" w:rsidRPr="001E7A79" w:rsidRDefault="008224C4" w:rsidP="000B1E81">
            <w:pPr>
              <w:pStyle w:val="SingleParagraph"/>
              <w:rPr>
                <w:rStyle w:val="Bold"/>
              </w:rPr>
            </w:pPr>
            <w:r w:rsidRPr="001E7A79">
              <w:rPr>
                <w:rStyle w:val="Bold"/>
              </w:rPr>
              <w:t xml:space="preserve">The Honourable </w:t>
            </w:r>
            <w:r>
              <w:rPr>
                <w:rStyle w:val="Bold"/>
              </w:rPr>
              <w:t>Jo Haylen</w:t>
            </w:r>
            <w:r w:rsidRPr="001E7A79">
              <w:rPr>
                <w:rStyle w:val="Bold"/>
              </w:rPr>
              <w:t xml:space="preserve"> MP</w:t>
            </w:r>
          </w:p>
          <w:p w14:paraId="5B55B950" w14:textId="77777777" w:rsidR="008224C4" w:rsidRPr="001E7A79" w:rsidRDefault="008224C4" w:rsidP="000B1E81">
            <w:pPr>
              <w:pStyle w:val="Position"/>
            </w:pPr>
            <w:r w:rsidRPr="001E7A79">
              <w:t xml:space="preserve">Minister for </w:t>
            </w:r>
            <w:r>
              <w:t>Transport</w:t>
            </w:r>
            <w:r w:rsidRPr="001E7A79">
              <w:t xml:space="preserve"> </w:t>
            </w:r>
          </w:p>
          <w:p w14:paraId="5B55B951" w14:textId="77777777" w:rsidR="008224C4" w:rsidRPr="001E7A79" w:rsidRDefault="008224C4" w:rsidP="000B1E81">
            <w:pPr>
              <w:pStyle w:val="SingleParagraph"/>
              <w:tabs>
                <w:tab w:val="num" w:pos="1134"/>
              </w:tabs>
              <w:spacing w:after="240"/>
              <w:rPr>
                <w:b/>
              </w:rPr>
            </w:pPr>
            <w:r w:rsidRPr="001E7A79">
              <w:t>[Day]  [Month]  [Year]</w:t>
            </w:r>
          </w:p>
        </w:tc>
        <w:tc>
          <w:tcPr>
            <w:tcW w:w="1701" w:type="dxa"/>
            <w:tcMar>
              <w:left w:w="0" w:type="dxa"/>
              <w:right w:w="0" w:type="dxa"/>
            </w:tcMar>
          </w:tcPr>
          <w:p w14:paraId="5B55B952" w14:textId="77777777" w:rsidR="008224C4" w:rsidRPr="001E7A79" w:rsidRDefault="008224C4" w:rsidP="000B1E81">
            <w:pPr>
              <w:rPr>
                <w:rFonts w:ascii="Book Antiqua" w:hAnsi="Book Antiqua"/>
                <w:lang w:val="en-AU"/>
              </w:rPr>
            </w:pPr>
          </w:p>
        </w:tc>
        <w:tc>
          <w:tcPr>
            <w:tcW w:w="4536" w:type="dxa"/>
          </w:tcPr>
          <w:p w14:paraId="5B55B953" w14:textId="77777777" w:rsidR="008224C4" w:rsidRPr="001E7A79" w:rsidRDefault="008224C4" w:rsidP="000B1E81">
            <w:pPr>
              <w:pStyle w:val="Signed"/>
            </w:pPr>
            <w:r w:rsidRPr="001E7A79">
              <w:rPr>
                <w:rStyle w:val="SignedBold"/>
              </w:rPr>
              <w:t>Signed</w:t>
            </w:r>
            <w:r w:rsidRPr="001E7A79">
              <w:t xml:space="preserve"> for and on behalf of the </w:t>
            </w:r>
            <w:r w:rsidRPr="001E7A79">
              <w:br/>
              <w:t>State of Victoria by</w:t>
            </w:r>
          </w:p>
          <w:p w14:paraId="5B55B954" w14:textId="77777777" w:rsidR="008224C4" w:rsidRPr="001E7A79" w:rsidRDefault="008224C4" w:rsidP="000B1E81">
            <w:pPr>
              <w:pStyle w:val="LineForSignature"/>
              <w:rPr>
                <w:lang w:val="en-AU"/>
              </w:rPr>
            </w:pPr>
            <w:r w:rsidRPr="001E7A79">
              <w:rPr>
                <w:lang w:val="en-AU"/>
              </w:rPr>
              <w:tab/>
            </w:r>
          </w:p>
          <w:p w14:paraId="5B55B955" w14:textId="77777777" w:rsidR="008224C4" w:rsidRPr="001E7A79" w:rsidRDefault="008224C4" w:rsidP="000B1E81">
            <w:pPr>
              <w:pStyle w:val="SingleParagraph"/>
              <w:rPr>
                <w:rStyle w:val="Bold"/>
              </w:rPr>
            </w:pPr>
            <w:r w:rsidRPr="001E7A79">
              <w:rPr>
                <w:rStyle w:val="Bold"/>
              </w:rPr>
              <w:t xml:space="preserve">The Honourable </w:t>
            </w:r>
            <w:r>
              <w:rPr>
                <w:rStyle w:val="Bold"/>
              </w:rPr>
              <w:t>Danny Pearson</w:t>
            </w:r>
            <w:r w:rsidRPr="001E7A79">
              <w:rPr>
                <w:rStyle w:val="Bold"/>
              </w:rPr>
              <w:t xml:space="preserve"> MP</w:t>
            </w:r>
          </w:p>
          <w:p w14:paraId="5B55B956" w14:textId="77777777" w:rsidR="008224C4" w:rsidRPr="001E7A79" w:rsidRDefault="008224C4" w:rsidP="000B1E81">
            <w:pPr>
              <w:pStyle w:val="Position"/>
            </w:pPr>
            <w:r w:rsidRPr="001E7A79">
              <w:t xml:space="preserve">Minister for </w:t>
            </w:r>
            <w:r>
              <w:t>Transport Infrastructure</w:t>
            </w:r>
            <w:r w:rsidRPr="001E7A79">
              <w:t xml:space="preserve"> </w:t>
            </w:r>
          </w:p>
          <w:p w14:paraId="5B55B957" w14:textId="77777777" w:rsidR="008224C4" w:rsidRPr="001E7A79" w:rsidRDefault="008224C4" w:rsidP="000B1E81">
            <w:pPr>
              <w:rPr>
                <w:rFonts w:ascii="Book Antiqua" w:hAnsi="Book Antiqua"/>
                <w:lang w:val="en-AU"/>
              </w:rPr>
            </w:pPr>
            <w:r w:rsidRPr="001E7A79">
              <w:rPr>
                <w:lang w:val="en-AU"/>
              </w:rPr>
              <w:t>[Day]  [Month]  [Year]</w:t>
            </w:r>
          </w:p>
        </w:tc>
      </w:tr>
    </w:tbl>
    <w:p w14:paraId="5B55B959" w14:textId="77777777" w:rsidR="008224C4" w:rsidRPr="001E7A79" w:rsidRDefault="008224C4" w:rsidP="008224C4">
      <w:pPr>
        <w:rPr>
          <w:lang w:val="en-AU"/>
        </w:rPr>
      </w:pPr>
    </w:p>
    <w:p w14:paraId="5B55B95A" w14:textId="77777777" w:rsidR="008224C4" w:rsidRPr="001E7A79" w:rsidRDefault="008224C4" w:rsidP="008224C4">
      <w:pPr>
        <w:rPr>
          <w:lang w:val="en-AU"/>
        </w:rPr>
      </w:pPr>
    </w:p>
    <w:tbl>
      <w:tblPr>
        <w:tblW w:w="0" w:type="auto"/>
        <w:jc w:val="center"/>
        <w:tblLayout w:type="fixed"/>
        <w:tblLook w:val="01E0" w:firstRow="1" w:lastRow="1" w:firstColumn="1" w:lastColumn="1" w:noHBand="0" w:noVBand="0"/>
      </w:tblPr>
      <w:tblGrid>
        <w:gridCol w:w="4536"/>
        <w:gridCol w:w="1701"/>
        <w:gridCol w:w="4536"/>
      </w:tblGrid>
      <w:tr w:rsidR="008224C4" w:rsidRPr="001E7A79" w14:paraId="5B55B966" w14:textId="77777777" w:rsidTr="000B1E81">
        <w:trPr>
          <w:cantSplit/>
          <w:jc w:val="center"/>
        </w:trPr>
        <w:tc>
          <w:tcPr>
            <w:tcW w:w="4536" w:type="dxa"/>
          </w:tcPr>
          <w:p w14:paraId="5B55B95B" w14:textId="77777777" w:rsidR="008224C4" w:rsidRPr="001E7A79" w:rsidRDefault="008224C4" w:rsidP="000B1E81">
            <w:pPr>
              <w:pStyle w:val="Signed"/>
              <w:rPr>
                <w:color w:val="auto"/>
              </w:rPr>
            </w:pPr>
            <w:r w:rsidRPr="001E7A79">
              <w:rPr>
                <w:rStyle w:val="SignedBold"/>
                <w:color w:val="auto"/>
              </w:rPr>
              <w:t>Signed</w:t>
            </w:r>
            <w:r w:rsidRPr="001E7A79">
              <w:rPr>
                <w:color w:val="auto"/>
              </w:rPr>
              <w:t xml:space="preserve"> for and on behalf of the </w:t>
            </w:r>
            <w:r w:rsidRPr="001E7A79">
              <w:rPr>
                <w:color w:val="auto"/>
              </w:rPr>
              <w:br/>
              <w:t>State of Queensland by</w:t>
            </w:r>
          </w:p>
          <w:p w14:paraId="5B55B95C" w14:textId="77777777" w:rsidR="008224C4" w:rsidRPr="001E7A79" w:rsidRDefault="008224C4" w:rsidP="000B1E81">
            <w:pPr>
              <w:pStyle w:val="LineForSignature"/>
              <w:rPr>
                <w:color w:val="auto"/>
                <w:lang w:val="en-AU"/>
              </w:rPr>
            </w:pPr>
            <w:r w:rsidRPr="001E7A79">
              <w:rPr>
                <w:color w:val="auto"/>
                <w:lang w:val="en-AU"/>
              </w:rPr>
              <w:tab/>
            </w:r>
          </w:p>
          <w:p w14:paraId="5B55B95D" w14:textId="77777777" w:rsidR="008224C4" w:rsidRPr="001E7A79" w:rsidRDefault="008224C4" w:rsidP="000B1E81">
            <w:pPr>
              <w:pStyle w:val="SingleParagraph"/>
              <w:rPr>
                <w:rStyle w:val="Bold"/>
                <w:color w:val="auto"/>
              </w:rPr>
            </w:pPr>
            <w:r w:rsidRPr="001E7A79">
              <w:rPr>
                <w:rStyle w:val="Bold"/>
                <w:color w:val="auto"/>
              </w:rPr>
              <w:t xml:space="preserve">The Honourable </w:t>
            </w:r>
            <w:r w:rsidRPr="00240BF8">
              <w:rPr>
                <w:rStyle w:val="Bold"/>
                <w:color w:val="auto"/>
              </w:rPr>
              <w:t>Bart Mellish</w:t>
            </w:r>
            <w:r w:rsidRPr="001E7A79">
              <w:rPr>
                <w:rStyle w:val="Bold"/>
                <w:color w:val="auto"/>
              </w:rPr>
              <w:t xml:space="preserve"> MP</w:t>
            </w:r>
          </w:p>
          <w:p w14:paraId="5B55B95E" w14:textId="77777777" w:rsidR="008224C4" w:rsidRPr="001E7A79" w:rsidRDefault="008224C4" w:rsidP="000B1E81">
            <w:pPr>
              <w:pStyle w:val="Position"/>
              <w:rPr>
                <w:color w:val="auto"/>
              </w:rPr>
            </w:pPr>
            <w:r w:rsidRPr="001E7A79">
              <w:rPr>
                <w:color w:val="auto"/>
              </w:rPr>
              <w:t xml:space="preserve">Minister for </w:t>
            </w:r>
            <w:r>
              <w:rPr>
                <w:color w:val="auto"/>
              </w:rPr>
              <w:t>Transport and Main Roads</w:t>
            </w:r>
            <w:r w:rsidRPr="001E7A79">
              <w:rPr>
                <w:color w:val="auto"/>
              </w:rPr>
              <w:t xml:space="preserve"> </w:t>
            </w:r>
          </w:p>
          <w:p w14:paraId="5B55B95F" w14:textId="77777777" w:rsidR="008224C4" w:rsidRPr="001E7A79" w:rsidRDefault="008224C4" w:rsidP="000B1E81">
            <w:pPr>
              <w:pStyle w:val="SingleParagraph"/>
              <w:tabs>
                <w:tab w:val="num" w:pos="1134"/>
              </w:tabs>
              <w:spacing w:after="240"/>
              <w:rPr>
                <w:b/>
                <w:color w:val="auto"/>
              </w:rPr>
            </w:pPr>
            <w:r w:rsidRPr="001E7A79">
              <w:t>[Day]  [Month]  [Year]</w:t>
            </w:r>
          </w:p>
        </w:tc>
        <w:tc>
          <w:tcPr>
            <w:tcW w:w="1701" w:type="dxa"/>
            <w:tcMar>
              <w:left w:w="0" w:type="dxa"/>
              <w:right w:w="0" w:type="dxa"/>
            </w:tcMar>
          </w:tcPr>
          <w:p w14:paraId="5B55B960" w14:textId="77777777" w:rsidR="008224C4" w:rsidRPr="001E7A79" w:rsidRDefault="008224C4" w:rsidP="000B1E81">
            <w:pPr>
              <w:rPr>
                <w:rFonts w:ascii="Book Antiqua" w:hAnsi="Book Antiqua"/>
                <w:lang w:val="en-AU"/>
              </w:rPr>
            </w:pPr>
          </w:p>
        </w:tc>
        <w:tc>
          <w:tcPr>
            <w:tcW w:w="4536" w:type="dxa"/>
          </w:tcPr>
          <w:p w14:paraId="5B55B961" w14:textId="77777777" w:rsidR="008224C4" w:rsidRPr="001E7A79" w:rsidRDefault="008224C4" w:rsidP="000B1E81">
            <w:pPr>
              <w:pStyle w:val="Signed"/>
              <w:rPr>
                <w:color w:val="auto"/>
              </w:rPr>
            </w:pPr>
            <w:r w:rsidRPr="001E7A79">
              <w:rPr>
                <w:rStyle w:val="SignedBold"/>
                <w:color w:val="auto"/>
              </w:rPr>
              <w:t>Signed</w:t>
            </w:r>
            <w:r w:rsidRPr="001E7A79">
              <w:rPr>
                <w:color w:val="auto"/>
              </w:rPr>
              <w:t xml:space="preserve"> for and on behalf of the </w:t>
            </w:r>
            <w:r w:rsidRPr="001E7A79">
              <w:rPr>
                <w:color w:val="auto"/>
              </w:rPr>
              <w:br/>
              <w:t>State of Western Australia by</w:t>
            </w:r>
          </w:p>
          <w:p w14:paraId="5B55B962" w14:textId="77777777" w:rsidR="008224C4" w:rsidRPr="001E7A79" w:rsidRDefault="008224C4" w:rsidP="000B1E81">
            <w:pPr>
              <w:pStyle w:val="LineForSignature"/>
              <w:rPr>
                <w:color w:val="auto"/>
                <w:lang w:val="en-AU"/>
              </w:rPr>
            </w:pPr>
            <w:r w:rsidRPr="001E7A79">
              <w:rPr>
                <w:color w:val="auto"/>
                <w:lang w:val="en-AU"/>
              </w:rPr>
              <w:tab/>
            </w:r>
          </w:p>
          <w:p w14:paraId="5B55B963" w14:textId="77777777" w:rsidR="008224C4" w:rsidRPr="001E7A79" w:rsidRDefault="008224C4" w:rsidP="000B1E81">
            <w:pPr>
              <w:pStyle w:val="SingleParagraph"/>
              <w:rPr>
                <w:rStyle w:val="Bold"/>
                <w:color w:val="auto"/>
              </w:rPr>
            </w:pPr>
            <w:r w:rsidRPr="001E7A79">
              <w:rPr>
                <w:rStyle w:val="Bold"/>
                <w:color w:val="auto"/>
              </w:rPr>
              <w:t xml:space="preserve">The Honourable </w:t>
            </w:r>
            <w:r w:rsidRPr="00240BF8">
              <w:rPr>
                <w:rStyle w:val="Bold"/>
                <w:color w:val="auto"/>
              </w:rPr>
              <w:t>Rita Saffioti</w:t>
            </w:r>
            <w:r w:rsidRPr="001E7A79">
              <w:rPr>
                <w:rStyle w:val="Bold"/>
                <w:color w:val="auto"/>
              </w:rPr>
              <w:t xml:space="preserve"> M</w:t>
            </w:r>
            <w:r>
              <w:rPr>
                <w:rStyle w:val="Bold"/>
                <w:color w:val="auto"/>
              </w:rPr>
              <w:t>LA</w:t>
            </w:r>
          </w:p>
          <w:p w14:paraId="5B55B964" w14:textId="77777777" w:rsidR="008224C4" w:rsidRPr="001E7A79" w:rsidRDefault="008224C4" w:rsidP="000B1E81">
            <w:pPr>
              <w:pStyle w:val="Position"/>
              <w:rPr>
                <w:color w:val="auto"/>
              </w:rPr>
            </w:pPr>
            <w:r w:rsidRPr="001E7A79">
              <w:rPr>
                <w:color w:val="auto"/>
              </w:rPr>
              <w:t xml:space="preserve">Minister for </w:t>
            </w:r>
            <w:r>
              <w:rPr>
                <w:color w:val="auto"/>
              </w:rPr>
              <w:t>Transport</w:t>
            </w:r>
            <w:r w:rsidRPr="001E7A79">
              <w:rPr>
                <w:color w:val="auto"/>
              </w:rPr>
              <w:t xml:space="preserve"> </w:t>
            </w:r>
          </w:p>
          <w:p w14:paraId="5B55B965" w14:textId="77777777" w:rsidR="008224C4" w:rsidRPr="001E7A79" w:rsidRDefault="008224C4" w:rsidP="000B1E81">
            <w:pPr>
              <w:rPr>
                <w:rFonts w:ascii="Book Antiqua" w:hAnsi="Book Antiqua"/>
                <w:lang w:val="en-AU"/>
              </w:rPr>
            </w:pPr>
            <w:r w:rsidRPr="001E7A79">
              <w:rPr>
                <w:lang w:val="en-AU"/>
              </w:rPr>
              <w:t>[Day]  [Month]  [Year]</w:t>
            </w:r>
          </w:p>
        </w:tc>
      </w:tr>
    </w:tbl>
    <w:p w14:paraId="5B55B967" w14:textId="77777777" w:rsidR="008224C4" w:rsidRPr="001E7A79" w:rsidRDefault="008224C4" w:rsidP="008224C4">
      <w:pPr>
        <w:rPr>
          <w:lang w:val="en-AU"/>
        </w:rPr>
      </w:pPr>
    </w:p>
    <w:tbl>
      <w:tblPr>
        <w:tblW w:w="0" w:type="auto"/>
        <w:jc w:val="center"/>
        <w:tblLayout w:type="fixed"/>
        <w:tblLook w:val="01E0" w:firstRow="1" w:lastRow="1" w:firstColumn="1" w:lastColumn="1" w:noHBand="0" w:noVBand="0"/>
      </w:tblPr>
      <w:tblGrid>
        <w:gridCol w:w="4536"/>
        <w:gridCol w:w="1701"/>
        <w:gridCol w:w="4536"/>
      </w:tblGrid>
      <w:tr w:rsidR="008224C4" w:rsidRPr="001E7A79" w14:paraId="5B55B973" w14:textId="77777777" w:rsidTr="000B1E81">
        <w:trPr>
          <w:cantSplit/>
          <w:jc w:val="center"/>
        </w:trPr>
        <w:tc>
          <w:tcPr>
            <w:tcW w:w="4536" w:type="dxa"/>
          </w:tcPr>
          <w:p w14:paraId="5B55B968" w14:textId="77777777" w:rsidR="008224C4" w:rsidRPr="001E7A79" w:rsidRDefault="008224C4" w:rsidP="000B1E81">
            <w:pPr>
              <w:pStyle w:val="Signed"/>
              <w:rPr>
                <w:color w:val="auto"/>
              </w:rPr>
            </w:pPr>
            <w:r w:rsidRPr="001E7A79">
              <w:rPr>
                <w:rStyle w:val="SignedBold"/>
                <w:color w:val="auto"/>
              </w:rPr>
              <w:t>Signed</w:t>
            </w:r>
            <w:r w:rsidRPr="001E7A79">
              <w:rPr>
                <w:color w:val="auto"/>
              </w:rPr>
              <w:t xml:space="preserve"> for and on behalf of the </w:t>
            </w:r>
            <w:r w:rsidRPr="001E7A79">
              <w:rPr>
                <w:color w:val="auto"/>
              </w:rPr>
              <w:br/>
              <w:t>State of South Australia by</w:t>
            </w:r>
          </w:p>
          <w:p w14:paraId="5B55B969" w14:textId="77777777" w:rsidR="008224C4" w:rsidRPr="001E7A79" w:rsidRDefault="008224C4" w:rsidP="000B1E81">
            <w:pPr>
              <w:pStyle w:val="LineForSignature"/>
              <w:rPr>
                <w:color w:val="auto"/>
                <w:lang w:val="en-AU"/>
              </w:rPr>
            </w:pPr>
            <w:r w:rsidRPr="001E7A79">
              <w:rPr>
                <w:color w:val="auto"/>
                <w:lang w:val="en-AU"/>
              </w:rPr>
              <w:tab/>
            </w:r>
          </w:p>
          <w:p w14:paraId="5B55B96A" w14:textId="77777777" w:rsidR="008224C4" w:rsidRPr="001E7A79" w:rsidRDefault="008224C4" w:rsidP="000B1E81">
            <w:pPr>
              <w:pStyle w:val="SingleParagraph"/>
              <w:rPr>
                <w:rStyle w:val="Bold"/>
                <w:color w:val="auto"/>
              </w:rPr>
            </w:pPr>
            <w:r w:rsidRPr="001E7A79">
              <w:rPr>
                <w:rStyle w:val="Bold"/>
                <w:color w:val="auto"/>
              </w:rPr>
              <w:t xml:space="preserve">The Honourable </w:t>
            </w:r>
            <w:r w:rsidRPr="002A47EF">
              <w:rPr>
                <w:rStyle w:val="Bold"/>
                <w:color w:val="auto"/>
              </w:rPr>
              <w:t>Tom Koutsantonis</w:t>
            </w:r>
            <w:r w:rsidRPr="001E7A79">
              <w:rPr>
                <w:rStyle w:val="Bold"/>
                <w:color w:val="auto"/>
              </w:rPr>
              <w:t xml:space="preserve"> MP</w:t>
            </w:r>
          </w:p>
          <w:p w14:paraId="5B55B96B" w14:textId="77777777" w:rsidR="008224C4" w:rsidRPr="001E7A79" w:rsidRDefault="008224C4" w:rsidP="000B1E81">
            <w:pPr>
              <w:pStyle w:val="Position"/>
              <w:rPr>
                <w:color w:val="auto"/>
              </w:rPr>
            </w:pPr>
            <w:r w:rsidRPr="001E7A79">
              <w:rPr>
                <w:color w:val="auto"/>
              </w:rPr>
              <w:t xml:space="preserve">Minister for </w:t>
            </w:r>
            <w:r>
              <w:rPr>
                <w:color w:val="auto"/>
              </w:rPr>
              <w:t>Infrastructure and Transport</w:t>
            </w:r>
            <w:r w:rsidRPr="001E7A79">
              <w:rPr>
                <w:color w:val="auto"/>
              </w:rPr>
              <w:t xml:space="preserve"> </w:t>
            </w:r>
          </w:p>
          <w:p w14:paraId="5B55B96C" w14:textId="77777777" w:rsidR="008224C4" w:rsidRPr="001E7A79" w:rsidRDefault="008224C4" w:rsidP="000B1E81">
            <w:pPr>
              <w:pStyle w:val="SingleParagraph"/>
              <w:tabs>
                <w:tab w:val="num" w:pos="1134"/>
              </w:tabs>
              <w:spacing w:after="240"/>
              <w:rPr>
                <w:b/>
                <w:color w:val="auto"/>
              </w:rPr>
            </w:pPr>
            <w:r w:rsidRPr="001E7A79">
              <w:t>[Day]  [Month]  [Year]</w:t>
            </w:r>
          </w:p>
        </w:tc>
        <w:tc>
          <w:tcPr>
            <w:tcW w:w="1701" w:type="dxa"/>
            <w:tcMar>
              <w:left w:w="0" w:type="dxa"/>
              <w:right w:w="0" w:type="dxa"/>
            </w:tcMar>
          </w:tcPr>
          <w:p w14:paraId="5B55B96D" w14:textId="77777777" w:rsidR="008224C4" w:rsidRPr="001E7A79" w:rsidRDefault="008224C4" w:rsidP="000B1E81">
            <w:pPr>
              <w:rPr>
                <w:rFonts w:ascii="Book Antiqua" w:hAnsi="Book Antiqua"/>
                <w:lang w:val="en-AU"/>
              </w:rPr>
            </w:pPr>
          </w:p>
        </w:tc>
        <w:tc>
          <w:tcPr>
            <w:tcW w:w="4536" w:type="dxa"/>
          </w:tcPr>
          <w:p w14:paraId="5B55B96E" w14:textId="77777777" w:rsidR="008224C4" w:rsidRPr="001E7A79" w:rsidRDefault="008224C4" w:rsidP="000B1E81">
            <w:pPr>
              <w:pStyle w:val="Signed"/>
              <w:rPr>
                <w:color w:val="auto"/>
              </w:rPr>
            </w:pPr>
            <w:r w:rsidRPr="001E7A79">
              <w:rPr>
                <w:rStyle w:val="SignedBold"/>
                <w:color w:val="auto"/>
              </w:rPr>
              <w:t>Signed</w:t>
            </w:r>
            <w:r w:rsidRPr="001E7A79">
              <w:rPr>
                <w:color w:val="auto"/>
              </w:rPr>
              <w:t xml:space="preserve"> for and on behalf of the </w:t>
            </w:r>
            <w:r w:rsidRPr="001E7A79">
              <w:rPr>
                <w:color w:val="auto"/>
              </w:rPr>
              <w:br/>
              <w:t>State of Tasmania by</w:t>
            </w:r>
          </w:p>
          <w:p w14:paraId="5B55B96F" w14:textId="77777777" w:rsidR="008224C4" w:rsidRPr="001E7A79" w:rsidRDefault="008224C4" w:rsidP="000B1E81">
            <w:pPr>
              <w:pStyle w:val="LineForSignature"/>
              <w:rPr>
                <w:color w:val="auto"/>
                <w:lang w:val="en-AU"/>
              </w:rPr>
            </w:pPr>
            <w:r w:rsidRPr="001E7A79">
              <w:rPr>
                <w:color w:val="auto"/>
                <w:lang w:val="en-AU"/>
              </w:rPr>
              <w:tab/>
            </w:r>
          </w:p>
          <w:p w14:paraId="5B55B970" w14:textId="77777777" w:rsidR="008224C4" w:rsidRPr="001E7A79" w:rsidRDefault="008224C4" w:rsidP="000B1E81">
            <w:pPr>
              <w:pStyle w:val="SingleParagraph"/>
              <w:rPr>
                <w:rStyle w:val="Bold"/>
                <w:color w:val="auto"/>
              </w:rPr>
            </w:pPr>
            <w:r w:rsidRPr="001E7A79">
              <w:rPr>
                <w:rStyle w:val="Bold"/>
                <w:color w:val="auto"/>
              </w:rPr>
              <w:t xml:space="preserve">The Honourable </w:t>
            </w:r>
            <w:r w:rsidRPr="0032348A">
              <w:rPr>
                <w:rStyle w:val="Bold"/>
                <w:color w:val="auto"/>
              </w:rPr>
              <w:t>Michael Ferguson</w:t>
            </w:r>
            <w:r w:rsidRPr="001E7A79">
              <w:rPr>
                <w:rStyle w:val="Bold"/>
                <w:color w:val="auto"/>
              </w:rPr>
              <w:t xml:space="preserve"> MP</w:t>
            </w:r>
          </w:p>
          <w:p w14:paraId="5B55B971" w14:textId="77777777" w:rsidR="008224C4" w:rsidRPr="001E7A79" w:rsidRDefault="008224C4" w:rsidP="000B1E81">
            <w:pPr>
              <w:pStyle w:val="Position"/>
              <w:rPr>
                <w:color w:val="auto"/>
              </w:rPr>
            </w:pPr>
            <w:r w:rsidRPr="001E7A79">
              <w:rPr>
                <w:color w:val="auto"/>
              </w:rPr>
              <w:t xml:space="preserve">Minister for </w:t>
            </w:r>
            <w:r>
              <w:rPr>
                <w:color w:val="auto"/>
              </w:rPr>
              <w:t>Infrastructure</w:t>
            </w:r>
          </w:p>
          <w:p w14:paraId="5B55B972" w14:textId="77777777" w:rsidR="008224C4" w:rsidRPr="001E7A79" w:rsidRDefault="008224C4" w:rsidP="000B1E81">
            <w:pPr>
              <w:rPr>
                <w:rFonts w:ascii="Book Antiqua" w:hAnsi="Book Antiqua"/>
                <w:lang w:val="en-AU"/>
              </w:rPr>
            </w:pPr>
            <w:r w:rsidRPr="001E7A79">
              <w:rPr>
                <w:lang w:val="en-AU"/>
              </w:rPr>
              <w:t>[Day]  [Month]  [Year]</w:t>
            </w:r>
          </w:p>
        </w:tc>
      </w:tr>
    </w:tbl>
    <w:p w14:paraId="5B55B974" w14:textId="77777777" w:rsidR="008224C4" w:rsidRPr="001E7A79" w:rsidRDefault="008224C4" w:rsidP="008224C4">
      <w:pPr>
        <w:rPr>
          <w:lang w:val="en-AU"/>
        </w:rPr>
      </w:pPr>
    </w:p>
    <w:tbl>
      <w:tblPr>
        <w:tblW w:w="10773" w:type="dxa"/>
        <w:jc w:val="center"/>
        <w:tblLayout w:type="fixed"/>
        <w:tblLook w:val="01E0" w:firstRow="1" w:lastRow="1" w:firstColumn="1" w:lastColumn="1" w:noHBand="0" w:noVBand="0"/>
      </w:tblPr>
      <w:tblGrid>
        <w:gridCol w:w="4536"/>
        <w:gridCol w:w="1701"/>
        <w:gridCol w:w="4536"/>
      </w:tblGrid>
      <w:tr w:rsidR="008224C4" w:rsidRPr="001E7A79" w14:paraId="5B55B980" w14:textId="77777777" w:rsidTr="000B1E81">
        <w:trPr>
          <w:cantSplit/>
          <w:jc w:val="center"/>
        </w:trPr>
        <w:tc>
          <w:tcPr>
            <w:tcW w:w="4536" w:type="dxa"/>
          </w:tcPr>
          <w:p w14:paraId="5B55B975" w14:textId="77777777" w:rsidR="008224C4" w:rsidRPr="001E7A79" w:rsidRDefault="008224C4" w:rsidP="000B1E81">
            <w:pPr>
              <w:pStyle w:val="Signed"/>
              <w:rPr>
                <w:color w:val="auto"/>
              </w:rPr>
            </w:pPr>
            <w:r w:rsidRPr="001E7A79">
              <w:rPr>
                <w:rStyle w:val="SignedBold"/>
                <w:color w:val="auto"/>
              </w:rPr>
              <w:t>Signed</w:t>
            </w:r>
            <w:r w:rsidRPr="001E7A79">
              <w:rPr>
                <w:i w:val="0"/>
                <w:color w:val="auto"/>
              </w:rPr>
              <w:t xml:space="preserve"> </w:t>
            </w:r>
            <w:r w:rsidRPr="001E7A79">
              <w:rPr>
                <w:color w:val="auto"/>
              </w:rPr>
              <w:t>for and on behalf of the Australian Capital Territory by</w:t>
            </w:r>
          </w:p>
          <w:p w14:paraId="5B55B976" w14:textId="77777777" w:rsidR="008224C4" w:rsidRPr="001E7A79" w:rsidRDefault="008224C4" w:rsidP="000B1E81">
            <w:pPr>
              <w:pStyle w:val="LineForSignature"/>
              <w:rPr>
                <w:color w:val="auto"/>
                <w:lang w:val="en-AU"/>
              </w:rPr>
            </w:pPr>
            <w:r w:rsidRPr="001E7A79">
              <w:rPr>
                <w:color w:val="auto"/>
                <w:lang w:val="en-AU"/>
              </w:rPr>
              <w:tab/>
            </w:r>
          </w:p>
          <w:p w14:paraId="5B55B977" w14:textId="77777777" w:rsidR="008224C4" w:rsidRPr="001E7A79" w:rsidRDefault="008224C4" w:rsidP="000B1E81">
            <w:pPr>
              <w:pStyle w:val="SingleParagraph"/>
              <w:rPr>
                <w:rStyle w:val="Bold"/>
                <w:color w:val="auto"/>
              </w:rPr>
            </w:pPr>
            <w:r w:rsidRPr="000B5034">
              <w:rPr>
                <w:rStyle w:val="Bold"/>
                <w:color w:val="auto"/>
              </w:rPr>
              <w:t xml:space="preserve">Mr Chris Steel </w:t>
            </w:r>
            <w:r w:rsidRPr="001E7A79">
              <w:rPr>
                <w:rStyle w:val="Bold"/>
                <w:color w:val="auto"/>
              </w:rPr>
              <w:t>MLA</w:t>
            </w:r>
          </w:p>
          <w:p w14:paraId="5B55B978" w14:textId="77777777" w:rsidR="008224C4" w:rsidRPr="001E7A79" w:rsidRDefault="008224C4" w:rsidP="000B1E81">
            <w:pPr>
              <w:pStyle w:val="Position"/>
              <w:rPr>
                <w:color w:val="auto"/>
              </w:rPr>
            </w:pPr>
            <w:r w:rsidRPr="001E7A79">
              <w:rPr>
                <w:color w:val="auto"/>
              </w:rPr>
              <w:t xml:space="preserve">Minister for </w:t>
            </w:r>
            <w:r>
              <w:rPr>
                <w:color w:val="auto"/>
              </w:rPr>
              <w:t>Transport</w:t>
            </w:r>
            <w:r w:rsidRPr="001E7A79">
              <w:rPr>
                <w:color w:val="auto"/>
              </w:rPr>
              <w:t xml:space="preserve"> </w:t>
            </w:r>
          </w:p>
          <w:p w14:paraId="5B55B979" w14:textId="77777777" w:rsidR="008224C4" w:rsidRPr="001E7A79" w:rsidRDefault="008224C4" w:rsidP="000B1E81">
            <w:pPr>
              <w:pStyle w:val="SingleParagraph"/>
              <w:tabs>
                <w:tab w:val="num" w:pos="1134"/>
              </w:tabs>
              <w:spacing w:after="240"/>
              <w:rPr>
                <w:b/>
                <w:color w:val="auto"/>
              </w:rPr>
            </w:pPr>
            <w:r w:rsidRPr="001E7A79">
              <w:t>[Day]  [Month]  [Year]</w:t>
            </w:r>
          </w:p>
        </w:tc>
        <w:tc>
          <w:tcPr>
            <w:tcW w:w="1701" w:type="dxa"/>
            <w:tcMar>
              <w:left w:w="0" w:type="dxa"/>
              <w:right w:w="0" w:type="dxa"/>
            </w:tcMar>
          </w:tcPr>
          <w:p w14:paraId="5B55B97A" w14:textId="77777777" w:rsidR="008224C4" w:rsidRPr="001E7A79" w:rsidRDefault="008224C4" w:rsidP="000B1E81">
            <w:pPr>
              <w:rPr>
                <w:rFonts w:ascii="Book Antiqua" w:hAnsi="Book Antiqua"/>
                <w:lang w:val="en-AU"/>
              </w:rPr>
            </w:pPr>
          </w:p>
        </w:tc>
        <w:tc>
          <w:tcPr>
            <w:tcW w:w="4536" w:type="dxa"/>
          </w:tcPr>
          <w:p w14:paraId="5B55B97B" w14:textId="77777777" w:rsidR="008224C4" w:rsidRPr="001E7A79" w:rsidRDefault="008224C4" w:rsidP="000B1E81">
            <w:pPr>
              <w:pStyle w:val="Signed"/>
              <w:rPr>
                <w:color w:val="auto"/>
              </w:rPr>
            </w:pPr>
            <w:r w:rsidRPr="001E7A79">
              <w:rPr>
                <w:rStyle w:val="SignedBold"/>
                <w:color w:val="auto"/>
              </w:rPr>
              <w:t>Signed</w:t>
            </w:r>
            <w:r w:rsidRPr="001E7A79">
              <w:rPr>
                <w:i w:val="0"/>
                <w:color w:val="auto"/>
              </w:rPr>
              <w:t xml:space="preserve"> </w:t>
            </w:r>
            <w:r w:rsidRPr="001E7A79">
              <w:rPr>
                <w:color w:val="auto"/>
              </w:rPr>
              <w:t>for and on behalf of the Northern Territory by</w:t>
            </w:r>
          </w:p>
          <w:p w14:paraId="5B55B97C" w14:textId="77777777" w:rsidR="008224C4" w:rsidRPr="001E7A79" w:rsidRDefault="008224C4" w:rsidP="000B1E81">
            <w:pPr>
              <w:pStyle w:val="LineForSignature"/>
              <w:rPr>
                <w:color w:val="auto"/>
                <w:lang w:val="en-AU"/>
              </w:rPr>
            </w:pPr>
            <w:r w:rsidRPr="001E7A79">
              <w:rPr>
                <w:color w:val="auto"/>
                <w:lang w:val="en-AU"/>
              </w:rPr>
              <w:tab/>
            </w:r>
          </w:p>
          <w:p w14:paraId="5B55B97D" w14:textId="77777777" w:rsidR="008224C4" w:rsidRPr="001E7A79" w:rsidRDefault="008224C4" w:rsidP="000B1E81">
            <w:pPr>
              <w:pStyle w:val="SingleParagraph"/>
              <w:rPr>
                <w:rStyle w:val="Bold"/>
                <w:color w:val="auto"/>
              </w:rPr>
            </w:pPr>
            <w:r w:rsidRPr="001E7A79">
              <w:rPr>
                <w:rStyle w:val="Bold"/>
                <w:color w:val="auto"/>
              </w:rPr>
              <w:t xml:space="preserve">The Honourable </w:t>
            </w:r>
            <w:r w:rsidRPr="000B5034">
              <w:rPr>
                <w:rStyle w:val="Bold"/>
                <w:color w:val="auto"/>
              </w:rPr>
              <w:t xml:space="preserve">Joel Bowden </w:t>
            </w:r>
            <w:r w:rsidRPr="001E7A79">
              <w:rPr>
                <w:rStyle w:val="Bold"/>
                <w:color w:val="auto"/>
              </w:rPr>
              <w:t>MLA</w:t>
            </w:r>
          </w:p>
          <w:p w14:paraId="5B55B97E" w14:textId="77777777" w:rsidR="008224C4" w:rsidRPr="001E7A79" w:rsidRDefault="008224C4" w:rsidP="000B1E81">
            <w:pPr>
              <w:pStyle w:val="Position"/>
              <w:rPr>
                <w:color w:val="auto"/>
              </w:rPr>
            </w:pPr>
            <w:r w:rsidRPr="001E7A79">
              <w:rPr>
                <w:color w:val="auto"/>
              </w:rPr>
              <w:t xml:space="preserve">Minister for </w:t>
            </w:r>
            <w:r w:rsidRPr="0032348A">
              <w:rPr>
                <w:color w:val="auto"/>
              </w:rPr>
              <w:t>Infrastructure, Planning and Logistics</w:t>
            </w:r>
            <w:r w:rsidRPr="001E7A79">
              <w:rPr>
                <w:color w:val="auto"/>
              </w:rPr>
              <w:t xml:space="preserve"> </w:t>
            </w:r>
          </w:p>
          <w:p w14:paraId="5B55B97F" w14:textId="77777777" w:rsidR="008224C4" w:rsidRPr="001E7A79" w:rsidRDefault="008224C4" w:rsidP="000B1E81">
            <w:pPr>
              <w:rPr>
                <w:rFonts w:ascii="Book Antiqua" w:hAnsi="Book Antiqua"/>
                <w:lang w:val="en-AU"/>
              </w:rPr>
            </w:pPr>
            <w:r w:rsidRPr="001E7A79">
              <w:rPr>
                <w:lang w:val="en-AU"/>
              </w:rPr>
              <w:t>[Day]  [Month]  [Year]</w:t>
            </w:r>
          </w:p>
        </w:tc>
      </w:tr>
    </w:tbl>
    <w:p w14:paraId="5B55B981" w14:textId="77777777" w:rsidR="00205899" w:rsidRPr="001E7A79" w:rsidRDefault="00205899" w:rsidP="008224C4">
      <w:pPr>
        <w:widowControl/>
        <w:spacing w:after="160" w:line="259" w:lineRule="auto"/>
        <w:rPr>
          <w:lang w:val="en-AU"/>
        </w:rPr>
      </w:pPr>
    </w:p>
    <w:sectPr w:rsidR="00205899" w:rsidRPr="001E7A79" w:rsidSect="00795B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5B985" w14:textId="77777777" w:rsidR="00A33DEA" w:rsidRDefault="00A33DEA">
      <w:r>
        <w:separator/>
      </w:r>
    </w:p>
  </w:endnote>
  <w:endnote w:type="continuationSeparator" w:id="0">
    <w:p w14:paraId="5B55B986" w14:textId="77777777" w:rsidR="00A33DEA" w:rsidRDefault="00A33DEA">
      <w:r>
        <w:continuationSeparator/>
      </w:r>
    </w:p>
  </w:endnote>
  <w:endnote w:type="continuationNotice" w:id="1">
    <w:p w14:paraId="5B55B987" w14:textId="77777777" w:rsidR="00A33DEA" w:rsidRDefault="00A3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A" w14:textId="77777777" w:rsidR="00A33DEA" w:rsidRDefault="00A33DEA">
    <w:pPr>
      <w:pStyle w:val="FooterEven"/>
    </w:pPr>
    <w:r>
      <w:t>Page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340874"/>
      <w:docPartObj>
        <w:docPartGallery w:val="Page Numbers (Bottom of Page)"/>
        <w:docPartUnique/>
      </w:docPartObj>
    </w:sdtPr>
    <w:sdtEndPr>
      <w:rPr>
        <w:noProof/>
      </w:rPr>
    </w:sdtEndPr>
    <w:sdtContent>
      <w:p w14:paraId="5B55B98B" w14:textId="77777777" w:rsidR="00A33DEA" w:rsidRDefault="00A33D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55B98C" w14:textId="77777777" w:rsidR="00A33DEA" w:rsidRDefault="00A33DEA" w:rsidP="00A3429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E" w14:textId="77777777" w:rsidR="00A33DEA" w:rsidRPr="00BE249A" w:rsidRDefault="00F67B06" w:rsidP="00A34292">
    <w:pPr>
      <w:pStyle w:val="Footer"/>
      <w:jc w:val="right"/>
    </w:pPr>
    <w:sdt>
      <w:sdtPr>
        <w:id w:val="166610679"/>
        <w:docPartObj>
          <w:docPartGallery w:val="Page Numbers (Top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5B982" w14:textId="77777777" w:rsidR="00A33DEA" w:rsidRDefault="00A33DEA">
      <w:r>
        <w:separator/>
      </w:r>
    </w:p>
  </w:footnote>
  <w:footnote w:type="continuationSeparator" w:id="0">
    <w:p w14:paraId="5B55B983" w14:textId="77777777" w:rsidR="00A33DEA" w:rsidRDefault="00A33DEA">
      <w:r>
        <w:continuationSeparator/>
      </w:r>
    </w:p>
  </w:footnote>
  <w:footnote w:type="continuationNotice" w:id="1">
    <w:p w14:paraId="5B55B984" w14:textId="77777777" w:rsidR="00A33DEA" w:rsidRDefault="00A33DEA"/>
  </w:footnote>
  <w:footnote w:id="2">
    <w:p w14:paraId="5B55B998"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3">
    <w:p w14:paraId="5B55B999"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4">
    <w:p w14:paraId="5B55B99A"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5">
    <w:p w14:paraId="5B55B99B"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6">
    <w:p w14:paraId="5B55B99C"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7">
    <w:p w14:paraId="5B55B99D"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8">
    <w:p w14:paraId="5B55B99E"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9">
    <w:p w14:paraId="5B55B99F" w14:textId="77777777" w:rsidR="00A33DEA" w:rsidRPr="002D58D1" w:rsidRDefault="00A33DEA">
      <w:pPr>
        <w:pStyle w:val="FootnoteText"/>
        <w:rPr>
          <w:lang w:val="en-US"/>
        </w:rPr>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10">
    <w:p w14:paraId="5B55B9A0"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11">
    <w:p w14:paraId="5B55B9A1"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12">
    <w:p w14:paraId="5B55B9A2"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13">
    <w:p w14:paraId="5B55B9A3"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14">
    <w:p w14:paraId="5B55B9A4"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15">
    <w:p w14:paraId="5B55B9A5"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 w:id="16">
    <w:p w14:paraId="5B55B9A6" w14:textId="77777777" w:rsidR="00A33DEA" w:rsidRPr="0042708C" w:rsidRDefault="00A33DEA" w:rsidP="00993AEE">
      <w:pPr>
        <w:pStyle w:val="FootnoteText"/>
        <w:rPr>
          <w:lang w:val="en-US"/>
        </w:rPr>
      </w:pPr>
      <w:r>
        <w:rPr>
          <w:rStyle w:val="FootnoteReference"/>
        </w:rPr>
        <w:footnoteRef/>
      </w:r>
      <w:r>
        <w:t xml:space="preserve"> Non-tier 1 engaged under </w:t>
      </w:r>
      <w:r>
        <w:rPr>
          <w:lang w:val="en-US"/>
        </w:rPr>
        <w:t>consortia arrangements should be reported (value apportioned) under non-tier 1.</w:t>
      </w:r>
    </w:p>
  </w:footnote>
  <w:footnote w:id="17">
    <w:p w14:paraId="5B55B9A7" w14:textId="77777777" w:rsidR="00A33DEA" w:rsidRDefault="00A33DEA">
      <w:pPr>
        <w:pStyle w:val="FootnoteText"/>
      </w:pPr>
      <w:r>
        <w:rPr>
          <w:rStyle w:val="FootnoteReference"/>
        </w:rPr>
        <w:footnoteRef/>
      </w:r>
      <w:r>
        <w:t xml:space="preserve"> </w:t>
      </w:r>
      <w:r w:rsidRPr="001A4032">
        <w:rPr>
          <w:sz w:val="18"/>
          <w:szCs w:val="18"/>
        </w:rPr>
        <w:t xml:space="preserve">The benefits of using recycled content need to be weighed against the emissions related to transporting these materials. In </w:t>
      </w:r>
      <w:r>
        <w:rPr>
          <w:sz w:val="18"/>
          <w:szCs w:val="18"/>
        </w:rPr>
        <w:t>areas</w:t>
      </w:r>
      <w:r w:rsidRPr="001A4032">
        <w:rPr>
          <w:sz w:val="18"/>
          <w:szCs w:val="18"/>
        </w:rPr>
        <w:t xml:space="preserve"> </w:t>
      </w:r>
      <w:r>
        <w:rPr>
          <w:sz w:val="18"/>
          <w:szCs w:val="18"/>
        </w:rPr>
        <w:t>where there is</w:t>
      </w:r>
      <w:r w:rsidRPr="001A4032">
        <w:rPr>
          <w:sz w:val="18"/>
          <w:szCs w:val="18"/>
        </w:rPr>
        <w:t xml:space="preserve"> limited access to recycled materials, the emissions associated with transporting recycled materials over long distances may negate the benefits of using these materials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8" w14:textId="41AA9353" w:rsidR="00A33DEA" w:rsidRDefault="00A3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9" w14:textId="47E2ACCC" w:rsidR="00A33DEA" w:rsidRPr="003351A4" w:rsidRDefault="00A33DEA" w:rsidP="00A34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D" w14:textId="7C938036" w:rsidR="00A33DEA" w:rsidRDefault="00A33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8F" w14:textId="0797E06E" w:rsidR="00A33DEA" w:rsidRDefault="00A33D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90" w14:textId="68899534" w:rsidR="00A33DEA" w:rsidRDefault="00A33DEA" w:rsidP="007B4341">
    <w:pPr>
      <w:pStyle w:val="HeaderOdd"/>
      <w:tabs>
        <w:tab w:val="left" w:pos="498"/>
        <w:tab w:val="num" w:pos="1134"/>
        <w:tab w:val="right" w:pos="10466"/>
      </w:tabs>
      <w:spacing w:after="120"/>
      <w:jc w:val="left"/>
      <w:rPr>
        <w:color w:val="800000"/>
        <w:sz w:val="22"/>
        <w:szCs w:val="22"/>
      </w:rPr>
    </w:pPr>
    <w:r>
      <w:rPr>
        <w:color w:val="800000"/>
        <w:sz w:val="22"/>
        <w:szCs w:val="22"/>
      </w:rPr>
      <w:tab/>
    </w:r>
    <w:r>
      <w:rPr>
        <w:color w:val="800000"/>
        <w:sz w:val="22"/>
        <w:szCs w:val="22"/>
      </w:rPr>
      <w:tab/>
    </w:r>
    <w:r>
      <w:rPr>
        <w:color w:val="800000"/>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B991" w14:textId="5E0BD930" w:rsidR="00A33DEA" w:rsidRPr="00BD75FF" w:rsidRDefault="00A33DEA" w:rsidP="00A34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B7CAA"/>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EE238CC"/>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170761"/>
    <w:multiLevelType w:val="hybridMultilevel"/>
    <w:tmpl w:val="8D14C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2325E"/>
    <w:multiLevelType w:val="hybridMultilevel"/>
    <w:tmpl w:val="FEE8A16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 w15:restartNumberingAfterBreak="0">
    <w:nsid w:val="1B7A3E73"/>
    <w:multiLevelType w:val="hybridMultilevel"/>
    <w:tmpl w:val="69AAFA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770A53"/>
    <w:multiLevelType w:val="hybridMultilevel"/>
    <w:tmpl w:val="959C1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D317B"/>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B555F27"/>
    <w:multiLevelType w:val="hybridMultilevel"/>
    <w:tmpl w:val="6EECF5A8"/>
    <w:lvl w:ilvl="0" w:tplc="82300AC4">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CF22D2"/>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81462C6"/>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25D0AD0"/>
    <w:multiLevelType w:val="hybridMultilevel"/>
    <w:tmpl w:val="56E2A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E3A2C"/>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2A83BE9"/>
    <w:multiLevelType w:val="hybridMultilevel"/>
    <w:tmpl w:val="168406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9A684C"/>
    <w:multiLevelType w:val="hybridMultilevel"/>
    <w:tmpl w:val="FCF6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B934F7"/>
    <w:multiLevelType w:val="hybridMultilevel"/>
    <w:tmpl w:val="0DA27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4F3C0B"/>
    <w:multiLevelType w:val="hybridMultilevel"/>
    <w:tmpl w:val="ECD437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CA355E"/>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9D33D8A"/>
    <w:multiLevelType w:val="hybridMultilevel"/>
    <w:tmpl w:val="2F10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544C0"/>
    <w:multiLevelType w:val="hybridMultilevel"/>
    <w:tmpl w:val="9F78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C11894"/>
    <w:multiLevelType w:val="hybridMultilevel"/>
    <w:tmpl w:val="45EA9C4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355521"/>
    <w:multiLevelType w:val="hybridMultilevel"/>
    <w:tmpl w:val="1742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2"/>
  </w:num>
  <w:num w:numId="2">
    <w:abstractNumId w:val="5"/>
  </w:num>
  <w:num w:numId="3">
    <w:abstractNumId w:val="4"/>
  </w:num>
  <w:num w:numId="4">
    <w:abstractNumId w:val="15"/>
  </w:num>
  <w:num w:numId="5">
    <w:abstractNumId w:val="13"/>
  </w:num>
  <w:num w:numId="6">
    <w:abstractNumId w:val="20"/>
  </w:num>
  <w:num w:numId="7">
    <w:abstractNumId w:val="9"/>
  </w:num>
  <w:num w:numId="8">
    <w:abstractNumId w:val="0"/>
  </w:num>
  <w:num w:numId="9">
    <w:abstractNumId w:val="17"/>
  </w:num>
  <w:num w:numId="10">
    <w:abstractNumId w:val="1"/>
  </w:num>
  <w:num w:numId="11">
    <w:abstractNumId w:val="7"/>
  </w:num>
  <w:num w:numId="12">
    <w:abstractNumId w:val="12"/>
  </w:num>
  <w:num w:numId="13">
    <w:abstractNumId w:val="10"/>
  </w:num>
  <w:num w:numId="14">
    <w:abstractNumId w:val="3"/>
  </w:num>
  <w:num w:numId="15">
    <w:abstractNumId w:val="2"/>
  </w:num>
  <w:num w:numId="16">
    <w:abstractNumId w:val="18"/>
  </w:num>
  <w:num w:numId="17">
    <w:abstractNumId w:val="6"/>
  </w:num>
  <w:num w:numId="18">
    <w:abstractNumId w:val="11"/>
  </w:num>
  <w:num w:numId="19">
    <w:abstractNumId w:val="21"/>
  </w:num>
  <w:num w:numId="20">
    <w:abstractNumId w:val="16"/>
  </w:num>
  <w:num w:numId="21">
    <w:abstractNumId w:val="19"/>
  </w:num>
  <w:num w:numId="22">
    <w:abstractNumId w:val="14"/>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AU"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0169"/>
    <w:rsid w:val="000009DB"/>
    <w:rsid w:val="00003227"/>
    <w:rsid w:val="000050A2"/>
    <w:rsid w:val="0000694D"/>
    <w:rsid w:val="00007466"/>
    <w:rsid w:val="000074BE"/>
    <w:rsid w:val="00013DEA"/>
    <w:rsid w:val="00016BD9"/>
    <w:rsid w:val="00024E36"/>
    <w:rsid w:val="00030173"/>
    <w:rsid w:val="00031246"/>
    <w:rsid w:val="000327D6"/>
    <w:rsid w:val="00033E6B"/>
    <w:rsid w:val="0003562D"/>
    <w:rsid w:val="00035E3F"/>
    <w:rsid w:val="00037073"/>
    <w:rsid w:val="000372D5"/>
    <w:rsid w:val="0004129C"/>
    <w:rsid w:val="00041BEB"/>
    <w:rsid w:val="000431E6"/>
    <w:rsid w:val="00043996"/>
    <w:rsid w:val="00045717"/>
    <w:rsid w:val="00047143"/>
    <w:rsid w:val="00047E80"/>
    <w:rsid w:val="00050D78"/>
    <w:rsid w:val="00052D96"/>
    <w:rsid w:val="000541AA"/>
    <w:rsid w:val="00055AA4"/>
    <w:rsid w:val="00055ADA"/>
    <w:rsid w:val="0005669E"/>
    <w:rsid w:val="0006087D"/>
    <w:rsid w:val="000624A5"/>
    <w:rsid w:val="000645E6"/>
    <w:rsid w:val="00071880"/>
    <w:rsid w:val="0007212F"/>
    <w:rsid w:val="00076A78"/>
    <w:rsid w:val="00076E27"/>
    <w:rsid w:val="00080AF2"/>
    <w:rsid w:val="00080B58"/>
    <w:rsid w:val="000820D0"/>
    <w:rsid w:val="00082718"/>
    <w:rsid w:val="00083573"/>
    <w:rsid w:val="00084D3F"/>
    <w:rsid w:val="00090601"/>
    <w:rsid w:val="000944FD"/>
    <w:rsid w:val="00094FD6"/>
    <w:rsid w:val="000951D0"/>
    <w:rsid w:val="000A057D"/>
    <w:rsid w:val="000A11FD"/>
    <w:rsid w:val="000A444E"/>
    <w:rsid w:val="000B1E81"/>
    <w:rsid w:val="000B2408"/>
    <w:rsid w:val="000B2CC3"/>
    <w:rsid w:val="000B2D9A"/>
    <w:rsid w:val="000B359A"/>
    <w:rsid w:val="000B4512"/>
    <w:rsid w:val="000B687B"/>
    <w:rsid w:val="000B6C72"/>
    <w:rsid w:val="000C07D0"/>
    <w:rsid w:val="000C11A7"/>
    <w:rsid w:val="000C2B57"/>
    <w:rsid w:val="000C2C98"/>
    <w:rsid w:val="000C2F07"/>
    <w:rsid w:val="000C3045"/>
    <w:rsid w:val="000C3B3F"/>
    <w:rsid w:val="000C3E7C"/>
    <w:rsid w:val="000C6FC4"/>
    <w:rsid w:val="000D26A7"/>
    <w:rsid w:val="000D57C8"/>
    <w:rsid w:val="000D7E44"/>
    <w:rsid w:val="000E1F70"/>
    <w:rsid w:val="000E5B59"/>
    <w:rsid w:val="000E5DBA"/>
    <w:rsid w:val="000E658D"/>
    <w:rsid w:val="000E65F4"/>
    <w:rsid w:val="000E6BD3"/>
    <w:rsid w:val="000F034A"/>
    <w:rsid w:val="000F076C"/>
    <w:rsid w:val="000F11BB"/>
    <w:rsid w:val="000F20BE"/>
    <w:rsid w:val="000F4169"/>
    <w:rsid w:val="000F4995"/>
    <w:rsid w:val="000F6673"/>
    <w:rsid w:val="000F669E"/>
    <w:rsid w:val="00100CB2"/>
    <w:rsid w:val="00103150"/>
    <w:rsid w:val="001047C9"/>
    <w:rsid w:val="00111CD7"/>
    <w:rsid w:val="0011589A"/>
    <w:rsid w:val="00117187"/>
    <w:rsid w:val="00117CB2"/>
    <w:rsid w:val="00120320"/>
    <w:rsid w:val="001222BD"/>
    <w:rsid w:val="00123293"/>
    <w:rsid w:val="00123BD3"/>
    <w:rsid w:val="00125340"/>
    <w:rsid w:val="00126676"/>
    <w:rsid w:val="00127A29"/>
    <w:rsid w:val="00127AB5"/>
    <w:rsid w:val="001341A9"/>
    <w:rsid w:val="00134EB4"/>
    <w:rsid w:val="00135014"/>
    <w:rsid w:val="0013545E"/>
    <w:rsid w:val="00135BB6"/>
    <w:rsid w:val="001360E7"/>
    <w:rsid w:val="001415A5"/>
    <w:rsid w:val="00151E34"/>
    <w:rsid w:val="00153C39"/>
    <w:rsid w:val="00154897"/>
    <w:rsid w:val="0015602B"/>
    <w:rsid w:val="00161447"/>
    <w:rsid w:val="00161769"/>
    <w:rsid w:val="0016345D"/>
    <w:rsid w:val="0016400E"/>
    <w:rsid w:val="001641E8"/>
    <w:rsid w:val="00165369"/>
    <w:rsid w:val="001718E3"/>
    <w:rsid w:val="00172CFE"/>
    <w:rsid w:val="00175449"/>
    <w:rsid w:val="00176914"/>
    <w:rsid w:val="0018090F"/>
    <w:rsid w:val="001813A0"/>
    <w:rsid w:val="001825B9"/>
    <w:rsid w:val="0018493F"/>
    <w:rsid w:val="0018752B"/>
    <w:rsid w:val="00187FF1"/>
    <w:rsid w:val="00191792"/>
    <w:rsid w:val="00191FBC"/>
    <w:rsid w:val="00192291"/>
    <w:rsid w:val="00193BE4"/>
    <w:rsid w:val="00197E4B"/>
    <w:rsid w:val="001A0D89"/>
    <w:rsid w:val="001A30D0"/>
    <w:rsid w:val="001A48FF"/>
    <w:rsid w:val="001A4FBB"/>
    <w:rsid w:val="001A5074"/>
    <w:rsid w:val="001A6C93"/>
    <w:rsid w:val="001B2E0C"/>
    <w:rsid w:val="001B3D9E"/>
    <w:rsid w:val="001B3E11"/>
    <w:rsid w:val="001B62ED"/>
    <w:rsid w:val="001B6D03"/>
    <w:rsid w:val="001C39F3"/>
    <w:rsid w:val="001C4103"/>
    <w:rsid w:val="001C5149"/>
    <w:rsid w:val="001C616C"/>
    <w:rsid w:val="001C7E4F"/>
    <w:rsid w:val="001D0697"/>
    <w:rsid w:val="001D0719"/>
    <w:rsid w:val="001D3A26"/>
    <w:rsid w:val="001D40F5"/>
    <w:rsid w:val="001D62CD"/>
    <w:rsid w:val="001D6A33"/>
    <w:rsid w:val="001D6E72"/>
    <w:rsid w:val="001D74BD"/>
    <w:rsid w:val="001D7667"/>
    <w:rsid w:val="001E3B29"/>
    <w:rsid w:val="001E4176"/>
    <w:rsid w:val="001E6767"/>
    <w:rsid w:val="001E7A79"/>
    <w:rsid w:val="001F4AD9"/>
    <w:rsid w:val="001F5875"/>
    <w:rsid w:val="001F5C2E"/>
    <w:rsid w:val="001F7F17"/>
    <w:rsid w:val="002014FD"/>
    <w:rsid w:val="00202D46"/>
    <w:rsid w:val="00203229"/>
    <w:rsid w:val="002057D1"/>
    <w:rsid w:val="00205899"/>
    <w:rsid w:val="00207D73"/>
    <w:rsid w:val="00210C6B"/>
    <w:rsid w:val="0021118B"/>
    <w:rsid w:val="002113C9"/>
    <w:rsid w:val="00216ACB"/>
    <w:rsid w:val="002232CF"/>
    <w:rsid w:val="00224183"/>
    <w:rsid w:val="002245AE"/>
    <w:rsid w:val="00224F70"/>
    <w:rsid w:val="00226599"/>
    <w:rsid w:val="00233673"/>
    <w:rsid w:val="00235116"/>
    <w:rsid w:val="00235836"/>
    <w:rsid w:val="002375CA"/>
    <w:rsid w:val="00240B37"/>
    <w:rsid w:val="00241A87"/>
    <w:rsid w:val="0024285A"/>
    <w:rsid w:val="00245ABB"/>
    <w:rsid w:val="002462C4"/>
    <w:rsid w:val="002477C4"/>
    <w:rsid w:val="00247B3A"/>
    <w:rsid w:val="00247B84"/>
    <w:rsid w:val="00250C38"/>
    <w:rsid w:val="00252C7F"/>
    <w:rsid w:val="00253F73"/>
    <w:rsid w:val="00253FCE"/>
    <w:rsid w:val="00254D45"/>
    <w:rsid w:val="002571E2"/>
    <w:rsid w:val="002653B1"/>
    <w:rsid w:val="00270DB1"/>
    <w:rsid w:val="0027380F"/>
    <w:rsid w:val="00274490"/>
    <w:rsid w:val="00275B21"/>
    <w:rsid w:val="00276277"/>
    <w:rsid w:val="00276D41"/>
    <w:rsid w:val="00281814"/>
    <w:rsid w:val="00290502"/>
    <w:rsid w:val="002906BD"/>
    <w:rsid w:val="002921EC"/>
    <w:rsid w:val="00292A46"/>
    <w:rsid w:val="002933AE"/>
    <w:rsid w:val="002940F3"/>
    <w:rsid w:val="00294329"/>
    <w:rsid w:val="00297E65"/>
    <w:rsid w:val="002A348F"/>
    <w:rsid w:val="002A43B4"/>
    <w:rsid w:val="002A5DDA"/>
    <w:rsid w:val="002A6016"/>
    <w:rsid w:val="002B29F2"/>
    <w:rsid w:val="002B2C3F"/>
    <w:rsid w:val="002B7A8C"/>
    <w:rsid w:val="002C0539"/>
    <w:rsid w:val="002C09D8"/>
    <w:rsid w:val="002C27A7"/>
    <w:rsid w:val="002C4DAA"/>
    <w:rsid w:val="002C55E6"/>
    <w:rsid w:val="002C7EC9"/>
    <w:rsid w:val="002D2A67"/>
    <w:rsid w:val="002D58D1"/>
    <w:rsid w:val="002D6CED"/>
    <w:rsid w:val="002D718A"/>
    <w:rsid w:val="002E290A"/>
    <w:rsid w:val="002E31C8"/>
    <w:rsid w:val="002E3EB6"/>
    <w:rsid w:val="002E60FF"/>
    <w:rsid w:val="002E6822"/>
    <w:rsid w:val="002F2712"/>
    <w:rsid w:val="002F2A84"/>
    <w:rsid w:val="002F534A"/>
    <w:rsid w:val="002F6F27"/>
    <w:rsid w:val="00300173"/>
    <w:rsid w:val="00301186"/>
    <w:rsid w:val="003019FE"/>
    <w:rsid w:val="003024B8"/>
    <w:rsid w:val="0030396F"/>
    <w:rsid w:val="00303A1D"/>
    <w:rsid w:val="00304897"/>
    <w:rsid w:val="00305F3E"/>
    <w:rsid w:val="00314E22"/>
    <w:rsid w:val="00314E41"/>
    <w:rsid w:val="00320441"/>
    <w:rsid w:val="003272A2"/>
    <w:rsid w:val="00327748"/>
    <w:rsid w:val="003277E2"/>
    <w:rsid w:val="00327B9E"/>
    <w:rsid w:val="00330F6F"/>
    <w:rsid w:val="003314B7"/>
    <w:rsid w:val="003371DF"/>
    <w:rsid w:val="00337EB6"/>
    <w:rsid w:val="00340511"/>
    <w:rsid w:val="00340847"/>
    <w:rsid w:val="00342E15"/>
    <w:rsid w:val="003433DE"/>
    <w:rsid w:val="0034357D"/>
    <w:rsid w:val="00345D2D"/>
    <w:rsid w:val="00346002"/>
    <w:rsid w:val="00346417"/>
    <w:rsid w:val="0034656E"/>
    <w:rsid w:val="00347513"/>
    <w:rsid w:val="003545F1"/>
    <w:rsid w:val="00355012"/>
    <w:rsid w:val="0035771E"/>
    <w:rsid w:val="00364956"/>
    <w:rsid w:val="00364967"/>
    <w:rsid w:val="003678C6"/>
    <w:rsid w:val="00370084"/>
    <w:rsid w:val="00370750"/>
    <w:rsid w:val="003707A3"/>
    <w:rsid w:val="003707EE"/>
    <w:rsid w:val="0037134C"/>
    <w:rsid w:val="00372305"/>
    <w:rsid w:val="003739F1"/>
    <w:rsid w:val="0037575D"/>
    <w:rsid w:val="00381DA1"/>
    <w:rsid w:val="00383374"/>
    <w:rsid w:val="00385B2B"/>
    <w:rsid w:val="00387F78"/>
    <w:rsid w:val="00390EE3"/>
    <w:rsid w:val="00392955"/>
    <w:rsid w:val="00393B3F"/>
    <w:rsid w:val="00396665"/>
    <w:rsid w:val="0039708F"/>
    <w:rsid w:val="003A292D"/>
    <w:rsid w:val="003A3491"/>
    <w:rsid w:val="003A36CD"/>
    <w:rsid w:val="003A4760"/>
    <w:rsid w:val="003A6184"/>
    <w:rsid w:val="003A7569"/>
    <w:rsid w:val="003B078F"/>
    <w:rsid w:val="003B1FC7"/>
    <w:rsid w:val="003B2198"/>
    <w:rsid w:val="003B2AEF"/>
    <w:rsid w:val="003C0E6D"/>
    <w:rsid w:val="003C1E57"/>
    <w:rsid w:val="003C1FED"/>
    <w:rsid w:val="003C2914"/>
    <w:rsid w:val="003C32A5"/>
    <w:rsid w:val="003C72D6"/>
    <w:rsid w:val="003D3922"/>
    <w:rsid w:val="003D545C"/>
    <w:rsid w:val="003D5938"/>
    <w:rsid w:val="003D7C3F"/>
    <w:rsid w:val="003E5173"/>
    <w:rsid w:val="003E690E"/>
    <w:rsid w:val="003E6A5C"/>
    <w:rsid w:val="003E76D7"/>
    <w:rsid w:val="003F0066"/>
    <w:rsid w:val="003F2F81"/>
    <w:rsid w:val="003F54A7"/>
    <w:rsid w:val="003F7104"/>
    <w:rsid w:val="003F79B2"/>
    <w:rsid w:val="003F7EB9"/>
    <w:rsid w:val="00400607"/>
    <w:rsid w:val="00400F3B"/>
    <w:rsid w:val="0040102F"/>
    <w:rsid w:val="004029E9"/>
    <w:rsid w:val="004037A6"/>
    <w:rsid w:val="0040390A"/>
    <w:rsid w:val="004109A2"/>
    <w:rsid w:val="004116FA"/>
    <w:rsid w:val="00411D1B"/>
    <w:rsid w:val="00412F32"/>
    <w:rsid w:val="0041630C"/>
    <w:rsid w:val="00417542"/>
    <w:rsid w:val="00417E0E"/>
    <w:rsid w:val="00417E64"/>
    <w:rsid w:val="00420BD1"/>
    <w:rsid w:val="00420DC9"/>
    <w:rsid w:val="00420FD8"/>
    <w:rsid w:val="004221FA"/>
    <w:rsid w:val="004254A2"/>
    <w:rsid w:val="004276D6"/>
    <w:rsid w:val="004308B5"/>
    <w:rsid w:val="00430F88"/>
    <w:rsid w:val="00431DD7"/>
    <w:rsid w:val="0043258F"/>
    <w:rsid w:val="00432CF1"/>
    <w:rsid w:val="004335B0"/>
    <w:rsid w:val="0043361A"/>
    <w:rsid w:val="00435BFE"/>
    <w:rsid w:val="00436E6E"/>
    <w:rsid w:val="004436EE"/>
    <w:rsid w:val="00445A75"/>
    <w:rsid w:val="00445ED6"/>
    <w:rsid w:val="00446A6F"/>
    <w:rsid w:val="0045037D"/>
    <w:rsid w:val="00450DCD"/>
    <w:rsid w:val="00452B5D"/>
    <w:rsid w:val="00460F1D"/>
    <w:rsid w:val="00462E28"/>
    <w:rsid w:val="00463796"/>
    <w:rsid w:val="00463FC0"/>
    <w:rsid w:val="004643D3"/>
    <w:rsid w:val="00465E8B"/>
    <w:rsid w:val="0046619C"/>
    <w:rsid w:val="0046623D"/>
    <w:rsid w:val="0046666A"/>
    <w:rsid w:val="00470363"/>
    <w:rsid w:val="00470BF1"/>
    <w:rsid w:val="004743FF"/>
    <w:rsid w:val="004825EC"/>
    <w:rsid w:val="00486682"/>
    <w:rsid w:val="00486EA9"/>
    <w:rsid w:val="00487100"/>
    <w:rsid w:val="00491703"/>
    <w:rsid w:val="00494DC5"/>
    <w:rsid w:val="00495070"/>
    <w:rsid w:val="004961C1"/>
    <w:rsid w:val="00497642"/>
    <w:rsid w:val="004A215B"/>
    <w:rsid w:val="004A3A31"/>
    <w:rsid w:val="004A41DD"/>
    <w:rsid w:val="004A4BDC"/>
    <w:rsid w:val="004A748C"/>
    <w:rsid w:val="004A7513"/>
    <w:rsid w:val="004A780C"/>
    <w:rsid w:val="004B114E"/>
    <w:rsid w:val="004B3314"/>
    <w:rsid w:val="004B6879"/>
    <w:rsid w:val="004C1309"/>
    <w:rsid w:val="004C3545"/>
    <w:rsid w:val="004C4E70"/>
    <w:rsid w:val="004C6C00"/>
    <w:rsid w:val="004C79F6"/>
    <w:rsid w:val="004D04F9"/>
    <w:rsid w:val="004D2E86"/>
    <w:rsid w:val="004D3E30"/>
    <w:rsid w:val="004D52F4"/>
    <w:rsid w:val="004E1EA8"/>
    <w:rsid w:val="004E3F46"/>
    <w:rsid w:val="004F1452"/>
    <w:rsid w:val="004F5843"/>
    <w:rsid w:val="004F7971"/>
    <w:rsid w:val="005002E7"/>
    <w:rsid w:val="00500AB1"/>
    <w:rsid w:val="00502FAA"/>
    <w:rsid w:val="00507B45"/>
    <w:rsid w:val="00507B8A"/>
    <w:rsid w:val="00507E37"/>
    <w:rsid w:val="00510563"/>
    <w:rsid w:val="0051580B"/>
    <w:rsid w:val="0052074D"/>
    <w:rsid w:val="00522BE3"/>
    <w:rsid w:val="00523FE0"/>
    <w:rsid w:val="00527801"/>
    <w:rsid w:val="00530B56"/>
    <w:rsid w:val="00531177"/>
    <w:rsid w:val="00535F81"/>
    <w:rsid w:val="00537D9C"/>
    <w:rsid w:val="00540B9D"/>
    <w:rsid w:val="00540EEC"/>
    <w:rsid w:val="00543CCB"/>
    <w:rsid w:val="00547096"/>
    <w:rsid w:val="00551D3A"/>
    <w:rsid w:val="00551F82"/>
    <w:rsid w:val="0055559D"/>
    <w:rsid w:val="00557CE9"/>
    <w:rsid w:val="005627A1"/>
    <w:rsid w:val="0056304E"/>
    <w:rsid w:val="00565771"/>
    <w:rsid w:val="00570F78"/>
    <w:rsid w:val="00573972"/>
    <w:rsid w:val="0058387F"/>
    <w:rsid w:val="00583F8D"/>
    <w:rsid w:val="0058523A"/>
    <w:rsid w:val="005907CC"/>
    <w:rsid w:val="00595BDC"/>
    <w:rsid w:val="00595C16"/>
    <w:rsid w:val="00596665"/>
    <w:rsid w:val="00596DC0"/>
    <w:rsid w:val="005A0F41"/>
    <w:rsid w:val="005A4102"/>
    <w:rsid w:val="005A592B"/>
    <w:rsid w:val="005B0B21"/>
    <w:rsid w:val="005B2980"/>
    <w:rsid w:val="005B2C3B"/>
    <w:rsid w:val="005B3338"/>
    <w:rsid w:val="005B67FF"/>
    <w:rsid w:val="005B7242"/>
    <w:rsid w:val="005B7DB5"/>
    <w:rsid w:val="005C3DC6"/>
    <w:rsid w:val="005C45A5"/>
    <w:rsid w:val="005D04CA"/>
    <w:rsid w:val="005D3EAB"/>
    <w:rsid w:val="005D43A5"/>
    <w:rsid w:val="005E0D7F"/>
    <w:rsid w:val="005E4820"/>
    <w:rsid w:val="005E4A56"/>
    <w:rsid w:val="005E632F"/>
    <w:rsid w:val="005F0E5C"/>
    <w:rsid w:val="005F14FF"/>
    <w:rsid w:val="005F1A0F"/>
    <w:rsid w:val="005F4251"/>
    <w:rsid w:val="005F77B6"/>
    <w:rsid w:val="005F7ACA"/>
    <w:rsid w:val="0060101A"/>
    <w:rsid w:val="006022F9"/>
    <w:rsid w:val="00604306"/>
    <w:rsid w:val="00604555"/>
    <w:rsid w:val="00604721"/>
    <w:rsid w:val="006056EB"/>
    <w:rsid w:val="00612158"/>
    <w:rsid w:val="00612A0A"/>
    <w:rsid w:val="00617021"/>
    <w:rsid w:val="006202C8"/>
    <w:rsid w:val="0062235A"/>
    <w:rsid w:val="00624C60"/>
    <w:rsid w:val="00625DE5"/>
    <w:rsid w:val="006266A5"/>
    <w:rsid w:val="00627707"/>
    <w:rsid w:val="00627D89"/>
    <w:rsid w:val="0063138F"/>
    <w:rsid w:val="00636EDF"/>
    <w:rsid w:val="00637A8C"/>
    <w:rsid w:val="00641CDD"/>
    <w:rsid w:val="006420AD"/>
    <w:rsid w:val="00642C18"/>
    <w:rsid w:val="00642CC8"/>
    <w:rsid w:val="00645CCC"/>
    <w:rsid w:val="006523A2"/>
    <w:rsid w:val="00654975"/>
    <w:rsid w:val="0065776F"/>
    <w:rsid w:val="00660018"/>
    <w:rsid w:val="00661B73"/>
    <w:rsid w:val="00667C54"/>
    <w:rsid w:val="006741E2"/>
    <w:rsid w:val="00675346"/>
    <w:rsid w:val="006757FB"/>
    <w:rsid w:val="006815B7"/>
    <w:rsid w:val="00682100"/>
    <w:rsid w:val="006834F8"/>
    <w:rsid w:val="0068543B"/>
    <w:rsid w:val="006919DA"/>
    <w:rsid w:val="006947C2"/>
    <w:rsid w:val="00694F20"/>
    <w:rsid w:val="00695948"/>
    <w:rsid w:val="00695B61"/>
    <w:rsid w:val="006A31CE"/>
    <w:rsid w:val="006A32C4"/>
    <w:rsid w:val="006A3F96"/>
    <w:rsid w:val="006A50E6"/>
    <w:rsid w:val="006B1C65"/>
    <w:rsid w:val="006B377C"/>
    <w:rsid w:val="006B3FBA"/>
    <w:rsid w:val="006B5F9F"/>
    <w:rsid w:val="006C02E9"/>
    <w:rsid w:val="006C4DAF"/>
    <w:rsid w:val="006C6424"/>
    <w:rsid w:val="006D4CE7"/>
    <w:rsid w:val="006D5AB1"/>
    <w:rsid w:val="006D72E8"/>
    <w:rsid w:val="006D7A5B"/>
    <w:rsid w:val="006D7F1B"/>
    <w:rsid w:val="006E0302"/>
    <w:rsid w:val="006E2844"/>
    <w:rsid w:val="006E6139"/>
    <w:rsid w:val="006F01F9"/>
    <w:rsid w:val="006F19C8"/>
    <w:rsid w:val="006F3389"/>
    <w:rsid w:val="006F39ED"/>
    <w:rsid w:val="006F3BC7"/>
    <w:rsid w:val="006F3C27"/>
    <w:rsid w:val="007008DD"/>
    <w:rsid w:val="00704713"/>
    <w:rsid w:val="00711D82"/>
    <w:rsid w:val="007158C5"/>
    <w:rsid w:val="0071634C"/>
    <w:rsid w:val="00721CA9"/>
    <w:rsid w:val="0072401D"/>
    <w:rsid w:val="00724063"/>
    <w:rsid w:val="007257FC"/>
    <w:rsid w:val="007321C3"/>
    <w:rsid w:val="0073633A"/>
    <w:rsid w:val="007365EA"/>
    <w:rsid w:val="00736AD3"/>
    <w:rsid w:val="00736E5F"/>
    <w:rsid w:val="0074122D"/>
    <w:rsid w:val="007422BB"/>
    <w:rsid w:val="00743199"/>
    <w:rsid w:val="007452B9"/>
    <w:rsid w:val="00745AFC"/>
    <w:rsid w:val="00746B64"/>
    <w:rsid w:val="00752C15"/>
    <w:rsid w:val="007531D7"/>
    <w:rsid w:val="00753C45"/>
    <w:rsid w:val="0075535B"/>
    <w:rsid w:val="00756596"/>
    <w:rsid w:val="0075776C"/>
    <w:rsid w:val="00766269"/>
    <w:rsid w:val="00767B99"/>
    <w:rsid w:val="00767EB8"/>
    <w:rsid w:val="00770D9F"/>
    <w:rsid w:val="007744EE"/>
    <w:rsid w:val="007748E9"/>
    <w:rsid w:val="007766A2"/>
    <w:rsid w:val="007819BA"/>
    <w:rsid w:val="00782785"/>
    <w:rsid w:val="00785E66"/>
    <w:rsid w:val="0078680A"/>
    <w:rsid w:val="007905B9"/>
    <w:rsid w:val="007913C9"/>
    <w:rsid w:val="00795B70"/>
    <w:rsid w:val="00796276"/>
    <w:rsid w:val="007A1365"/>
    <w:rsid w:val="007A4898"/>
    <w:rsid w:val="007A7E0A"/>
    <w:rsid w:val="007B0C41"/>
    <w:rsid w:val="007B1A5D"/>
    <w:rsid w:val="007B30E5"/>
    <w:rsid w:val="007B4341"/>
    <w:rsid w:val="007B43BB"/>
    <w:rsid w:val="007B60CA"/>
    <w:rsid w:val="007B7D61"/>
    <w:rsid w:val="007C01ED"/>
    <w:rsid w:val="007C184C"/>
    <w:rsid w:val="007C69E0"/>
    <w:rsid w:val="007C6B52"/>
    <w:rsid w:val="007D1EEE"/>
    <w:rsid w:val="007D2ADE"/>
    <w:rsid w:val="007D2FBB"/>
    <w:rsid w:val="007D4B53"/>
    <w:rsid w:val="007D69AC"/>
    <w:rsid w:val="007E0250"/>
    <w:rsid w:val="007E0B52"/>
    <w:rsid w:val="007E37D2"/>
    <w:rsid w:val="007F0A4A"/>
    <w:rsid w:val="007F1B3F"/>
    <w:rsid w:val="007F4609"/>
    <w:rsid w:val="007F6F78"/>
    <w:rsid w:val="00800907"/>
    <w:rsid w:val="00804584"/>
    <w:rsid w:val="008074B4"/>
    <w:rsid w:val="008101AA"/>
    <w:rsid w:val="008112E9"/>
    <w:rsid w:val="008116E5"/>
    <w:rsid w:val="008126DB"/>
    <w:rsid w:val="008158E1"/>
    <w:rsid w:val="008168ED"/>
    <w:rsid w:val="0081692C"/>
    <w:rsid w:val="00820B0F"/>
    <w:rsid w:val="0082228B"/>
    <w:rsid w:val="008224C4"/>
    <w:rsid w:val="00823194"/>
    <w:rsid w:val="008244F3"/>
    <w:rsid w:val="00825BCB"/>
    <w:rsid w:val="00825D31"/>
    <w:rsid w:val="00830D56"/>
    <w:rsid w:val="00834475"/>
    <w:rsid w:val="008354AC"/>
    <w:rsid w:val="00836520"/>
    <w:rsid w:val="00837346"/>
    <w:rsid w:val="00840DA7"/>
    <w:rsid w:val="008431DE"/>
    <w:rsid w:val="00843206"/>
    <w:rsid w:val="00845ED3"/>
    <w:rsid w:val="0085085B"/>
    <w:rsid w:val="00850B7C"/>
    <w:rsid w:val="00851A49"/>
    <w:rsid w:val="008527B1"/>
    <w:rsid w:val="00852E8D"/>
    <w:rsid w:val="008537AB"/>
    <w:rsid w:val="00854AB3"/>
    <w:rsid w:val="00855171"/>
    <w:rsid w:val="00856D27"/>
    <w:rsid w:val="008572B8"/>
    <w:rsid w:val="00860CAB"/>
    <w:rsid w:val="0086204E"/>
    <w:rsid w:val="00864A2D"/>
    <w:rsid w:val="00873D25"/>
    <w:rsid w:val="00875D48"/>
    <w:rsid w:val="0087680C"/>
    <w:rsid w:val="00880DB4"/>
    <w:rsid w:val="008866CB"/>
    <w:rsid w:val="0088694B"/>
    <w:rsid w:val="00886D86"/>
    <w:rsid w:val="00890F3E"/>
    <w:rsid w:val="008927CC"/>
    <w:rsid w:val="00894A85"/>
    <w:rsid w:val="00894E8E"/>
    <w:rsid w:val="008A25B5"/>
    <w:rsid w:val="008A2A8D"/>
    <w:rsid w:val="008A30A2"/>
    <w:rsid w:val="008A4E77"/>
    <w:rsid w:val="008A4FC1"/>
    <w:rsid w:val="008A6049"/>
    <w:rsid w:val="008B4864"/>
    <w:rsid w:val="008B52CE"/>
    <w:rsid w:val="008B5516"/>
    <w:rsid w:val="008C00CD"/>
    <w:rsid w:val="008C0839"/>
    <w:rsid w:val="008C2BE7"/>
    <w:rsid w:val="008C3905"/>
    <w:rsid w:val="008C3D21"/>
    <w:rsid w:val="008C5E66"/>
    <w:rsid w:val="008C69A7"/>
    <w:rsid w:val="008C74CF"/>
    <w:rsid w:val="008C7507"/>
    <w:rsid w:val="008C7E1F"/>
    <w:rsid w:val="008D08BA"/>
    <w:rsid w:val="008D1E07"/>
    <w:rsid w:val="008D3299"/>
    <w:rsid w:val="008D4EE9"/>
    <w:rsid w:val="008D5B68"/>
    <w:rsid w:val="008D5E55"/>
    <w:rsid w:val="008D6E5C"/>
    <w:rsid w:val="008E0657"/>
    <w:rsid w:val="008F0C4E"/>
    <w:rsid w:val="008F2A06"/>
    <w:rsid w:val="008F3999"/>
    <w:rsid w:val="008F4F67"/>
    <w:rsid w:val="00900732"/>
    <w:rsid w:val="0090214A"/>
    <w:rsid w:val="009024CC"/>
    <w:rsid w:val="009033F7"/>
    <w:rsid w:val="00904443"/>
    <w:rsid w:val="00904943"/>
    <w:rsid w:val="00907E36"/>
    <w:rsid w:val="00910EF5"/>
    <w:rsid w:val="00911A92"/>
    <w:rsid w:val="0091743F"/>
    <w:rsid w:val="00921E99"/>
    <w:rsid w:val="009226E8"/>
    <w:rsid w:val="00924019"/>
    <w:rsid w:val="009242BD"/>
    <w:rsid w:val="00927E46"/>
    <w:rsid w:val="00931A72"/>
    <w:rsid w:val="0093303A"/>
    <w:rsid w:val="009374D8"/>
    <w:rsid w:val="00942FA5"/>
    <w:rsid w:val="00943E93"/>
    <w:rsid w:val="009510A7"/>
    <w:rsid w:val="00952EC1"/>
    <w:rsid w:val="00954817"/>
    <w:rsid w:val="00956EF1"/>
    <w:rsid w:val="00956F40"/>
    <w:rsid w:val="00957175"/>
    <w:rsid w:val="009605BB"/>
    <w:rsid w:val="00960E25"/>
    <w:rsid w:val="00961D53"/>
    <w:rsid w:val="0096408C"/>
    <w:rsid w:val="00964443"/>
    <w:rsid w:val="0096501E"/>
    <w:rsid w:val="009703D7"/>
    <w:rsid w:val="00971369"/>
    <w:rsid w:val="009720E7"/>
    <w:rsid w:val="00972A59"/>
    <w:rsid w:val="00973C9D"/>
    <w:rsid w:val="00975265"/>
    <w:rsid w:val="00976DE3"/>
    <w:rsid w:val="009778BC"/>
    <w:rsid w:val="00984574"/>
    <w:rsid w:val="0098652E"/>
    <w:rsid w:val="00993AEE"/>
    <w:rsid w:val="0099433E"/>
    <w:rsid w:val="009957ED"/>
    <w:rsid w:val="009964F9"/>
    <w:rsid w:val="009974BC"/>
    <w:rsid w:val="009A01B7"/>
    <w:rsid w:val="009A12DA"/>
    <w:rsid w:val="009A1E2A"/>
    <w:rsid w:val="009A29AE"/>
    <w:rsid w:val="009B2248"/>
    <w:rsid w:val="009B4E47"/>
    <w:rsid w:val="009C1F79"/>
    <w:rsid w:val="009C3443"/>
    <w:rsid w:val="009C4C73"/>
    <w:rsid w:val="009C6D3B"/>
    <w:rsid w:val="009C7468"/>
    <w:rsid w:val="009C76AA"/>
    <w:rsid w:val="009D5A90"/>
    <w:rsid w:val="009D6654"/>
    <w:rsid w:val="009E4407"/>
    <w:rsid w:val="009E5929"/>
    <w:rsid w:val="009F0D48"/>
    <w:rsid w:val="009F0FAC"/>
    <w:rsid w:val="009F7451"/>
    <w:rsid w:val="009F7B44"/>
    <w:rsid w:val="00A01143"/>
    <w:rsid w:val="00A01795"/>
    <w:rsid w:val="00A0330A"/>
    <w:rsid w:val="00A15C83"/>
    <w:rsid w:val="00A20688"/>
    <w:rsid w:val="00A20D6A"/>
    <w:rsid w:val="00A215F1"/>
    <w:rsid w:val="00A21A79"/>
    <w:rsid w:val="00A23197"/>
    <w:rsid w:val="00A23635"/>
    <w:rsid w:val="00A24964"/>
    <w:rsid w:val="00A27543"/>
    <w:rsid w:val="00A32FB8"/>
    <w:rsid w:val="00A33C0D"/>
    <w:rsid w:val="00A33DEA"/>
    <w:rsid w:val="00A34168"/>
    <w:rsid w:val="00A34292"/>
    <w:rsid w:val="00A359F3"/>
    <w:rsid w:val="00A44921"/>
    <w:rsid w:val="00A47213"/>
    <w:rsid w:val="00A47CDD"/>
    <w:rsid w:val="00A51043"/>
    <w:rsid w:val="00A55AF2"/>
    <w:rsid w:val="00A641B6"/>
    <w:rsid w:val="00A64DDE"/>
    <w:rsid w:val="00A675EF"/>
    <w:rsid w:val="00A67F91"/>
    <w:rsid w:val="00A701CD"/>
    <w:rsid w:val="00A7101C"/>
    <w:rsid w:val="00A73859"/>
    <w:rsid w:val="00A741B8"/>
    <w:rsid w:val="00A755CE"/>
    <w:rsid w:val="00A77CD5"/>
    <w:rsid w:val="00A801FA"/>
    <w:rsid w:val="00A83D4E"/>
    <w:rsid w:val="00A868E4"/>
    <w:rsid w:val="00A901B2"/>
    <w:rsid w:val="00A91E70"/>
    <w:rsid w:val="00A93F7B"/>
    <w:rsid w:val="00A95857"/>
    <w:rsid w:val="00A97C87"/>
    <w:rsid w:val="00AA3FA3"/>
    <w:rsid w:val="00AA543E"/>
    <w:rsid w:val="00AB12CE"/>
    <w:rsid w:val="00AB2AE1"/>
    <w:rsid w:val="00AB3B86"/>
    <w:rsid w:val="00AB41A4"/>
    <w:rsid w:val="00AB4C8A"/>
    <w:rsid w:val="00AB69B8"/>
    <w:rsid w:val="00AC106C"/>
    <w:rsid w:val="00AC51B0"/>
    <w:rsid w:val="00AD086A"/>
    <w:rsid w:val="00AD0FC3"/>
    <w:rsid w:val="00AD2169"/>
    <w:rsid w:val="00AD33DE"/>
    <w:rsid w:val="00AE0835"/>
    <w:rsid w:val="00AE1AA6"/>
    <w:rsid w:val="00AF1CD6"/>
    <w:rsid w:val="00AF2808"/>
    <w:rsid w:val="00AF2DC9"/>
    <w:rsid w:val="00AF74E4"/>
    <w:rsid w:val="00B02685"/>
    <w:rsid w:val="00B0356C"/>
    <w:rsid w:val="00B0384B"/>
    <w:rsid w:val="00B07C2E"/>
    <w:rsid w:val="00B108B6"/>
    <w:rsid w:val="00B17145"/>
    <w:rsid w:val="00B209E9"/>
    <w:rsid w:val="00B234C5"/>
    <w:rsid w:val="00B24F36"/>
    <w:rsid w:val="00B25EAA"/>
    <w:rsid w:val="00B3301C"/>
    <w:rsid w:val="00B33680"/>
    <w:rsid w:val="00B37BB6"/>
    <w:rsid w:val="00B4072D"/>
    <w:rsid w:val="00B40A46"/>
    <w:rsid w:val="00B420DA"/>
    <w:rsid w:val="00B43218"/>
    <w:rsid w:val="00B438AB"/>
    <w:rsid w:val="00B4686F"/>
    <w:rsid w:val="00B513C1"/>
    <w:rsid w:val="00B51F3E"/>
    <w:rsid w:val="00B52C72"/>
    <w:rsid w:val="00B532A6"/>
    <w:rsid w:val="00B532EB"/>
    <w:rsid w:val="00B548B6"/>
    <w:rsid w:val="00B6126D"/>
    <w:rsid w:val="00B6299E"/>
    <w:rsid w:val="00B63F65"/>
    <w:rsid w:val="00B676F7"/>
    <w:rsid w:val="00B67C04"/>
    <w:rsid w:val="00B70343"/>
    <w:rsid w:val="00B704A5"/>
    <w:rsid w:val="00B72CE6"/>
    <w:rsid w:val="00B72F6D"/>
    <w:rsid w:val="00B7386D"/>
    <w:rsid w:val="00B74251"/>
    <w:rsid w:val="00B77CCA"/>
    <w:rsid w:val="00B81405"/>
    <w:rsid w:val="00B82775"/>
    <w:rsid w:val="00B833F5"/>
    <w:rsid w:val="00B86D8C"/>
    <w:rsid w:val="00B87796"/>
    <w:rsid w:val="00B9008B"/>
    <w:rsid w:val="00B90A8C"/>
    <w:rsid w:val="00B922F0"/>
    <w:rsid w:val="00B94A8C"/>
    <w:rsid w:val="00B95CB9"/>
    <w:rsid w:val="00B969BC"/>
    <w:rsid w:val="00B97CE9"/>
    <w:rsid w:val="00BA5B5D"/>
    <w:rsid w:val="00BB32DD"/>
    <w:rsid w:val="00BB72AC"/>
    <w:rsid w:val="00BC098F"/>
    <w:rsid w:val="00BC56EB"/>
    <w:rsid w:val="00BC687C"/>
    <w:rsid w:val="00BD2D90"/>
    <w:rsid w:val="00BD3346"/>
    <w:rsid w:val="00BD3412"/>
    <w:rsid w:val="00BD3C6C"/>
    <w:rsid w:val="00BD609B"/>
    <w:rsid w:val="00BD68DD"/>
    <w:rsid w:val="00BF3069"/>
    <w:rsid w:val="00BF4F99"/>
    <w:rsid w:val="00BF5864"/>
    <w:rsid w:val="00BF74D7"/>
    <w:rsid w:val="00C0049C"/>
    <w:rsid w:val="00C02E33"/>
    <w:rsid w:val="00C03347"/>
    <w:rsid w:val="00C04719"/>
    <w:rsid w:val="00C047F8"/>
    <w:rsid w:val="00C123D9"/>
    <w:rsid w:val="00C12E51"/>
    <w:rsid w:val="00C1407E"/>
    <w:rsid w:val="00C15273"/>
    <w:rsid w:val="00C1570C"/>
    <w:rsid w:val="00C1614C"/>
    <w:rsid w:val="00C1782E"/>
    <w:rsid w:val="00C25836"/>
    <w:rsid w:val="00C315FB"/>
    <w:rsid w:val="00C31E3D"/>
    <w:rsid w:val="00C34143"/>
    <w:rsid w:val="00C36659"/>
    <w:rsid w:val="00C41250"/>
    <w:rsid w:val="00C41546"/>
    <w:rsid w:val="00C4166C"/>
    <w:rsid w:val="00C45A27"/>
    <w:rsid w:val="00C45F6C"/>
    <w:rsid w:val="00C45FF0"/>
    <w:rsid w:val="00C471FC"/>
    <w:rsid w:val="00C52CBC"/>
    <w:rsid w:val="00C54540"/>
    <w:rsid w:val="00C5455B"/>
    <w:rsid w:val="00C546EC"/>
    <w:rsid w:val="00C56DDB"/>
    <w:rsid w:val="00C6072A"/>
    <w:rsid w:val="00C60A28"/>
    <w:rsid w:val="00C62598"/>
    <w:rsid w:val="00C62D9F"/>
    <w:rsid w:val="00C65F48"/>
    <w:rsid w:val="00C71013"/>
    <w:rsid w:val="00C72BD1"/>
    <w:rsid w:val="00C73BCE"/>
    <w:rsid w:val="00C81561"/>
    <w:rsid w:val="00C83786"/>
    <w:rsid w:val="00C84A5F"/>
    <w:rsid w:val="00C85989"/>
    <w:rsid w:val="00C869EE"/>
    <w:rsid w:val="00C8780C"/>
    <w:rsid w:val="00C90B74"/>
    <w:rsid w:val="00C928B7"/>
    <w:rsid w:val="00C945B2"/>
    <w:rsid w:val="00C95A3F"/>
    <w:rsid w:val="00C97515"/>
    <w:rsid w:val="00CA35D4"/>
    <w:rsid w:val="00CB07E3"/>
    <w:rsid w:val="00CB4F85"/>
    <w:rsid w:val="00CB5589"/>
    <w:rsid w:val="00CB72A1"/>
    <w:rsid w:val="00CB74FC"/>
    <w:rsid w:val="00CC0CD6"/>
    <w:rsid w:val="00CC16B7"/>
    <w:rsid w:val="00CC3F6A"/>
    <w:rsid w:val="00CC5BEB"/>
    <w:rsid w:val="00CD2297"/>
    <w:rsid w:val="00CD6A1B"/>
    <w:rsid w:val="00CD71A8"/>
    <w:rsid w:val="00CD7713"/>
    <w:rsid w:val="00CE0100"/>
    <w:rsid w:val="00CE2B5A"/>
    <w:rsid w:val="00CE38F7"/>
    <w:rsid w:val="00CE6CB2"/>
    <w:rsid w:val="00CF2B7B"/>
    <w:rsid w:val="00CF424D"/>
    <w:rsid w:val="00CF44D9"/>
    <w:rsid w:val="00CF482A"/>
    <w:rsid w:val="00CF4FD9"/>
    <w:rsid w:val="00CF5507"/>
    <w:rsid w:val="00CF58E6"/>
    <w:rsid w:val="00CF5AED"/>
    <w:rsid w:val="00CF6825"/>
    <w:rsid w:val="00CF6DD7"/>
    <w:rsid w:val="00CF6EA7"/>
    <w:rsid w:val="00CF7A4A"/>
    <w:rsid w:val="00D01751"/>
    <w:rsid w:val="00D02A6E"/>
    <w:rsid w:val="00D04251"/>
    <w:rsid w:val="00D07C7B"/>
    <w:rsid w:val="00D10707"/>
    <w:rsid w:val="00D10DEE"/>
    <w:rsid w:val="00D131AC"/>
    <w:rsid w:val="00D14D2A"/>
    <w:rsid w:val="00D153A0"/>
    <w:rsid w:val="00D154C9"/>
    <w:rsid w:val="00D16D51"/>
    <w:rsid w:val="00D20667"/>
    <w:rsid w:val="00D22A35"/>
    <w:rsid w:val="00D22DE3"/>
    <w:rsid w:val="00D23A16"/>
    <w:rsid w:val="00D24159"/>
    <w:rsid w:val="00D2444A"/>
    <w:rsid w:val="00D25755"/>
    <w:rsid w:val="00D26E89"/>
    <w:rsid w:val="00D319A8"/>
    <w:rsid w:val="00D330B6"/>
    <w:rsid w:val="00D43EF8"/>
    <w:rsid w:val="00D45321"/>
    <w:rsid w:val="00D4788B"/>
    <w:rsid w:val="00D54FBF"/>
    <w:rsid w:val="00D56676"/>
    <w:rsid w:val="00D57AFD"/>
    <w:rsid w:val="00D57E35"/>
    <w:rsid w:val="00D61AB2"/>
    <w:rsid w:val="00D62734"/>
    <w:rsid w:val="00D62979"/>
    <w:rsid w:val="00D63529"/>
    <w:rsid w:val="00D6397C"/>
    <w:rsid w:val="00D63E51"/>
    <w:rsid w:val="00D6442A"/>
    <w:rsid w:val="00D6494F"/>
    <w:rsid w:val="00D65038"/>
    <w:rsid w:val="00D655FD"/>
    <w:rsid w:val="00D674F9"/>
    <w:rsid w:val="00D67CC1"/>
    <w:rsid w:val="00D74A64"/>
    <w:rsid w:val="00D75B4B"/>
    <w:rsid w:val="00D76248"/>
    <w:rsid w:val="00D762C3"/>
    <w:rsid w:val="00D82168"/>
    <w:rsid w:val="00D855F3"/>
    <w:rsid w:val="00D86C10"/>
    <w:rsid w:val="00D87805"/>
    <w:rsid w:val="00D911AF"/>
    <w:rsid w:val="00D930D4"/>
    <w:rsid w:val="00D95ABA"/>
    <w:rsid w:val="00D96992"/>
    <w:rsid w:val="00D96EE2"/>
    <w:rsid w:val="00DA09BD"/>
    <w:rsid w:val="00DA252B"/>
    <w:rsid w:val="00DA2848"/>
    <w:rsid w:val="00DA6BF8"/>
    <w:rsid w:val="00DB114E"/>
    <w:rsid w:val="00DB14E5"/>
    <w:rsid w:val="00DB21CC"/>
    <w:rsid w:val="00DB2A1A"/>
    <w:rsid w:val="00DB3AF3"/>
    <w:rsid w:val="00DB53F5"/>
    <w:rsid w:val="00DB57CD"/>
    <w:rsid w:val="00DB7AA4"/>
    <w:rsid w:val="00DC054A"/>
    <w:rsid w:val="00DC0CAE"/>
    <w:rsid w:val="00DC1127"/>
    <w:rsid w:val="00DC1378"/>
    <w:rsid w:val="00DC234F"/>
    <w:rsid w:val="00DC3F5E"/>
    <w:rsid w:val="00DC5EA6"/>
    <w:rsid w:val="00DC7F67"/>
    <w:rsid w:val="00DD04DE"/>
    <w:rsid w:val="00DD28EF"/>
    <w:rsid w:val="00DD46AA"/>
    <w:rsid w:val="00DD6C57"/>
    <w:rsid w:val="00DE228A"/>
    <w:rsid w:val="00DE31E2"/>
    <w:rsid w:val="00DE3393"/>
    <w:rsid w:val="00DE44AB"/>
    <w:rsid w:val="00DE71DF"/>
    <w:rsid w:val="00DF5BF9"/>
    <w:rsid w:val="00E01241"/>
    <w:rsid w:val="00E02691"/>
    <w:rsid w:val="00E04D5C"/>
    <w:rsid w:val="00E04D64"/>
    <w:rsid w:val="00E072C5"/>
    <w:rsid w:val="00E10BEA"/>
    <w:rsid w:val="00E134DF"/>
    <w:rsid w:val="00E14536"/>
    <w:rsid w:val="00E1456A"/>
    <w:rsid w:val="00E172CE"/>
    <w:rsid w:val="00E17C91"/>
    <w:rsid w:val="00E21969"/>
    <w:rsid w:val="00E21AAA"/>
    <w:rsid w:val="00E241C6"/>
    <w:rsid w:val="00E26FD1"/>
    <w:rsid w:val="00E30811"/>
    <w:rsid w:val="00E354A6"/>
    <w:rsid w:val="00E372DC"/>
    <w:rsid w:val="00E4103D"/>
    <w:rsid w:val="00E41288"/>
    <w:rsid w:val="00E42CDE"/>
    <w:rsid w:val="00E42DA4"/>
    <w:rsid w:val="00E44770"/>
    <w:rsid w:val="00E5123D"/>
    <w:rsid w:val="00E51300"/>
    <w:rsid w:val="00E51BF5"/>
    <w:rsid w:val="00E51DA3"/>
    <w:rsid w:val="00E52570"/>
    <w:rsid w:val="00E5284A"/>
    <w:rsid w:val="00E54DB2"/>
    <w:rsid w:val="00E63EA9"/>
    <w:rsid w:val="00E661B6"/>
    <w:rsid w:val="00E70169"/>
    <w:rsid w:val="00E709CB"/>
    <w:rsid w:val="00E711F4"/>
    <w:rsid w:val="00E72D17"/>
    <w:rsid w:val="00E74D3A"/>
    <w:rsid w:val="00E769C3"/>
    <w:rsid w:val="00E801DD"/>
    <w:rsid w:val="00E818FA"/>
    <w:rsid w:val="00E82E77"/>
    <w:rsid w:val="00E832F4"/>
    <w:rsid w:val="00E8357F"/>
    <w:rsid w:val="00E851FC"/>
    <w:rsid w:val="00E86C70"/>
    <w:rsid w:val="00E91ED1"/>
    <w:rsid w:val="00E923E4"/>
    <w:rsid w:val="00E929B2"/>
    <w:rsid w:val="00E92EDE"/>
    <w:rsid w:val="00E93C0A"/>
    <w:rsid w:val="00E96508"/>
    <w:rsid w:val="00E968D7"/>
    <w:rsid w:val="00EA19F3"/>
    <w:rsid w:val="00EA246B"/>
    <w:rsid w:val="00EA3482"/>
    <w:rsid w:val="00EA4757"/>
    <w:rsid w:val="00EA6C40"/>
    <w:rsid w:val="00EB2D98"/>
    <w:rsid w:val="00EB60F4"/>
    <w:rsid w:val="00EB6388"/>
    <w:rsid w:val="00EB67AE"/>
    <w:rsid w:val="00EC219B"/>
    <w:rsid w:val="00EC3967"/>
    <w:rsid w:val="00EC4BFA"/>
    <w:rsid w:val="00EC6CE4"/>
    <w:rsid w:val="00ED0544"/>
    <w:rsid w:val="00ED2488"/>
    <w:rsid w:val="00ED56F1"/>
    <w:rsid w:val="00ED5F89"/>
    <w:rsid w:val="00ED6EA9"/>
    <w:rsid w:val="00EE031C"/>
    <w:rsid w:val="00EE20D6"/>
    <w:rsid w:val="00EE2CEB"/>
    <w:rsid w:val="00EE36F9"/>
    <w:rsid w:val="00EE510C"/>
    <w:rsid w:val="00EF075B"/>
    <w:rsid w:val="00EF2625"/>
    <w:rsid w:val="00EF4422"/>
    <w:rsid w:val="00EF5186"/>
    <w:rsid w:val="00EF6017"/>
    <w:rsid w:val="00EF682D"/>
    <w:rsid w:val="00F009CE"/>
    <w:rsid w:val="00F0225D"/>
    <w:rsid w:val="00F03830"/>
    <w:rsid w:val="00F043DA"/>
    <w:rsid w:val="00F058D6"/>
    <w:rsid w:val="00F05CEF"/>
    <w:rsid w:val="00F06B3F"/>
    <w:rsid w:val="00F0703B"/>
    <w:rsid w:val="00F072FE"/>
    <w:rsid w:val="00F142FE"/>
    <w:rsid w:val="00F200DD"/>
    <w:rsid w:val="00F253EE"/>
    <w:rsid w:val="00F271B2"/>
    <w:rsid w:val="00F27D44"/>
    <w:rsid w:val="00F31A20"/>
    <w:rsid w:val="00F35A5F"/>
    <w:rsid w:val="00F3721F"/>
    <w:rsid w:val="00F40B1E"/>
    <w:rsid w:val="00F4121A"/>
    <w:rsid w:val="00F42895"/>
    <w:rsid w:val="00F42B5B"/>
    <w:rsid w:val="00F44B38"/>
    <w:rsid w:val="00F4530D"/>
    <w:rsid w:val="00F456E3"/>
    <w:rsid w:val="00F533F5"/>
    <w:rsid w:val="00F541C2"/>
    <w:rsid w:val="00F55FF7"/>
    <w:rsid w:val="00F62A23"/>
    <w:rsid w:val="00F63ECB"/>
    <w:rsid w:val="00F64298"/>
    <w:rsid w:val="00F66E03"/>
    <w:rsid w:val="00F676FF"/>
    <w:rsid w:val="00F67A3C"/>
    <w:rsid w:val="00F67B06"/>
    <w:rsid w:val="00F74290"/>
    <w:rsid w:val="00F746BC"/>
    <w:rsid w:val="00F8330F"/>
    <w:rsid w:val="00F92946"/>
    <w:rsid w:val="00F934A9"/>
    <w:rsid w:val="00F946DF"/>
    <w:rsid w:val="00F949A1"/>
    <w:rsid w:val="00F9563A"/>
    <w:rsid w:val="00FA4C31"/>
    <w:rsid w:val="00FA7113"/>
    <w:rsid w:val="00FA76D8"/>
    <w:rsid w:val="00FB3C5F"/>
    <w:rsid w:val="00FB4A2E"/>
    <w:rsid w:val="00FB6311"/>
    <w:rsid w:val="00FC129E"/>
    <w:rsid w:val="00FC45F2"/>
    <w:rsid w:val="00FC473C"/>
    <w:rsid w:val="00FD0E9B"/>
    <w:rsid w:val="00FD35B1"/>
    <w:rsid w:val="00FD3907"/>
    <w:rsid w:val="00FD4AF3"/>
    <w:rsid w:val="00FD621D"/>
    <w:rsid w:val="00FD62D0"/>
    <w:rsid w:val="00FD64A1"/>
    <w:rsid w:val="00FD73C8"/>
    <w:rsid w:val="00FE21F4"/>
    <w:rsid w:val="00FE6C0B"/>
    <w:rsid w:val="00FE70BF"/>
    <w:rsid w:val="00FE727C"/>
    <w:rsid w:val="00FF2002"/>
    <w:rsid w:val="00FF2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55B633"/>
  <w15:chartTrackingRefBased/>
  <w15:docId w15:val="{E0904D83-BCA0-4E1E-B4C8-6BD5FCFB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Hyperlink">
    <w:name w:val="Hyperlink"/>
    <w:basedOn w:val="DefaultParagraphFont"/>
    <w:uiPriority w:val="99"/>
    <w:unhideWhenUsed/>
    <w:rsid w:val="00AF2808"/>
    <w:rPr>
      <w:color w:val="0563C1" w:themeColor="hyperlink"/>
      <w:u w:val="single"/>
    </w:rPr>
  </w:style>
  <w:style w:type="character" w:styleId="UnresolvedMention">
    <w:name w:val="Unresolved Mention"/>
    <w:basedOn w:val="DefaultParagraphFont"/>
    <w:uiPriority w:val="99"/>
    <w:semiHidden/>
    <w:unhideWhenUsed/>
    <w:rsid w:val="00AF2808"/>
    <w:rPr>
      <w:color w:val="605E5C"/>
      <w:shd w:val="clear" w:color="auto" w:fill="E1DFDD"/>
    </w:rPr>
  </w:style>
  <w:style w:type="character" w:styleId="CommentReference">
    <w:name w:val="annotation reference"/>
    <w:basedOn w:val="DefaultParagraphFont"/>
    <w:uiPriority w:val="99"/>
    <w:semiHidden/>
    <w:unhideWhenUsed/>
    <w:rsid w:val="0085085B"/>
    <w:rPr>
      <w:sz w:val="16"/>
      <w:szCs w:val="16"/>
    </w:rPr>
  </w:style>
  <w:style w:type="paragraph" w:styleId="CommentText">
    <w:name w:val="annotation text"/>
    <w:basedOn w:val="Normal"/>
    <w:link w:val="CommentTextChar"/>
    <w:uiPriority w:val="99"/>
    <w:unhideWhenUsed/>
    <w:rsid w:val="0085085B"/>
    <w:rPr>
      <w:sz w:val="20"/>
      <w:szCs w:val="20"/>
    </w:rPr>
  </w:style>
  <w:style w:type="character" w:customStyle="1" w:styleId="CommentTextChar">
    <w:name w:val="Comment Text Char"/>
    <w:basedOn w:val="DefaultParagraphFont"/>
    <w:link w:val="CommentText"/>
    <w:uiPriority w:val="99"/>
    <w:rsid w:val="0085085B"/>
    <w:rPr>
      <w:sz w:val="20"/>
      <w:szCs w:val="20"/>
      <w:lang w:val="en-US"/>
    </w:rPr>
  </w:style>
  <w:style w:type="paragraph" w:styleId="CommentSubject">
    <w:name w:val="annotation subject"/>
    <w:basedOn w:val="CommentText"/>
    <w:next w:val="CommentText"/>
    <w:link w:val="CommentSubjectChar"/>
    <w:uiPriority w:val="99"/>
    <w:semiHidden/>
    <w:unhideWhenUsed/>
    <w:rsid w:val="0085085B"/>
    <w:rPr>
      <w:b/>
      <w:bCs/>
    </w:rPr>
  </w:style>
  <w:style w:type="character" w:customStyle="1" w:styleId="CommentSubjectChar">
    <w:name w:val="Comment Subject Char"/>
    <w:basedOn w:val="CommentTextChar"/>
    <w:link w:val="CommentSubject"/>
    <w:uiPriority w:val="99"/>
    <w:semiHidden/>
    <w:rsid w:val="0085085B"/>
    <w:rPr>
      <w:b/>
      <w:bCs/>
      <w:sz w:val="20"/>
      <w:szCs w:val="20"/>
      <w:lang w:val="en-US"/>
    </w:rPr>
  </w:style>
  <w:style w:type="paragraph" w:styleId="BalloonText">
    <w:name w:val="Balloon Text"/>
    <w:basedOn w:val="Normal"/>
    <w:link w:val="BalloonTextChar"/>
    <w:uiPriority w:val="99"/>
    <w:semiHidden/>
    <w:unhideWhenUsed/>
    <w:rsid w:val="00850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5B"/>
    <w:rPr>
      <w:rFonts w:ascii="Segoe UI" w:hAnsi="Segoe UI" w:cs="Segoe UI"/>
      <w:sz w:val="18"/>
      <w:szCs w:val="18"/>
      <w:lang w:val="en-US"/>
    </w:rPr>
  </w:style>
  <w:style w:type="character" w:styleId="FollowedHyperlink">
    <w:name w:val="FollowedHyperlink"/>
    <w:basedOn w:val="DefaultParagraphFont"/>
    <w:uiPriority w:val="99"/>
    <w:semiHidden/>
    <w:unhideWhenUsed/>
    <w:rsid w:val="008D4EE9"/>
    <w:rPr>
      <w:color w:val="954F72" w:themeColor="followedHyperlink"/>
      <w:u w:val="single"/>
    </w:rPr>
  </w:style>
  <w:style w:type="paragraph" w:styleId="Revision">
    <w:name w:val="Revision"/>
    <w:hidden/>
    <w:uiPriority w:val="99"/>
    <w:semiHidden/>
    <w:rsid w:val="00956F40"/>
    <w:pPr>
      <w:spacing w:after="0" w:line="240" w:lineRule="auto"/>
    </w:pPr>
    <w:rPr>
      <w:lang w:val="en-US"/>
    </w:rPr>
  </w:style>
  <w:style w:type="paragraph" w:styleId="NormalWeb">
    <w:name w:val="Normal (Web)"/>
    <w:basedOn w:val="Normal"/>
    <w:uiPriority w:val="99"/>
    <w:unhideWhenUsed/>
    <w:rsid w:val="00D76248"/>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993AEE"/>
    <w:pPr>
      <w:widowControl/>
    </w:pPr>
    <w:rPr>
      <w:sz w:val="20"/>
      <w:szCs w:val="20"/>
      <w:lang w:val="en-AU"/>
    </w:rPr>
  </w:style>
  <w:style w:type="character" w:customStyle="1" w:styleId="FootnoteTextChar">
    <w:name w:val="Footnote Text Char"/>
    <w:basedOn w:val="DefaultParagraphFont"/>
    <w:link w:val="FootnoteText"/>
    <w:uiPriority w:val="99"/>
    <w:semiHidden/>
    <w:rsid w:val="00993AEE"/>
    <w:rPr>
      <w:sz w:val="20"/>
      <w:szCs w:val="20"/>
    </w:rPr>
  </w:style>
  <w:style w:type="character" w:styleId="FootnoteReference">
    <w:name w:val="footnote reference"/>
    <w:basedOn w:val="DefaultParagraphFont"/>
    <w:uiPriority w:val="99"/>
    <w:semiHidden/>
    <w:unhideWhenUsed/>
    <w:rsid w:val="00993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95339">
      <w:bodyDiv w:val="1"/>
      <w:marLeft w:val="0"/>
      <w:marRight w:val="0"/>
      <w:marTop w:val="0"/>
      <w:marBottom w:val="0"/>
      <w:divBdr>
        <w:top w:val="none" w:sz="0" w:space="0" w:color="auto"/>
        <w:left w:val="none" w:sz="0" w:space="0" w:color="auto"/>
        <w:bottom w:val="none" w:sz="0" w:space="0" w:color="auto"/>
        <w:right w:val="none" w:sz="0" w:space="0" w:color="auto"/>
      </w:divBdr>
    </w:div>
    <w:div w:id="479809330">
      <w:bodyDiv w:val="1"/>
      <w:marLeft w:val="0"/>
      <w:marRight w:val="0"/>
      <w:marTop w:val="0"/>
      <w:marBottom w:val="0"/>
      <w:divBdr>
        <w:top w:val="none" w:sz="0" w:space="0" w:color="auto"/>
        <w:left w:val="none" w:sz="0" w:space="0" w:color="auto"/>
        <w:bottom w:val="none" w:sz="0" w:space="0" w:color="auto"/>
        <w:right w:val="none" w:sz="0" w:space="0" w:color="auto"/>
      </w:divBdr>
    </w:div>
    <w:div w:id="577860175">
      <w:bodyDiv w:val="1"/>
      <w:marLeft w:val="0"/>
      <w:marRight w:val="0"/>
      <w:marTop w:val="0"/>
      <w:marBottom w:val="0"/>
      <w:divBdr>
        <w:top w:val="none" w:sz="0" w:space="0" w:color="auto"/>
        <w:left w:val="none" w:sz="0" w:space="0" w:color="auto"/>
        <w:bottom w:val="none" w:sz="0" w:space="0" w:color="auto"/>
        <w:right w:val="none" w:sz="0" w:space="0" w:color="auto"/>
      </w:divBdr>
    </w:div>
    <w:div w:id="827668445">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899249265">
      <w:bodyDiv w:val="1"/>
      <w:marLeft w:val="0"/>
      <w:marRight w:val="0"/>
      <w:marTop w:val="0"/>
      <w:marBottom w:val="0"/>
      <w:divBdr>
        <w:top w:val="none" w:sz="0" w:space="0" w:color="auto"/>
        <w:left w:val="none" w:sz="0" w:space="0" w:color="auto"/>
        <w:bottom w:val="none" w:sz="0" w:space="0" w:color="auto"/>
        <w:right w:val="none" w:sz="0" w:space="0" w:color="auto"/>
      </w:divBdr>
    </w:div>
    <w:div w:id="907883559">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346520750">
      <w:bodyDiv w:val="1"/>
      <w:marLeft w:val="0"/>
      <w:marRight w:val="0"/>
      <w:marTop w:val="0"/>
      <w:marBottom w:val="0"/>
      <w:divBdr>
        <w:top w:val="none" w:sz="0" w:space="0" w:color="auto"/>
        <w:left w:val="none" w:sz="0" w:space="0" w:color="auto"/>
        <w:bottom w:val="none" w:sz="0" w:space="0" w:color="auto"/>
        <w:right w:val="none" w:sz="0" w:space="0" w:color="auto"/>
      </w:divBdr>
    </w:div>
    <w:div w:id="1543060421">
      <w:bodyDiv w:val="1"/>
      <w:marLeft w:val="0"/>
      <w:marRight w:val="0"/>
      <w:marTop w:val="0"/>
      <w:marBottom w:val="0"/>
      <w:divBdr>
        <w:top w:val="none" w:sz="0" w:space="0" w:color="auto"/>
        <w:left w:val="none" w:sz="0" w:space="0" w:color="auto"/>
        <w:bottom w:val="none" w:sz="0" w:space="0" w:color="auto"/>
        <w:right w:val="none" w:sz="0" w:space="0" w:color="auto"/>
      </w:divBdr>
    </w:div>
    <w:div w:id="1581594783">
      <w:bodyDiv w:val="1"/>
      <w:marLeft w:val="0"/>
      <w:marRight w:val="0"/>
      <w:marTop w:val="0"/>
      <w:marBottom w:val="0"/>
      <w:divBdr>
        <w:top w:val="none" w:sz="0" w:space="0" w:color="auto"/>
        <w:left w:val="none" w:sz="0" w:space="0" w:color="auto"/>
        <w:bottom w:val="none" w:sz="0" w:space="0" w:color="auto"/>
        <w:right w:val="none" w:sz="0" w:space="0" w:color="auto"/>
      </w:divBdr>
    </w:div>
    <w:div w:id="1799757784">
      <w:bodyDiv w:val="1"/>
      <w:marLeft w:val="0"/>
      <w:marRight w:val="0"/>
      <w:marTop w:val="0"/>
      <w:marBottom w:val="0"/>
      <w:divBdr>
        <w:top w:val="none" w:sz="0" w:space="0" w:color="auto"/>
        <w:left w:val="none" w:sz="0" w:space="0" w:color="auto"/>
        <w:bottom w:val="none" w:sz="0" w:space="0" w:color="auto"/>
        <w:right w:val="none" w:sz="0" w:space="0" w:color="auto"/>
      </w:divBdr>
    </w:div>
    <w:div w:id="18999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ederalfinancialrelations.gov.au/sites/federalfinancialrelations.gov.au/files/2021-08/FFA_infrastructure.pdf"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federalfinancialrelations.gov.au/sites/federalfinancialrelations.gov.au/files/2021-08/FFA_infrastructure.pdf"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federalfinancialrelations.gov.au/sites/federalfinancialrelations.gov.au/files/2021-08/FFA_infrastructure.pdf" TargetMode="Externa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ederalfinancialrelations.gov.au/sites/federalfinancialrelations.gov.au/files/2021-08/FFA_infrastructure.pdf"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BB0DC0A-91D3-4B57-BE09-D801AE01ED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13F8D00DDC314584CBE5AE5E8C2A8D" ma:contentTypeVersion="" ma:contentTypeDescription="PDMS Document Site Content Type" ma:contentTypeScope="" ma:versionID="d6a1d4b72b345ffc839635c8561f01a4">
  <xsd:schema xmlns:xsd="http://www.w3.org/2001/XMLSchema" xmlns:xs="http://www.w3.org/2001/XMLSchema" xmlns:p="http://schemas.microsoft.com/office/2006/metadata/properties" xmlns:ns2="1BB0DC0A-91D3-4B57-BE09-D801AE01EDFD" targetNamespace="http://schemas.microsoft.com/office/2006/metadata/properties" ma:root="true" ma:fieldsID="08e18c11afe18dee2c4474e939d50c48" ns2:_="">
    <xsd:import namespace="1BB0DC0A-91D3-4B57-BE09-D801AE01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DC0A-91D3-4B57-BE09-D801AE01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F9AB-FDEE-49CE-A5AC-1BBAAE6CC6FC}">
  <ds:schemaRefs>
    <ds:schemaRef ds:uri="http://schemas.microsoft.com/office/infopath/2007/PartnerControls"/>
    <ds:schemaRef ds:uri="http://purl.org/dc/elements/1.1/"/>
    <ds:schemaRef ds:uri="http://schemas.microsoft.com/office/2006/metadata/properties"/>
    <ds:schemaRef ds:uri="1BB0DC0A-91D3-4B57-BE09-D801AE01EDF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3.xml><?xml version="1.0" encoding="utf-8"?>
<ds:datastoreItem xmlns:ds="http://schemas.openxmlformats.org/officeDocument/2006/customXml" ds:itemID="{2CC65438-054D-4E6C-80E2-6EA726084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DC0A-91D3-4B57-BE09-D801AE01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24922-829B-4B69-B002-037A613D5FD9}">
  <ds:schemaRefs>
    <ds:schemaRef ds:uri="http://schemas.microsoft.com/sharepoint/v3/contenttype/forms"/>
  </ds:schemaRefs>
</ds:datastoreItem>
</file>

<file path=customXml/itemProps5.xml><?xml version="1.0" encoding="utf-8"?>
<ds:datastoreItem xmlns:ds="http://schemas.openxmlformats.org/officeDocument/2006/customXml" ds:itemID="{5454AF80-907D-44B3-B0E2-3ED499B9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9686</Words>
  <Characters>55211</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HOTSTONE, Catherine</dc:creator>
  <cp:keywords/>
  <dc:description/>
  <cp:lastModifiedBy>ROBINSON, Toby</cp:lastModifiedBy>
  <cp:revision>2</cp:revision>
  <cp:lastPrinted>2024-07-22T02:41:00Z</cp:lastPrinted>
  <dcterms:created xsi:type="dcterms:W3CDTF">2024-08-08T07:28:00Z</dcterms:created>
  <dcterms:modified xsi:type="dcterms:W3CDTF">2024-08-08T07:28:00Z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0x010100266966F133664895A6EE3632470D45F5004013F8D00DDC314584CBE5AE5E8C2A8D</vt:lpwstr>
  </property>
</Properties>
</file>