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9730" w14:textId="77777777" w:rsidR="00AD354B" w:rsidRDefault="00812937"/>
    <w:p w14:paraId="349F2E9E" w14:textId="77777777" w:rsidR="00C91B5F" w:rsidRPr="00F1227F" w:rsidRDefault="00317FB3" w:rsidP="00C91B5F">
      <w:pPr>
        <w:pStyle w:val="Heading9"/>
        <w:jc w:val="right"/>
        <w:rPr>
          <w:rStyle w:val="ParagraphnumberingChar"/>
          <w:rFonts w:eastAsiaTheme="majorEastAsia"/>
          <w:i w:val="0"/>
          <w:sz w:val="28"/>
          <w:szCs w:val="28"/>
        </w:rPr>
      </w:pPr>
      <w:r>
        <w:rPr>
          <w:i w:val="0"/>
          <w:sz w:val="28"/>
          <w:szCs w:val="28"/>
        </w:rPr>
        <w:t>Schedule</w:t>
      </w:r>
    </w:p>
    <w:p w14:paraId="3CD4894E" w14:textId="773DF028" w:rsidR="00C91B5F" w:rsidRPr="001E20F4" w:rsidRDefault="00A80F1C" w:rsidP="00C91B5F">
      <w:pPr>
        <w:pStyle w:val="Title"/>
      </w:pPr>
      <w:r>
        <w:t xml:space="preserve">Supplementary </w:t>
      </w:r>
      <w:r w:rsidR="00BA1E8A">
        <w:t xml:space="preserve">funding for </w:t>
      </w:r>
      <w:r w:rsidR="00C63AAE">
        <w:t>l</w:t>
      </w:r>
      <w:r w:rsidR="00BA1E8A">
        <w:t xml:space="preserve">egal </w:t>
      </w:r>
      <w:r w:rsidR="00C63AAE">
        <w:t>a</w:t>
      </w:r>
      <w:r w:rsidR="00BA1E8A">
        <w:t xml:space="preserve">id </w:t>
      </w:r>
      <w:r w:rsidR="00C63AAE">
        <w:t>c</w:t>
      </w:r>
      <w:r w:rsidR="00BA1E8A">
        <w:t>ommissions</w:t>
      </w:r>
      <w:r w:rsidR="009E47AD">
        <w:t xml:space="preserve"> </w:t>
      </w:r>
      <w:r w:rsidR="00784885">
        <w:t>to respond to demand arising from</w:t>
      </w:r>
      <w:r w:rsidR="00BA1E8A">
        <w:t xml:space="preserve"> </w:t>
      </w:r>
      <w:r>
        <w:t xml:space="preserve">case management </w:t>
      </w:r>
      <w:r w:rsidR="00784885">
        <w:t>transition</w:t>
      </w:r>
      <w:r w:rsidR="00ED51B0">
        <w:t xml:space="preserve"> </w:t>
      </w:r>
      <w:r>
        <w:t>in the Federal Circuit and Family Court of Australia</w:t>
      </w:r>
    </w:p>
    <w:p w14:paraId="0F08FD9F" w14:textId="77777777" w:rsidR="00C91B5F" w:rsidRPr="00BE249A" w:rsidRDefault="00D54783" w:rsidP="00C91B5F">
      <w:pPr>
        <w:pStyle w:val="Subtitle"/>
      </w:pPr>
      <w:r>
        <w:t xml:space="preserve">FEDERATION FUNDING AGREEMENT – </w:t>
      </w:r>
      <w:r w:rsidR="00A65C44" w:rsidRPr="00A65C44">
        <w:t>Affordable Housing, Community Services and Other</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691"/>
        <w:gridCol w:w="7938"/>
      </w:tblGrid>
      <w:tr w:rsidR="00C91B5F" w:rsidRPr="00F00A18" w14:paraId="3DF33531" w14:textId="77777777" w:rsidTr="00F60618">
        <w:tc>
          <w:tcPr>
            <w:tcW w:w="9629" w:type="dxa"/>
            <w:gridSpan w:val="2"/>
            <w:shd w:val="clear" w:color="auto" w:fill="DEEAF6" w:themeFill="accent1" w:themeFillTint="33"/>
          </w:tcPr>
          <w:p w14:paraId="33E27EEA" w14:textId="77777777" w:rsidR="00C91B5F" w:rsidRPr="00F00A18" w:rsidRDefault="00C91B5F" w:rsidP="005D3905">
            <w:pPr>
              <w:pStyle w:val="Tableformat"/>
              <w:rPr>
                <w:b/>
                <w:color w:val="auto"/>
              </w:rPr>
            </w:pPr>
            <w:r w:rsidRPr="00F00A18">
              <w:rPr>
                <w:b/>
                <w:color w:val="auto"/>
              </w:rPr>
              <w:t>Table 1: Formalities and operation of schedule</w:t>
            </w:r>
          </w:p>
        </w:tc>
      </w:tr>
      <w:tr w:rsidR="00C91B5F" w:rsidRPr="00F00A18" w14:paraId="1BCC89E0" w14:textId="77777777" w:rsidTr="00F60618">
        <w:tc>
          <w:tcPr>
            <w:tcW w:w="1691" w:type="dxa"/>
            <w:shd w:val="clear" w:color="auto" w:fill="auto"/>
          </w:tcPr>
          <w:p w14:paraId="58254C66" w14:textId="77777777" w:rsidR="00C91B5F" w:rsidRPr="00F00A18" w:rsidRDefault="00C91B5F" w:rsidP="005D3905">
            <w:pPr>
              <w:pStyle w:val="Tableformat"/>
              <w:rPr>
                <w:color w:val="auto"/>
              </w:rPr>
            </w:pPr>
            <w:r w:rsidRPr="00F00A18">
              <w:rPr>
                <w:color w:val="auto"/>
              </w:rPr>
              <w:t>Parties</w:t>
            </w:r>
          </w:p>
        </w:tc>
        <w:tc>
          <w:tcPr>
            <w:tcW w:w="7938" w:type="dxa"/>
            <w:shd w:val="clear" w:color="auto" w:fill="auto"/>
          </w:tcPr>
          <w:p w14:paraId="6CEEA302" w14:textId="77777777" w:rsidR="00BA1E8A" w:rsidRDefault="00BA1E8A" w:rsidP="00BA1E8A">
            <w:pPr>
              <w:pStyle w:val="Tableformat"/>
              <w:ind w:left="360"/>
              <w:rPr>
                <w:color w:val="auto"/>
              </w:rPr>
            </w:pPr>
            <w:r>
              <w:rPr>
                <w:color w:val="auto"/>
              </w:rPr>
              <w:t>Commonwealth</w:t>
            </w:r>
          </w:p>
          <w:p w14:paraId="19F6BFE1" w14:textId="77777777" w:rsidR="00C91B5F" w:rsidRDefault="00BA1E8A" w:rsidP="00BA1E8A">
            <w:pPr>
              <w:pStyle w:val="Tableformat"/>
              <w:ind w:left="360"/>
              <w:rPr>
                <w:color w:val="auto"/>
              </w:rPr>
            </w:pPr>
            <w:r w:rsidRPr="00BF4C1F">
              <w:rPr>
                <w:color w:val="auto"/>
              </w:rPr>
              <w:t>New South Wales</w:t>
            </w:r>
            <w:r w:rsidR="00C91B5F" w:rsidRPr="00F00A18">
              <w:rPr>
                <w:color w:val="auto"/>
              </w:rPr>
              <w:t xml:space="preserve"> </w:t>
            </w:r>
          </w:p>
          <w:p w14:paraId="28572C94" w14:textId="77777777" w:rsidR="00142474" w:rsidRDefault="00142474" w:rsidP="00BA1E8A">
            <w:pPr>
              <w:pStyle w:val="Tableformat"/>
              <w:ind w:left="360"/>
              <w:rPr>
                <w:color w:val="auto"/>
              </w:rPr>
            </w:pPr>
            <w:r>
              <w:rPr>
                <w:color w:val="auto"/>
              </w:rPr>
              <w:t xml:space="preserve">Victoria </w:t>
            </w:r>
          </w:p>
          <w:p w14:paraId="4E44F9A6" w14:textId="77777777" w:rsidR="00142474" w:rsidRDefault="00142474" w:rsidP="00BA1E8A">
            <w:pPr>
              <w:pStyle w:val="Tableformat"/>
              <w:ind w:left="360"/>
              <w:rPr>
                <w:color w:val="auto"/>
              </w:rPr>
            </w:pPr>
            <w:r>
              <w:rPr>
                <w:color w:val="auto"/>
              </w:rPr>
              <w:t>Queensland</w:t>
            </w:r>
          </w:p>
          <w:p w14:paraId="6BBA3063" w14:textId="77777777" w:rsidR="00142474" w:rsidRDefault="00142474" w:rsidP="00BA1E8A">
            <w:pPr>
              <w:pStyle w:val="Tableformat"/>
              <w:ind w:left="360"/>
              <w:rPr>
                <w:color w:val="auto"/>
              </w:rPr>
            </w:pPr>
            <w:r>
              <w:rPr>
                <w:color w:val="auto"/>
              </w:rPr>
              <w:t>South Australia</w:t>
            </w:r>
          </w:p>
          <w:p w14:paraId="48EB5CF2" w14:textId="77777777" w:rsidR="00142474" w:rsidRDefault="00321EC3" w:rsidP="00BA1E8A">
            <w:pPr>
              <w:pStyle w:val="Tableformat"/>
              <w:ind w:left="360"/>
              <w:rPr>
                <w:color w:val="auto"/>
              </w:rPr>
            </w:pPr>
            <w:r>
              <w:rPr>
                <w:color w:val="auto"/>
              </w:rPr>
              <w:t>Tasmania</w:t>
            </w:r>
          </w:p>
          <w:p w14:paraId="7584CB79" w14:textId="77777777" w:rsidR="00321EC3" w:rsidRDefault="00321EC3" w:rsidP="00321EC3">
            <w:pPr>
              <w:pStyle w:val="Tableformat"/>
              <w:ind w:left="360"/>
              <w:rPr>
                <w:color w:val="auto"/>
              </w:rPr>
            </w:pPr>
            <w:r>
              <w:rPr>
                <w:color w:val="auto"/>
              </w:rPr>
              <w:t>Australian Capital Territory</w:t>
            </w:r>
          </w:p>
          <w:p w14:paraId="7B7130B5" w14:textId="77777777" w:rsidR="00321EC3" w:rsidRPr="00F00A18" w:rsidRDefault="00321EC3" w:rsidP="00321EC3">
            <w:pPr>
              <w:pStyle w:val="Tableformat"/>
              <w:ind w:left="360"/>
              <w:rPr>
                <w:color w:val="auto"/>
              </w:rPr>
            </w:pPr>
            <w:r>
              <w:rPr>
                <w:color w:val="auto"/>
              </w:rPr>
              <w:t>Northern Territory</w:t>
            </w:r>
          </w:p>
        </w:tc>
      </w:tr>
      <w:tr w:rsidR="00C91B5F" w:rsidRPr="00F00A18" w14:paraId="10C90F61" w14:textId="77777777" w:rsidTr="00F60618">
        <w:tc>
          <w:tcPr>
            <w:tcW w:w="1691" w:type="dxa"/>
            <w:shd w:val="clear" w:color="auto" w:fill="auto"/>
          </w:tcPr>
          <w:p w14:paraId="6F8CA663" w14:textId="77777777" w:rsidR="00C91B5F" w:rsidRPr="00F00A18" w:rsidRDefault="00C91B5F" w:rsidP="005D3905">
            <w:pPr>
              <w:pStyle w:val="Tableformat"/>
              <w:rPr>
                <w:color w:val="auto"/>
              </w:rPr>
            </w:pPr>
            <w:r w:rsidRPr="00F00A18">
              <w:rPr>
                <w:color w:val="auto"/>
              </w:rPr>
              <w:t>Duration</w:t>
            </w:r>
          </w:p>
        </w:tc>
        <w:tc>
          <w:tcPr>
            <w:tcW w:w="7938" w:type="dxa"/>
            <w:shd w:val="clear" w:color="auto" w:fill="auto"/>
          </w:tcPr>
          <w:p w14:paraId="5243C7C5" w14:textId="77777777" w:rsidR="00C91B5F" w:rsidRPr="00BA1E8A" w:rsidRDefault="00C91B5F" w:rsidP="005D3905">
            <w:pPr>
              <w:pStyle w:val="Tableformat"/>
              <w:rPr>
                <w:color w:val="auto"/>
              </w:rPr>
            </w:pPr>
            <w:r w:rsidRPr="00BA1E8A">
              <w:rPr>
                <w:color w:val="auto"/>
              </w:rPr>
              <w:t xml:space="preserve">This Schedule is expected to expire on </w:t>
            </w:r>
            <w:r w:rsidR="00232880" w:rsidRPr="00BA1E8A">
              <w:rPr>
                <w:color w:val="auto"/>
              </w:rPr>
              <w:t xml:space="preserve">30 </w:t>
            </w:r>
            <w:r w:rsidR="000C3B52">
              <w:rPr>
                <w:color w:val="auto"/>
              </w:rPr>
              <w:t xml:space="preserve">September </w:t>
            </w:r>
            <w:r w:rsidR="00232880" w:rsidRPr="00BA1E8A">
              <w:rPr>
                <w:color w:val="auto"/>
              </w:rPr>
              <w:t>2023.</w:t>
            </w:r>
            <w:r w:rsidR="00B91D5A">
              <w:rPr>
                <w:color w:val="auto"/>
              </w:rPr>
              <w:t xml:space="preserve"> </w:t>
            </w:r>
          </w:p>
          <w:p w14:paraId="76F061AF" w14:textId="77777777" w:rsidR="00DD3968" w:rsidRPr="00DD3968" w:rsidRDefault="00DD3968" w:rsidP="005D3905">
            <w:pPr>
              <w:pStyle w:val="Tableformat"/>
              <w:rPr>
                <w:color w:val="auto"/>
                <w:highlight w:val="yellow"/>
              </w:rPr>
            </w:pPr>
          </w:p>
        </w:tc>
      </w:tr>
      <w:tr w:rsidR="00C91B5F" w:rsidRPr="00F00A18" w14:paraId="1D2E8424" w14:textId="77777777" w:rsidTr="00F60618">
        <w:tc>
          <w:tcPr>
            <w:tcW w:w="1691" w:type="dxa"/>
            <w:shd w:val="clear" w:color="auto" w:fill="auto"/>
          </w:tcPr>
          <w:p w14:paraId="1895B8C5" w14:textId="77777777" w:rsidR="00C91B5F" w:rsidRPr="00F00A18" w:rsidRDefault="00C91B5F" w:rsidP="005D3905">
            <w:pPr>
              <w:pStyle w:val="Tableformat"/>
              <w:rPr>
                <w:color w:val="auto"/>
              </w:rPr>
            </w:pPr>
            <w:r w:rsidRPr="00F00A18">
              <w:rPr>
                <w:color w:val="auto"/>
              </w:rPr>
              <w:t>Purpose</w:t>
            </w:r>
          </w:p>
        </w:tc>
        <w:tc>
          <w:tcPr>
            <w:tcW w:w="7938" w:type="dxa"/>
            <w:shd w:val="clear" w:color="auto" w:fill="auto"/>
          </w:tcPr>
          <w:p w14:paraId="0D1450E4" w14:textId="77777777" w:rsidR="000B7E60" w:rsidRDefault="00044D76" w:rsidP="005D3905">
            <w:pPr>
              <w:pStyle w:val="Tableformat"/>
              <w:rPr>
                <w:color w:val="auto"/>
              </w:rPr>
            </w:pPr>
            <w:r>
              <w:rPr>
                <w:color w:val="auto"/>
              </w:rPr>
              <w:t xml:space="preserve">This </w:t>
            </w:r>
            <w:r w:rsidR="009D6648">
              <w:rPr>
                <w:color w:val="auto"/>
              </w:rPr>
              <w:t>S</w:t>
            </w:r>
            <w:r>
              <w:rPr>
                <w:color w:val="auto"/>
              </w:rPr>
              <w:t xml:space="preserve">chedule will support the delivery of </w:t>
            </w:r>
            <w:r w:rsidR="00B53796">
              <w:rPr>
                <w:color w:val="auto"/>
              </w:rPr>
              <w:t xml:space="preserve">timely and effective </w:t>
            </w:r>
            <w:r w:rsidR="000977B9">
              <w:rPr>
                <w:color w:val="auto"/>
              </w:rPr>
              <w:t xml:space="preserve">family law </w:t>
            </w:r>
            <w:r w:rsidR="005B79BD">
              <w:rPr>
                <w:color w:val="auto"/>
              </w:rPr>
              <w:t xml:space="preserve">representation </w:t>
            </w:r>
            <w:r w:rsidR="000B7E60">
              <w:rPr>
                <w:color w:val="auto"/>
              </w:rPr>
              <w:t xml:space="preserve">services by legal aid commissions </w:t>
            </w:r>
            <w:r w:rsidR="000B7E60" w:rsidRPr="00E75F14">
              <w:rPr>
                <w:color w:val="auto"/>
              </w:rPr>
              <w:t xml:space="preserve">in response to </w:t>
            </w:r>
            <w:r w:rsidR="00DD1476">
              <w:rPr>
                <w:color w:val="auto"/>
              </w:rPr>
              <w:t xml:space="preserve">increased </w:t>
            </w:r>
            <w:r w:rsidR="000B7E60">
              <w:rPr>
                <w:color w:val="auto"/>
              </w:rPr>
              <w:t xml:space="preserve">demand in the Federal Circuit and Family Court of Australia </w:t>
            </w:r>
            <w:r w:rsidR="00A77DA3">
              <w:rPr>
                <w:color w:val="auto"/>
              </w:rPr>
              <w:t>arising</w:t>
            </w:r>
            <w:r w:rsidR="000B7E60">
              <w:rPr>
                <w:color w:val="auto"/>
              </w:rPr>
              <w:t xml:space="preserve"> from </w:t>
            </w:r>
            <w:r w:rsidR="004E4764">
              <w:rPr>
                <w:color w:val="auto"/>
              </w:rPr>
              <w:t xml:space="preserve">the new </w:t>
            </w:r>
            <w:r w:rsidR="000B7E60">
              <w:rPr>
                <w:color w:val="auto"/>
              </w:rPr>
              <w:t xml:space="preserve">case management </w:t>
            </w:r>
            <w:r w:rsidR="004E4764">
              <w:rPr>
                <w:color w:val="auto"/>
              </w:rPr>
              <w:t>approach</w:t>
            </w:r>
            <w:r w:rsidR="000B7E60">
              <w:rPr>
                <w:color w:val="auto"/>
              </w:rPr>
              <w:t xml:space="preserve">. </w:t>
            </w:r>
          </w:p>
          <w:p w14:paraId="36A9CB07" w14:textId="1E332884" w:rsidR="009A4265" w:rsidRDefault="004607DB" w:rsidP="005D3905">
            <w:pPr>
              <w:pStyle w:val="Tableformat"/>
              <w:rPr>
                <w:color w:val="auto"/>
              </w:rPr>
            </w:pPr>
            <w:r>
              <w:rPr>
                <w:color w:val="auto"/>
              </w:rPr>
              <w:t>The</w:t>
            </w:r>
            <w:r w:rsidR="00ED51B0">
              <w:rPr>
                <w:color w:val="auto"/>
              </w:rPr>
              <w:t xml:space="preserve"> one-off</w:t>
            </w:r>
            <w:r>
              <w:rPr>
                <w:color w:val="auto"/>
              </w:rPr>
              <w:t xml:space="preserve"> funding will </w:t>
            </w:r>
            <w:r w:rsidR="00710DFF">
              <w:rPr>
                <w:color w:val="auto"/>
              </w:rPr>
              <w:t xml:space="preserve">ensure </w:t>
            </w:r>
            <w:r>
              <w:rPr>
                <w:color w:val="auto"/>
              </w:rPr>
              <w:t xml:space="preserve">legal aid commissions </w:t>
            </w:r>
            <w:r w:rsidR="00710DFF">
              <w:rPr>
                <w:color w:val="auto"/>
              </w:rPr>
              <w:t xml:space="preserve">have the capacity </w:t>
            </w:r>
            <w:r>
              <w:rPr>
                <w:color w:val="auto"/>
              </w:rPr>
              <w:t xml:space="preserve">to support the implementation of, and transition to, the new case management approach in the Federal Circuit and Family Court of Australia. </w:t>
            </w:r>
          </w:p>
          <w:p w14:paraId="6B1091B5" w14:textId="33EADCF7" w:rsidR="005B7D22" w:rsidRPr="00F00A18" w:rsidRDefault="00136621" w:rsidP="00ED51B0">
            <w:pPr>
              <w:pStyle w:val="Tableformat"/>
              <w:rPr>
                <w:color w:val="auto"/>
              </w:rPr>
            </w:pPr>
            <w:r>
              <w:rPr>
                <w:color w:val="auto"/>
              </w:rPr>
              <w:t xml:space="preserve">It will </w:t>
            </w:r>
            <w:r w:rsidR="00ED51B0">
              <w:rPr>
                <w:color w:val="auto"/>
              </w:rPr>
              <w:t>support</w:t>
            </w:r>
            <w:r w:rsidR="00F52CDE">
              <w:rPr>
                <w:color w:val="auto"/>
              </w:rPr>
              <w:t xml:space="preserve"> </w:t>
            </w:r>
            <w:r w:rsidR="009D6648">
              <w:rPr>
                <w:color w:val="auto"/>
              </w:rPr>
              <w:t xml:space="preserve">access </w:t>
            </w:r>
            <w:r w:rsidR="00BB29CD">
              <w:rPr>
                <w:color w:val="auto"/>
              </w:rPr>
              <w:t xml:space="preserve">to </w:t>
            </w:r>
            <w:r w:rsidR="00D7046E">
              <w:rPr>
                <w:color w:val="auto"/>
              </w:rPr>
              <w:t>representation</w:t>
            </w:r>
            <w:r w:rsidR="00BB29CD">
              <w:rPr>
                <w:color w:val="auto"/>
              </w:rPr>
              <w:t xml:space="preserve"> services in family law matters</w:t>
            </w:r>
            <w:r w:rsidR="00ED51B0">
              <w:rPr>
                <w:color w:val="auto"/>
              </w:rPr>
              <w:t xml:space="preserve"> during this transition period</w:t>
            </w:r>
            <w:r w:rsidR="00BB29CD">
              <w:rPr>
                <w:color w:val="auto"/>
              </w:rPr>
              <w:t xml:space="preserve">, so that </w:t>
            </w:r>
            <w:r w:rsidR="00EC5024">
              <w:rPr>
                <w:color w:val="auto"/>
              </w:rPr>
              <w:t xml:space="preserve">Australian families </w:t>
            </w:r>
            <w:r w:rsidR="00356A41">
              <w:rPr>
                <w:color w:val="auto"/>
              </w:rPr>
              <w:t xml:space="preserve">experiencing disadvantage </w:t>
            </w:r>
            <w:r w:rsidR="00BB29CD">
              <w:rPr>
                <w:color w:val="auto"/>
              </w:rPr>
              <w:t>are able to have</w:t>
            </w:r>
            <w:r w:rsidR="00B6769A">
              <w:rPr>
                <w:color w:val="auto"/>
              </w:rPr>
              <w:t xml:space="preserve"> </w:t>
            </w:r>
            <w:r w:rsidR="00AC07C8">
              <w:rPr>
                <w:color w:val="auto"/>
              </w:rPr>
              <w:t xml:space="preserve">their </w:t>
            </w:r>
            <w:r w:rsidR="00D625BA">
              <w:rPr>
                <w:color w:val="auto"/>
              </w:rPr>
              <w:t>issues resolved safely and without further delay</w:t>
            </w:r>
            <w:r w:rsidR="009D6648">
              <w:rPr>
                <w:color w:val="auto"/>
              </w:rPr>
              <w:t xml:space="preserve">. </w:t>
            </w:r>
          </w:p>
        </w:tc>
      </w:tr>
      <w:tr w:rsidR="00C91B5F" w:rsidRPr="00F00A18" w14:paraId="416D049E" w14:textId="77777777" w:rsidTr="00F60618">
        <w:trPr>
          <w:trHeight w:val="5538"/>
        </w:trPr>
        <w:tc>
          <w:tcPr>
            <w:tcW w:w="1691" w:type="dxa"/>
            <w:shd w:val="clear" w:color="auto" w:fill="auto"/>
          </w:tcPr>
          <w:p w14:paraId="119808E6" w14:textId="77777777" w:rsidR="00C91B5F" w:rsidRPr="00F00A18" w:rsidRDefault="00C91B5F" w:rsidP="005D3905">
            <w:pPr>
              <w:pStyle w:val="Tableformat"/>
              <w:rPr>
                <w:color w:val="auto"/>
              </w:rPr>
            </w:pPr>
            <w:r w:rsidRPr="00F00A18">
              <w:rPr>
                <w:color w:val="auto"/>
              </w:rPr>
              <w:lastRenderedPageBreak/>
              <w:t>Estimated financial contributions</w:t>
            </w:r>
          </w:p>
        </w:tc>
        <w:tc>
          <w:tcPr>
            <w:tcW w:w="7938" w:type="dxa"/>
            <w:shd w:val="clear" w:color="auto" w:fill="auto"/>
          </w:tcPr>
          <w:p w14:paraId="03B369B3" w14:textId="461F0197" w:rsidR="00C91B5F" w:rsidRDefault="00C91B5F" w:rsidP="005D3905">
            <w:pPr>
              <w:pStyle w:val="Tableformat"/>
              <w:rPr>
                <w:color w:val="auto"/>
              </w:rPr>
            </w:pPr>
            <w:r w:rsidRPr="00F00A18">
              <w:rPr>
                <w:color w:val="auto"/>
              </w:rPr>
              <w:t>The Commonwealth will provide an estimated total financial contribution to the State</w:t>
            </w:r>
            <w:r w:rsidR="00BF4C1F">
              <w:rPr>
                <w:color w:val="auto"/>
              </w:rPr>
              <w:t>s</w:t>
            </w:r>
            <w:r w:rsidRPr="00F00A18">
              <w:rPr>
                <w:color w:val="auto"/>
              </w:rPr>
              <w:t xml:space="preserve"> </w:t>
            </w:r>
            <w:r w:rsidRPr="00913CDC">
              <w:rPr>
                <w:color w:val="auto"/>
              </w:rPr>
              <w:t xml:space="preserve">of </w:t>
            </w:r>
            <w:r w:rsidRPr="00814C80">
              <w:rPr>
                <w:color w:val="auto"/>
              </w:rPr>
              <w:t>$</w:t>
            </w:r>
            <w:r w:rsidR="00784885">
              <w:rPr>
                <w:color w:val="auto"/>
              </w:rPr>
              <w:t>16</w:t>
            </w:r>
            <w:r w:rsidR="00913CDC" w:rsidRPr="00814C80">
              <w:rPr>
                <w:color w:val="auto"/>
              </w:rPr>
              <w:t>.</w:t>
            </w:r>
            <w:r w:rsidR="00784885">
              <w:rPr>
                <w:color w:val="auto"/>
              </w:rPr>
              <w:t>542</w:t>
            </w:r>
            <w:r w:rsidR="002460DE">
              <w:rPr>
                <w:color w:val="auto"/>
              </w:rPr>
              <w:t xml:space="preserve"> </w:t>
            </w:r>
            <w:r w:rsidRPr="00814C80">
              <w:rPr>
                <w:color w:val="auto"/>
              </w:rPr>
              <w:t>m</w:t>
            </w:r>
            <w:r w:rsidR="002460DE">
              <w:rPr>
                <w:color w:val="auto"/>
              </w:rPr>
              <w:t>illion (GST exclusive)</w:t>
            </w:r>
            <w:r w:rsidRPr="00913CDC">
              <w:rPr>
                <w:color w:val="auto"/>
              </w:rPr>
              <w:t xml:space="preserve"> in</w:t>
            </w:r>
            <w:r w:rsidRPr="00F00A18">
              <w:rPr>
                <w:color w:val="auto"/>
              </w:rPr>
              <w:t xml:space="preserve"> respect of this Schedule.</w:t>
            </w:r>
            <w:r w:rsidR="00232880">
              <w:rPr>
                <w:color w:val="auto"/>
              </w:rPr>
              <w:t xml:space="preserve"> </w:t>
            </w:r>
          </w:p>
          <w:p w14:paraId="291C9795" w14:textId="77777777" w:rsidR="00232880" w:rsidRDefault="00232880" w:rsidP="005D3905">
            <w:pPr>
              <w:pStyle w:val="Tableformat"/>
              <w:rPr>
                <w:color w:val="auto"/>
              </w:rPr>
            </w:pPr>
          </w:p>
          <w:tbl>
            <w:tblPr>
              <w:tblW w:w="4049" w:type="pct"/>
              <w:tblLook w:val="01E0" w:firstRow="1" w:lastRow="1" w:firstColumn="1" w:lastColumn="1" w:noHBand="0" w:noVBand="0"/>
            </w:tblPr>
            <w:tblGrid>
              <w:gridCol w:w="3311"/>
              <w:gridCol w:w="1469"/>
              <w:gridCol w:w="1469"/>
            </w:tblGrid>
            <w:tr w:rsidR="00784885" w:rsidRPr="00BA1E8A" w14:paraId="6633400B" w14:textId="77777777" w:rsidTr="004B66B8">
              <w:trPr>
                <w:cantSplit/>
              </w:trPr>
              <w:tc>
                <w:tcPr>
                  <w:tcW w:w="2649" w:type="pct"/>
                  <w:tcBorders>
                    <w:top w:val="single" w:sz="4" w:space="0" w:color="000080"/>
                    <w:bottom w:val="single" w:sz="4" w:space="0" w:color="000080"/>
                  </w:tcBorders>
                </w:tcPr>
                <w:p w14:paraId="3965B939" w14:textId="77777777" w:rsidR="00784885" w:rsidRPr="007007D7" w:rsidRDefault="00784885" w:rsidP="00FA62CF">
                  <w:pPr>
                    <w:keepNext/>
                    <w:keepLines/>
                    <w:spacing w:before="40" w:after="40"/>
                    <w:ind w:left="-111"/>
                    <w:rPr>
                      <w:b/>
                      <w:sz w:val="21"/>
                      <w:szCs w:val="21"/>
                    </w:rPr>
                  </w:pPr>
                  <w:r w:rsidRPr="007007D7">
                    <w:rPr>
                      <w:b/>
                      <w:sz w:val="21"/>
                      <w:szCs w:val="21"/>
                    </w:rPr>
                    <w:t>Table 1</w:t>
                  </w:r>
                </w:p>
                <w:p w14:paraId="280E5700" w14:textId="77777777" w:rsidR="00784885" w:rsidRPr="007007D7" w:rsidRDefault="00784885" w:rsidP="00FA62CF">
                  <w:pPr>
                    <w:keepNext/>
                    <w:keepLines/>
                    <w:spacing w:before="40" w:after="40"/>
                    <w:ind w:left="-111"/>
                    <w:rPr>
                      <w:b/>
                      <w:sz w:val="21"/>
                      <w:szCs w:val="21"/>
                    </w:rPr>
                  </w:pPr>
                  <w:r w:rsidRPr="007007D7">
                    <w:rPr>
                      <w:b/>
                      <w:sz w:val="21"/>
                      <w:szCs w:val="21"/>
                    </w:rPr>
                    <w:t>($</w:t>
                  </w:r>
                  <w:r>
                    <w:rPr>
                      <w:b/>
                      <w:sz w:val="21"/>
                      <w:szCs w:val="21"/>
                    </w:rPr>
                    <w:t xml:space="preserve"> m</w:t>
                  </w:r>
                  <w:r w:rsidRPr="007007D7">
                    <w:rPr>
                      <w:b/>
                      <w:sz w:val="21"/>
                      <w:szCs w:val="21"/>
                    </w:rPr>
                    <w:t>)</w:t>
                  </w:r>
                </w:p>
              </w:tc>
              <w:tc>
                <w:tcPr>
                  <w:tcW w:w="1175" w:type="pct"/>
                  <w:tcBorders>
                    <w:top w:val="single" w:sz="4" w:space="0" w:color="000080"/>
                    <w:bottom w:val="single" w:sz="4" w:space="0" w:color="000080"/>
                  </w:tcBorders>
                </w:tcPr>
                <w:p w14:paraId="05569364" w14:textId="77777777" w:rsidR="00784885" w:rsidRPr="007007D7" w:rsidRDefault="00784885" w:rsidP="00FA62CF">
                  <w:pPr>
                    <w:keepNext/>
                    <w:keepLines/>
                    <w:spacing w:before="40" w:after="40"/>
                    <w:jc w:val="right"/>
                    <w:rPr>
                      <w:b/>
                      <w:sz w:val="21"/>
                      <w:szCs w:val="21"/>
                    </w:rPr>
                  </w:pPr>
                </w:p>
                <w:p w14:paraId="516CD60C" w14:textId="77777777" w:rsidR="00784885" w:rsidRPr="007007D7" w:rsidRDefault="00784885" w:rsidP="00FA62CF">
                  <w:pPr>
                    <w:keepNext/>
                    <w:keepLines/>
                    <w:spacing w:before="40" w:after="40"/>
                    <w:jc w:val="right"/>
                    <w:rPr>
                      <w:b/>
                      <w:sz w:val="21"/>
                      <w:szCs w:val="21"/>
                    </w:rPr>
                  </w:pPr>
                  <w:r w:rsidRPr="007007D7">
                    <w:rPr>
                      <w:b/>
                      <w:sz w:val="21"/>
                      <w:szCs w:val="21"/>
                    </w:rPr>
                    <w:t>2022-23</w:t>
                  </w:r>
                </w:p>
              </w:tc>
              <w:tc>
                <w:tcPr>
                  <w:tcW w:w="1175" w:type="pct"/>
                  <w:tcBorders>
                    <w:top w:val="single" w:sz="4" w:space="0" w:color="000080"/>
                    <w:bottom w:val="single" w:sz="4" w:space="0" w:color="000080"/>
                    <w:right w:val="single" w:sz="4" w:space="0" w:color="auto"/>
                  </w:tcBorders>
                </w:tcPr>
                <w:p w14:paraId="1C15FB73" w14:textId="77777777" w:rsidR="00784885" w:rsidRPr="007007D7" w:rsidRDefault="00784885" w:rsidP="00FA62CF">
                  <w:pPr>
                    <w:keepNext/>
                    <w:keepLines/>
                    <w:spacing w:before="40" w:after="40"/>
                    <w:jc w:val="right"/>
                    <w:rPr>
                      <w:b/>
                      <w:sz w:val="21"/>
                      <w:szCs w:val="21"/>
                    </w:rPr>
                  </w:pPr>
                </w:p>
                <w:p w14:paraId="29852DA5" w14:textId="77777777" w:rsidR="00784885" w:rsidRPr="007007D7" w:rsidRDefault="00784885" w:rsidP="00FA62CF">
                  <w:pPr>
                    <w:keepNext/>
                    <w:keepLines/>
                    <w:spacing w:before="40" w:after="40"/>
                    <w:jc w:val="right"/>
                    <w:rPr>
                      <w:b/>
                      <w:sz w:val="21"/>
                      <w:szCs w:val="21"/>
                    </w:rPr>
                  </w:pPr>
                  <w:r w:rsidRPr="007007D7">
                    <w:rPr>
                      <w:b/>
                      <w:sz w:val="21"/>
                      <w:szCs w:val="21"/>
                    </w:rPr>
                    <w:t>Total</w:t>
                  </w:r>
                </w:p>
              </w:tc>
            </w:tr>
            <w:tr w:rsidR="004B66B8" w:rsidRPr="00BA1E8A" w14:paraId="01CFDBAF" w14:textId="77777777" w:rsidTr="004B66B8">
              <w:trPr>
                <w:cantSplit/>
              </w:trPr>
              <w:tc>
                <w:tcPr>
                  <w:tcW w:w="2649" w:type="pct"/>
                  <w:tcBorders>
                    <w:top w:val="single" w:sz="4" w:space="0" w:color="000080"/>
                  </w:tcBorders>
                </w:tcPr>
                <w:p w14:paraId="6EEB35F1" w14:textId="77777777" w:rsidR="004B66B8" w:rsidRPr="007007D7" w:rsidRDefault="004B66B8" w:rsidP="004B66B8">
                  <w:pPr>
                    <w:keepNext/>
                    <w:keepLines/>
                    <w:spacing w:before="60" w:after="60"/>
                    <w:ind w:left="-111"/>
                    <w:rPr>
                      <w:b/>
                      <w:sz w:val="21"/>
                      <w:szCs w:val="21"/>
                    </w:rPr>
                  </w:pPr>
                  <w:r w:rsidRPr="007007D7">
                    <w:rPr>
                      <w:b/>
                      <w:sz w:val="21"/>
                      <w:szCs w:val="21"/>
                    </w:rPr>
                    <w:t>Estimated total budget</w:t>
                  </w:r>
                </w:p>
              </w:tc>
              <w:tc>
                <w:tcPr>
                  <w:tcW w:w="1175" w:type="pct"/>
                  <w:tcBorders>
                    <w:top w:val="single" w:sz="4" w:space="0" w:color="000080"/>
                  </w:tcBorders>
                  <w:vAlign w:val="bottom"/>
                </w:tcPr>
                <w:p w14:paraId="21800A28" w14:textId="7B6FB55C" w:rsidR="004B66B8" w:rsidRPr="00C87319" w:rsidRDefault="004B66B8" w:rsidP="004B66B8">
                  <w:pPr>
                    <w:keepNext/>
                    <w:keepLines/>
                    <w:spacing w:before="40" w:after="40"/>
                    <w:jc w:val="right"/>
                    <w:rPr>
                      <w:b/>
                      <w:sz w:val="21"/>
                      <w:szCs w:val="21"/>
                    </w:rPr>
                  </w:pPr>
                  <w:r w:rsidRPr="00C87319">
                    <w:rPr>
                      <w:rFonts w:ascii="Calibri" w:hAnsi="Calibri" w:cs="Calibri"/>
                      <w:b/>
                      <w:color w:val="000000"/>
                    </w:rPr>
                    <w:t>16.54</w:t>
                  </w:r>
                  <w:r>
                    <w:rPr>
                      <w:rFonts w:ascii="Calibri" w:hAnsi="Calibri" w:cs="Calibri"/>
                      <w:b/>
                      <w:color w:val="000000"/>
                    </w:rPr>
                    <w:t>2</w:t>
                  </w:r>
                </w:p>
              </w:tc>
              <w:tc>
                <w:tcPr>
                  <w:tcW w:w="1175" w:type="pct"/>
                  <w:tcBorders>
                    <w:top w:val="single" w:sz="4" w:space="0" w:color="000080"/>
                  </w:tcBorders>
                  <w:vAlign w:val="bottom"/>
                </w:tcPr>
                <w:p w14:paraId="7A2245DD" w14:textId="2E0261BE" w:rsidR="004B66B8" w:rsidRPr="00C87319" w:rsidRDefault="004B66B8" w:rsidP="004B66B8">
                  <w:pPr>
                    <w:keepNext/>
                    <w:keepLines/>
                    <w:spacing w:before="40" w:after="40"/>
                    <w:jc w:val="right"/>
                    <w:rPr>
                      <w:b/>
                      <w:sz w:val="21"/>
                      <w:szCs w:val="21"/>
                    </w:rPr>
                  </w:pPr>
                  <w:r w:rsidRPr="00C87319">
                    <w:rPr>
                      <w:rFonts w:ascii="Calibri" w:hAnsi="Calibri" w:cs="Calibri"/>
                      <w:b/>
                      <w:color w:val="000000"/>
                    </w:rPr>
                    <w:t>16.54</w:t>
                  </w:r>
                  <w:r>
                    <w:rPr>
                      <w:rFonts w:ascii="Calibri" w:hAnsi="Calibri" w:cs="Calibri"/>
                      <w:b/>
                      <w:color w:val="000000"/>
                    </w:rPr>
                    <w:t>2</w:t>
                  </w:r>
                </w:p>
              </w:tc>
            </w:tr>
            <w:tr w:rsidR="004B66B8" w:rsidRPr="00BA1E8A" w14:paraId="5381F3FC" w14:textId="77777777" w:rsidTr="004B66B8">
              <w:trPr>
                <w:cantSplit/>
              </w:trPr>
              <w:tc>
                <w:tcPr>
                  <w:tcW w:w="2649" w:type="pct"/>
                </w:tcPr>
                <w:p w14:paraId="31AD03DE" w14:textId="77777777" w:rsidR="004B66B8" w:rsidRPr="007007D7" w:rsidRDefault="004B66B8" w:rsidP="004B66B8">
                  <w:pPr>
                    <w:pStyle w:val="ListParagraph"/>
                    <w:keepNext/>
                    <w:keepLines/>
                    <w:widowControl/>
                    <w:numPr>
                      <w:ilvl w:val="0"/>
                      <w:numId w:val="2"/>
                    </w:numPr>
                    <w:spacing w:before="60" w:after="60"/>
                    <w:rPr>
                      <w:rFonts w:ascii="Corbel" w:hAnsi="Corbel"/>
                      <w:sz w:val="21"/>
                      <w:szCs w:val="21"/>
                    </w:rPr>
                  </w:pPr>
                  <w:r w:rsidRPr="007007D7">
                    <w:rPr>
                      <w:rFonts w:ascii="Corbel" w:hAnsi="Corbel"/>
                      <w:sz w:val="21"/>
                      <w:szCs w:val="21"/>
                    </w:rPr>
                    <w:t>New South Wales</w:t>
                  </w:r>
                </w:p>
              </w:tc>
              <w:tc>
                <w:tcPr>
                  <w:tcW w:w="1175" w:type="pct"/>
                  <w:vAlign w:val="bottom"/>
                </w:tcPr>
                <w:p w14:paraId="63C0E9C7" w14:textId="5AA1BE2A" w:rsidR="004B66B8" w:rsidRPr="007007D7" w:rsidRDefault="004B66B8" w:rsidP="004B66B8">
                  <w:pPr>
                    <w:keepNext/>
                    <w:keepLines/>
                    <w:spacing w:before="40" w:after="40"/>
                    <w:jc w:val="right"/>
                    <w:rPr>
                      <w:sz w:val="21"/>
                      <w:szCs w:val="21"/>
                    </w:rPr>
                  </w:pPr>
                  <w:r>
                    <w:rPr>
                      <w:rFonts w:ascii="Calibri" w:hAnsi="Calibri" w:cs="Calibri"/>
                      <w:color w:val="000000"/>
                    </w:rPr>
                    <w:t>4.968</w:t>
                  </w:r>
                </w:p>
              </w:tc>
              <w:tc>
                <w:tcPr>
                  <w:tcW w:w="1175" w:type="pct"/>
                  <w:vAlign w:val="bottom"/>
                </w:tcPr>
                <w:p w14:paraId="3D030197" w14:textId="2C6C781D" w:rsidR="004B66B8" w:rsidRPr="007007D7" w:rsidRDefault="004B66B8" w:rsidP="004B66B8">
                  <w:pPr>
                    <w:keepNext/>
                    <w:keepLines/>
                    <w:spacing w:before="40" w:after="40"/>
                    <w:jc w:val="right"/>
                    <w:rPr>
                      <w:sz w:val="21"/>
                      <w:szCs w:val="21"/>
                    </w:rPr>
                  </w:pPr>
                  <w:r>
                    <w:rPr>
                      <w:rFonts w:ascii="Calibri" w:hAnsi="Calibri" w:cs="Calibri"/>
                      <w:color w:val="000000"/>
                    </w:rPr>
                    <w:t>4.968</w:t>
                  </w:r>
                </w:p>
              </w:tc>
            </w:tr>
            <w:tr w:rsidR="004B66B8" w:rsidRPr="00BA1E8A" w14:paraId="3362BB50" w14:textId="77777777" w:rsidTr="004B66B8">
              <w:trPr>
                <w:cantSplit/>
              </w:trPr>
              <w:tc>
                <w:tcPr>
                  <w:tcW w:w="2649" w:type="pct"/>
                </w:tcPr>
                <w:p w14:paraId="7B4ED21D" w14:textId="77777777" w:rsidR="004B66B8" w:rsidRPr="007007D7" w:rsidRDefault="004B66B8" w:rsidP="004B66B8">
                  <w:pPr>
                    <w:pStyle w:val="ListParagraph"/>
                    <w:keepNext/>
                    <w:keepLines/>
                    <w:widowControl/>
                    <w:numPr>
                      <w:ilvl w:val="0"/>
                      <w:numId w:val="2"/>
                    </w:numPr>
                    <w:spacing w:before="60" w:after="60"/>
                    <w:rPr>
                      <w:rFonts w:ascii="Corbel" w:hAnsi="Corbel"/>
                      <w:sz w:val="21"/>
                      <w:szCs w:val="21"/>
                    </w:rPr>
                  </w:pPr>
                  <w:r w:rsidRPr="007007D7">
                    <w:rPr>
                      <w:rFonts w:ascii="Corbel" w:hAnsi="Corbel"/>
                      <w:sz w:val="21"/>
                      <w:szCs w:val="21"/>
                    </w:rPr>
                    <w:t>Victoria</w:t>
                  </w:r>
                </w:p>
              </w:tc>
              <w:tc>
                <w:tcPr>
                  <w:tcW w:w="1175" w:type="pct"/>
                  <w:vAlign w:val="bottom"/>
                </w:tcPr>
                <w:p w14:paraId="379BF4C6" w14:textId="1FB19060" w:rsidR="004B66B8" w:rsidRPr="007007D7" w:rsidRDefault="004B66B8" w:rsidP="004B66B8">
                  <w:pPr>
                    <w:keepNext/>
                    <w:keepLines/>
                    <w:spacing w:before="40" w:after="40"/>
                    <w:jc w:val="right"/>
                    <w:rPr>
                      <w:sz w:val="21"/>
                      <w:szCs w:val="21"/>
                    </w:rPr>
                  </w:pPr>
                  <w:r>
                    <w:rPr>
                      <w:rFonts w:ascii="Calibri" w:hAnsi="Calibri" w:cs="Calibri"/>
                      <w:color w:val="000000"/>
                    </w:rPr>
                    <w:t>4.200</w:t>
                  </w:r>
                </w:p>
              </w:tc>
              <w:tc>
                <w:tcPr>
                  <w:tcW w:w="1175" w:type="pct"/>
                  <w:vAlign w:val="bottom"/>
                </w:tcPr>
                <w:p w14:paraId="79BC447A" w14:textId="5848ABF4" w:rsidR="004B66B8" w:rsidRPr="007007D7" w:rsidRDefault="004B66B8" w:rsidP="004B66B8">
                  <w:pPr>
                    <w:keepNext/>
                    <w:keepLines/>
                    <w:spacing w:before="40" w:after="40"/>
                    <w:jc w:val="right"/>
                    <w:rPr>
                      <w:sz w:val="21"/>
                      <w:szCs w:val="21"/>
                    </w:rPr>
                  </w:pPr>
                  <w:r>
                    <w:rPr>
                      <w:rFonts w:ascii="Calibri" w:hAnsi="Calibri" w:cs="Calibri"/>
                      <w:color w:val="000000"/>
                    </w:rPr>
                    <w:t>4.200</w:t>
                  </w:r>
                </w:p>
              </w:tc>
            </w:tr>
            <w:tr w:rsidR="004B66B8" w:rsidRPr="00BA1E8A" w14:paraId="4F72BD58" w14:textId="77777777" w:rsidTr="004B66B8">
              <w:trPr>
                <w:cantSplit/>
              </w:trPr>
              <w:tc>
                <w:tcPr>
                  <w:tcW w:w="2649" w:type="pct"/>
                </w:tcPr>
                <w:p w14:paraId="3CFDDAB0" w14:textId="77777777" w:rsidR="004B66B8" w:rsidRPr="007007D7" w:rsidRDefault="004B66B8" w:rsidP="004B66B8">
                  <w:pPr>
                    <w:pStyle w:val="ListParagraph"/>
                    <w:keepNext/>
                    <w:keepLines/>
                    <w:widowControl/>
                    <w:numPr>
                      <w:ilvl w:val="0"/>
                      <w:numId w:val="2"/>
                    </w:numPr>
                    <w:spacing w:before="60" w:after="60"/>
                    <w:rPr>
                      <w:rFonts w:ascii="Corbel" w:hAnsi="Corbel"/>
                      <w:sz w:val="21"/>
                      <w:szCs w:val="21"/>
                    </w:rPr>
                  </w:pPr>
                  <w:r w:rsidRPr="007007D7">
                    <w:rPr>
                      <w:rFonts w:ascii="Corbel" w:hAnsi="Corbel"/>
                      <w:sz w:val="21"/>
                      <w:szCs w:val="21"/>
                    </w:rPr>
                    <w:t>Queensland</w:t>
                  </w:r>
                </w:p>
              </w:tc>
              <w:tc>
                <w:tcPr>
                  <w:tcW w:w="1175" w:type="pct"/>
                  <w:vAlign w:val="bottom"/>
                </w:tcPr>
                <w:p w14:paraId="278ADDBA" w14:textId="679846B2" w:rsidR="004B66B8" w:rsidRPr="007007D7" w:rsidRDefault="004B66B8" w:rsidP="004B66B8">
                  <w:pPr>
                    <w:keepNext/>
                    <w:keepLines/>
                    <w:spacing w:before="40" w:after="40"/>
                    <w:jc w:val="right"/>
                    <w:rPr>
                      <w:sz w:val="21"/>
                      <w:szCs w:val="21"/>
                    </w:rPr>
                  </w:pPr>
                  <w:r>
                    <w:rPr>
                      <w:rFonts w:ascii="Calibri" w:hAnsi="Calibri" w:cs="Calibri"/>
                      <w:color w:val="000000"/>
                    </w:rPr>
                    <w:t>4.128</w:t>
                  </w:r>
                </w:p>
              </w:tc>
              <w:tc>
                <w:tcPr>
                  <w:tcW w:w="1175" w:type="pct"/>
                  <w:vAlign w:val="bottom"/>
                </w:tcPr>
                <w:p w14:paraId="062ABE47" w14:textId="76F98B0D" w:rsidR="004B66B8" w:rsidRPr="00920943" w:rsidRDefault="004B66B8" w:rsidP="004B66B8">
                  <w:pPr>
                    <w:keepNext/>
                    <w:keepLines/>
                    <w:spacing w:before="40" w:after="40"/>
                    <w:jc w:val="right"/>
                    <w:rPr>
                      <w:sz w:val="21"/>
                      <w:szCs w:val="21"/>
                    </w:rPr>
                  </w:pPr>
                  <w:r>
                    <w:rPr>
                      <w:rFonts w:ascii="Calibri" w:hAnsi="Calibri" w:cs="Calibri"/>
                      <w:color w:val="000000"/>
                    </w:rPr>
                    <w:t>4.128</w:t>
                  </w:r>
                </w:p>
              </w:tc>
            </w:tr>
            <w:tr w:rsidR="004B66B8" w:rsidRPr="00BA1E8A" w14:paraId="23F86BE9" w14:textId="77777777" w:rsidTr="004B66B8">
              <w:trPr>
                <w:cantSplit/>
              </w:trPr>
              <w:tc>
                <w:tcPr>
                  <w:tcW w:w="2649" w:type="pct"/>
                </w:tcPr>
                <w:p w14:paraId="7C863092" w14:textId="77777777" w:rsidR="004B66B8" w:rsidRPr="007007D7" w:rsidRDefault="004B66B8" w:rsidP="004B66B8">
                  <w:pPr>
                    <w:pStyle w:val="ListParagraph"/>
                    <w:keepNext/>
                    <w:keepLines/>
                    <w:widowControl/>
                    <w:numPr>
                      <w:ilvl w:val="0"/>
                      <w:numId w:val="2"/>
                    </w:numPr>
                    <w:spacing w:before="60" w:after="60"/>
                    <w:rPr>
                      <w:rFonts w:ascii="Corbel" w:hAnsi="Corbel"/>
                      <w:sz w:val="21"/>
                      <w:szCs w:val="21"/>
                    </w:rPr>
                  </w:pPr>
                  <w:r w:rsidRPr="007007D7">
                    <w:rPr>
                      <w:rFonts w:ascii="Corbel" w:hAnsi="Corbel"/>
                      <w:sz w:val="21"/>
                      <w:szCs w:val="21"/>
                    </w:rPr>
                    <w:t>South Australia</w:t>
                  </w:r>
                </w:p>
              </w:tc>
              <w:tc>
                <w:tcPr>
                  <w:tcW w:w="1175" w:type="pct"/>
                  <w:vAlign w:val="bottom"/>
                </w:tcPr>
                <w:p w14:paraId="1819202D" w14:textId="77777777" w:rsidR="004B66B8" w:rsidRPr="007007D7" w:rsidRDefault="004B66B8" w:rsidP="004B66B8">
                  <w:pPr>
                    <w:keepNext/>
                    <w:keepLines/>
                    <w:spacing w:before="40" w:after="40"/>
                    <w:jc w:val="right"/>
                    <w:rPr>
                      <w:sz w:val="21"/>
                      <w:szCs w:val="21"/>
                    </w:rPr>
                  </w:pPr>
                  <w:r>
                    <w:rPr>
                      <w:rFonts w:ascii="Calibri" w:hAnsi="Calibri" w:cs="Calibri"/>
                      <w:color w:val="000000"/>
                    </w:rPr>
                    <w:t>1.770</w:t>
                  </w:r>
                </w:p>
              </w:tc>
              <w:tc>
                <w:tcPr>
                  <w:tcW w:w="1175" w:type="pct"/>
                  <w:vAlign w:val="bottom"/>
                </w:tcPr>
                <w:p w14:paraId="2F08B4D1" w14:textId="5E5862A3" w:rsidR="004B66B8" w:rsidRPr="00920943" w:rsidRDefault="004B66B8" w:rsidP="004B66B8">
                  <w:pPr>
                    <w:keepNext/>
                    <w:keepLines/>
                    <w:spacing w:before="40" w:after="40"/>
                    <w:jc w:val="right"/>
                    <w:rPr>
                      <w:sz w:val="21"/>
                      <w:szCs w:val="21"/>
                    </w:rPr>
                  </w:pPr>
                  <w:r>
                    <w:rPr>
                      <w:rFonts w:ascii="Calibri" w:hAnsi="Calibri" w:cs="Calibri"/>
                      <w:color w:val="000000"/>
                    </w:rPr>
                    <w:t>1.770</w:t>
                  </w:r>
                </w:p>
              </w:tc>
            </w:tr>
            <w:tr w:rsidR="004B66B8" w:rsidRPr="00BA1E8A" w14:paraId="06BB62F7" w14:textId="77777777" w:rsidTr="004B66B8">
              <w:trPr>
                <w:cantSplit/>
              </w:trPr>
              <w:tc>
                <w:tcPr>
                  <w:tcW w:w="2649" w:type="pct"/>
                </w:tcPr>
                <w:p w14:paraId="609106A7" w14:textId="77777777" w:rsidR="004B66B8" w:rsidRPr="007007D7" w:rsidRDefault="004B66B8" w:rsidP="004B66B8">
                  <w:pPr>
                    <w:pStyle w:val="ListParagraph"/>
                    <w:keepNext/>
                    <w:keepLines/>
                    <w:widowControl/>
                    <w:numPr>
                      <w:ilvl w:val="0"/>
                      <w:numId w:val="2"/>
                    </w:numPr>
                    <w:spacing w:before="60" w:after="60"/>
                    <w:rPr>
                      <w:rFonts w:ascii="Corbel" w:hAnsi="Corbel"/>
                      <w:sz w:val="21"/>
                      <w:szCs w:val="21"/>
                    </w:rPr>
                  </w:pPr>
                  <w:r w:rsidRPr="007007D7">
                    <w:rPr>
                      <w:rFonts w:ascii="Corbel" w:hAnsi="Corbel"/>
                      <w:sz w:val="21"/>
                      <w:szCs w:val="21"/>
                    </w:rPr>
                    <w:t>Tasmania</w:t>
                  </w:r>
                </w:p>
              </w:tc>
              <w:tc>
                <w:tcPr>
                  <w:tcW w:w="1175" w:type="pct"/>
                  <w:vAlign w:val="bottom"/>
                </w:tcPr>
                <w:p w14:paraId="63ACA643" w14:textId="54F86F60" w:rsidR="004B66B8" w:rsidRPr="007007D7" w:rsidRDefault="004B66B8" w:rsidP="004B66B8">
                  <w:pPr>
                    <w:keepNext/>
                    <w:keepLines/>
                    <w:spacing w:before="40" w:after="40"/>
                    <w:jc w:val="right"/>
                    <w:rPr>
                      <w:sz w:val="21"/>
                      <w:szCs w:val="21"/>
                    </w:rPr>
                  </w:pPr>
                  <w:r>
                    <w:rPr>
                      <w:rFonts w:ascii="Calibri" w:hAnsi="Calibri" w:cs="Calibri"/>
                      <w:color w:val="000000"/>
                    </w:rPr>
                    <w:t>0.700</w:t>
                  </w:r>
                </w:p>
              </w:tc>
              <w:tc>
                <w:tcPr>
                  <w:tcW w:w="1175" w:type="pct"/>
                  <w:vAlign w:val="bottom"/>
                </w:tcPr>
                <w:p w14:paraId="0CC900A3" w14:textId="7FCCFD39" w:rsidR="004B66B8" w:rsidRPr="00920943" w:rsidRDefault="004B66B8" w:rsidP="004B66B8">
                  <w:pPr>
                    <w:keepNext/>
                    <w:keepLines/>
                    <w:spacing w:before="40" w:after="40"/>
                    <w:jc w:val="right"/>
                    <w:rPr>
                      <w:sz w:val="21"/>
                      <w:szCs w:val="21"/>
                    </w:rPr>
                  </w:pPr>
                  <w:r>
                    <w:rPr>
                      <w:rFonts w:ascii="Calibri" w:hAnsi="Calibri" w:cs="Calibri"/>
                      <w:color w:val="000000"/>
                    </w:rPr>
                    <w:t>0.700</w:t>
                  </w:r>
                </w:p>
              </w:tc>
            </w:tr>
            <w:tr w:rsidR="004B66B8" w:rsidRPr="00BA1E8A" w14:paraId="4394C98E" w14:textId="77777777" w:rsidTr="004B66B8">
              <w:trPr>
                <w:cantSplit/>
              </w:trPr>
              <w:tc>
                <w:tcPr>
                  <w:tcW w:w="2649" w:type="pct"/>
                </w:tcPr>
                <w:p w14:paraId="2417F56D" w14:textId="77777777" w:rsidR="004B66B8" w:rsidRPr="007007D7" w:rsidRDefault="004B66B8" w:rsidP="004B66B8">
                  <w:pPr>
                    <w:pStyle w:val="ListParagraph"/>
                    <w:keepNext/>
                    <w:keepLines/>
                    <w:widowControl/>
                    <w:numPr>
                      <w:ilvl w:val="0"/>
                      <w:numId w:val="2"/>
                    </w:numPr>
                    <w:spacing w:before="60" w:after="60"/>
                    <w:rPr>
                      <w:rFonts w:ascii="Corbel" w:hAnsi="Corbel"/>
                      <w:sz w:val="21"/>
                      <w:szCs w:val="21"/>
                    </w:rPr>
                  </w:pPr>
                  <w:r w:rsidRPr="007007D7">
                    <w:rPr>
                      <w:rFonts w:ascii="Corbel" w:hAnsi="Corbel"/>
                      <w:sz w:val="21"/>
                      <w:szCs w:val="21"/>
                    </w:rPr>
                    <w:t>Australian Capital Territory</w:t>
                  </w:r>
                </w:p>
              </w:tc>
              <w:tc>
                <w:tcPr>
                  <w:tcW w:w="1175" w:type="pct"/>
                  <w:vAlign w:val="bottom"/>
                </w:tcPr>
                <w:p w14:paraId="6743E1BB" w14:textId="736F94B3" w:rsidR="004B66B8" w:rsidRPr="007007D7" w:rsidRDefault="004B66B8" w:rsidP="004B66B8">
                  <w:pPr>
                    <w:keepNext/>
                    <w:keepLines/>
                    <w:spacing w:before="40" w:after="40"/>
                    <w:jc w:val="right"/>
                    <w:rPr>
                      <w:sz w:val="21"/>
                      <w:szCs w:val="21"/>
                    </w:rPr>
                  </w:pPr>
                  <w:r>
                    <w:rPr>
                      <w:rFonts w:ascii="Calibri" w:hAnsi="Calibri" w:cs="Calibri"/>
                      <w:color w:val="000000"/>
                    </w:rPr>
                    <w:t>0.512</w:t>
                  </w:r>
                </w:p>
              </w:tc>
              <w:tc>
                <w:tcPr>
                  <w:tcW w:w="1175" w:type="pct"/>
                  <w:vAlign w:val="bottom"/>
                </w:tcPr>
                <w:p w14:paraId="6DBCCAB4" w14:textId="761B7721" w:rsidR="004B66B8" w:rsidRPr="00920943" w:rsidRDefault="004B66B8" w:rsidP="004B66B8">
                  <w:pPr>
                    <w:keepNext/>
                    <w:keepLines/>
                    <w:spacing w:before="40" w:after="40"/>
                    <w:jc w:val="right"/>
                    <w:rPr>
                      <w:sz w:val="21"/>
                      <w:szCs w:val="21"/>
                    </w:rPr>
                  </w:pPr>
                  <w:r>
                    <w:rPr>
                      <w:rFonts w:ascii="Calibri" w:hAnsi="Calibri" w:cs="Calibri"/>
                      <w:color w:val="000000"/>
                    </w:rPr>
                    <w:t>0.512</w:t>
                  </w:r>
                </w:p>
              </w:tc>
            </w:tr>
            <w:tr w:rsidR="004B66B8" w:rsidRPr="00BA1E8A" w14:paraId="635891D3" w14:textId="77777777" w:rsidTr="004B66B8">
              <w:trPr>
                <w:cantSplit/>
              </w:trPr>
              <w:tc>
                <w:tcPr>
                  <w:tcW w:w="2649" w:type="pct"/>
                  <w:tcBorders>
                    <w:bottom w:val="single" w:sz="4" w:space="0" w:color="auto"/>
                  </w:tcBorders>
                </w:tcPr>
                <w:p w14:paraId="779BE56F" w14:textId="77777777" w:rsidR="004B66B8" w:rsidRPr="007007D7" w:rsidRDefault="004B66B8" w:rsidP="004B66B8">
                  <w:pPr>
                    <w:pStyle w:val="ListParagraph"/>
                    <w:keepNext/>
                    <w:keepLines/>
                    <w:widowControl/>
                    <w:numPr>
                      <w:ilvl w:val="0"/>
                      <w:numId w:val="2"/>
                    </w:numPr>
                    <w:spacing w:before="60" w:after="60"/>
                    <w:rPr>
                      <w:rFonts w:ascii="Corbel" w:hAnsi="Corbel"/>
                      <w:sz w:val="21"/>
                      <w:szCs w:val="21"/>
                    </w:rPr>
                  </w:pPr>
                  <w:r w:rsidRPr="007007D7">
                    <w:rPr>
                      <w:rFonts w:ascii="Corbel" w:hAnsi="Corbel"/>
                      <w:sz w:val="21"/>
                      <w:szCs w:val="21"/>
                    </w:rPr>
                    <w:t>Northern Territory</w:t>
                  </w:r>
                </w:p>
              </w:tc>
              <w:tc>
                <w:tcPr>
                  <w:tcW w:w="1175" w:type="pct"/>
                  <w:tcBorders>
                    <w:bottom w:val="single" w:sz="4" w:space="0" w:color="auto"/>
                  </w:tcBorders>
                  <w:vAlign w:val="bottom"/>
                </w:tcPr>
                <w:p w14:paraId="1E7372E7" w14:textId="77777777" w:rsidR="004B66B8" w:rsidRPr="007007D7" w:rsidRDefault="004B66B8" w:rsidP="004B66B8">
                  <w:pPr>
                    <w:keepNext/>
                    <w:keepLines/>
                    <w:spacing w:before="40" w:after="40"/>
                    <w:jc w:val="right"/>
                    <w:rPr>
                      <w:sz w:val="21"/>
                      <w:szCs w:val="21"/>
                    </w:rPr>
                  </w:pPr>
                  <w:r>
                    <w:rPr>
                      <w:rFonts w:ascii="Calibri" w:hAnsi="Calibri" w:cs="Calibri"/>
                      <w:color w:val="000000"/>
                    </w:rPr>
                    <w:t>0.264</w:t>
                  </w:r>
                </w:p>
              </w:tc>
              <w:tc>
                <w:tcPr>
                  <w:tcW w:w="1175" w:type="pct"/>
                  <w:tcBorders>
                    <w:bottom w:val="single" w:sz="4" w:space="0" w:color="auto"/>
                  </w:tcBorders>
                  <w:vAlign w:val="bottom"/>
                </w:tcPr>
                <w:p w14:paraId="39925CE7" w14:textId="16B61DE8" w:rsidR="004B66B8" w:rsidRPr="00920943" w:rsidRDefault="004B66B8" w:rsidP="004B66B8">
                  <w:pPr>
                    <w:keepNext/>
                    <w:keepLines/>
                    <w:spacing w:before="40" w:after="40"/>
                    <w:jc w:val="right"/>
                    <w:rPr>
                      <w:sz w:val="21"/>
                      <w:szCs w:val="21"/>
                    </w:rPr>
                  </w:pPr>
                  <w:r>
                    <w:rPr>
                      <w:rFonts w:ascii="Calibri" w:hAnsi="Calibri" w:cs="Calibri"/>
                      <w:color w:val="000000"/>
                    </w:rPr>
                    <w:t>0.264</w:t>
                  </w:r>
                </w:p>
              </w:tc>
            </w:tr>
          </w:tbl>
          <w:p w14:paraId="04FCC729" w14:textId="77777777" w:rsidR="00BF4C1F" w:rsidRPr="00F00A18" w:rsidRDefault="00BF4C1F" w:rsidP="005D3905">
            <w:pPr>
              <w:pStyle w:val="Tableformat"/>
              <w:rPr>
                <w:color w:val="auto"/>
              </w:rPr>
            </w:pPr>
          </w:p>
        </w:tc>
      </w:tr>
      <w:tr w:rsidR="00C91B5F" w:rsidRPr="00F00A18" w14:paraId="0F584C17" w14:textId="77777777" w:rsidTr="00F60618">
        <w:tc>
          <w:tcPr>
            <w:tcW w:w="1691" w:type="dxa"/>
            <w:shd w:val="clear" w:color="auto" w:fill="auto"/>
          </w:tcPr>
          <w:p w14:paraId="5DAC1AD6" w14:textId="4FAF8B75" w:rsidR="00C91B5F" w:rsidRPr="00F00A18" w:rsidRDefault="00C91B5F" w:rsidP="005D3905">
            <w:pPr>
              <w:pStyle w:val="Tableformat"/>
              <w:rPr>
                <w:color w:val="auto"/>
              </w:rPr>
            </w:pPr>
            <w:r w:rsidRPr="00F00A18">
              <w:rPr>
                <w:color w:val="auto"/>
              </w:rPr>
              <w:t>Additional terms</w:t>
            </w:r>
          </w:p>
        </w:tc>
        <w:tc>
          <w:tcPr>
            <w:tcW w:w="7938" w:type="dxa"/>
            <w:shd w:val="clear" w:color="auto" w:fill="auto"/>
          </w:tcPr>
          <w:p w14:paraId="3DAADD06" w14:textId="555E398C" w:rsidR="004B66B8" w:rsidRPr="004B66B8" w:rsidRDefault="009E5E99" w:rsidP="004B66B8">
            <w:pPr>
              <w:pStyle w:val="Tableformat"/>
              <w:numPr>
                <w:ilvl w:val="0"/>
                <w:numId w:val="9"/>
              </w:numPr>
              <w:rPr>
                <w:color w:val="auto"/>
              </w:rPr>
            </w:pPr>
            <w:r w:rsidRPr="004B66B8">
              <w:rPr>
                <w:color w:val="auto"/>
              </w:rPr>
              <w:t>The State</w:t>
            </w:r>
            <w:r w:rsidR="00CA0014" w:rsidRPr="004B66B8">
              <w:rPr>
                <w:color w:val="auto"/>
              </w:rPr>
              <w:t>s</w:t>
            </w:r>
            <w:r w:rsidRPr="004B66B8">
              <w:rPr>
                <w:color w:val="auto"/>
              </w:rPr>
              <w:t xml:space="preserve"> will be responsible for:</w:t>
            </w:r>
          </w:p>
          <w:p w14:paraId="5EEE08A4" w14:textId="6C7FAF0B" w:rsidR="004B66B8" w:rsidRDefault="004B66B8" w:rsidP="004B66B8">
            <w:pPr>
              <w:pStyle w:val="Tableformat"/>
              <w:numPr>
                <w:ilvl w:val="0"/>
                <w:numId w:val="5"/>
              </w:numPr>
              <w:rPr>
                <w:color w:val="auto"/>
              </w:rPr>
            </w:pPr>
            <w:r>
              <w:rPr>
                <w:color w:val="auto"/>
              </w:rPr>
              <w:t>ensuring that the services delivered with this funding are included in the reporting and Legal Assistance Service Data provided to the Commonwealth per the requirements of Part 4 and Schedule D of the National Legal Assistance Partnership 2020-25, and the funding is treated as if it were Commonwealth baseline funding for that purpose;</w:t>
            </w:r>
            <w:r>
              <w:rPr>
                <w:color w:val="auto"/>
              </w:rPr>
              <w:t xml:space="preserve"> and</w:t>
            </w:r>
          </w:p>
          <w:p w14:paraId="6EE92252" w14:textId="3B090D50" w:rsidR="004B66B8" w:rsidRDefault="004B66B8" w:rsidP="004B66B8">
            <w:pPr>
              <w:pStyle w:val="Tableformat"/>
              <w:numPr>
                <w:ilvl w:val="0"/>
                <w:numId w:val="5"/>
              </w:numPr>
              <w:rPr>
                <w:color w:val="auto"/>
              </w:rPr>
            </w:pPr>
            <w:r w:rsidRPr="00CA0014">
              <w:rPr>
                <w:color w:val="auto"/>
              </w:rPr>
              <w:t>ensuring data is collected and reported consistent with the National Legal Assistance Data Standards</w:t>
            </w:r>
            <w:r>
              <w:rPr>
                <w:color w:val="auto"/>
              </w:rPr>
              <w:t xml:space="preserve"> </w:t>
            </w:r>
            <w:r w:rsidRPr="00CA0014">
              <w:rPr>
                <w:color w:val="auto"/>
              </w:rPr>
              <w:t>Manual</w:t>
            </w:r>
            <w:r>
              <w:rPr>
                <w:color w:val="auto"/>
              </w:rPr>
              <w:t xml:space="preserve">. </w:t>
            </w:r>
          </w:p>
          <w:p w14:paraId="655096A5" w14:textId="77777777" w:rsidR="004B66B8" w:rsidRDefault="004B66B8" w:rsidP="004B66B8">
            <w:pPr>
              <w:pStyle w:val="Tableformat"/>
              <w:ind w:left="1080"/>
              <w:rPr>
                <w:color w:val="auto"/>
              </w:rPr>
            </w:pPr>
          </w:p>
          <w:p w14:paraId="13C85434" w14:textId="5B95E3E5" w:rsidR="004B66B8" w:rsidRDefault="004B66B8" w:rsidP="004B66B8">
            <w:pPr>
              <w:pStyle w:val="Tableformat"/>
              <w:numPr>
                <w:ilvl w:val="0"/>
                <w:numId w:val="9"/>
              </w:numPr>
              <w:rPr>
                <w:color w:val="auto"/>
              </w:rPr>
            </w:pPr>
            <w:r>
              <w:rPr>
                <w:color w:val="auto"/>
              </w:rPr>
              <w:t>The States will provide performance reports in accordance with Table 2. These performance reports are to contain:</w:t>
            </w:r>
          </w:p>
          <w:p w14:paraId="2054A541" w14:textId="3E4C2965" w:rsidR="001C5209" w:rsidRDefault="001C5209" w:rsidP="001C5209">
            <w:pPr>
              <w:pStyle w:val="Tableformat"/>
              <w:numPr>
                <w:ilvl w:val="0"/>
                <w:numId w:val="10"/>
              </w:numPr>
              <w:rPr>
                <w:color w:val="auto"/>
              </w:rPr>
            </w:pPr>
            <w:r>
              <w:rPr>
                <w:color w:val="auto"/>
              </w:rPr>
              <w:t>a statement confirming that this funding will be, or has been, used by the legal aid commission to respond to service demand in the Federal Circuit and Family Court of Australia arising from the new case management approach; and</w:t>
            </w:r>
          </w:p>
          <w:p w14:paraId="0ADCD16D" w14:textId="4BCF2DDA" w:rsidR="001C5209" w:rsidRDefault="001C5209" w:rsidP="001C5209">
            <w:pPr>
              <w:pStyle w:val="Tableformat"/>
              <w:numPr>
                <w:ilvl w:val="0"/>
                <w:numId w:val="10"/>
              </w:numPr>
              <w:rPr>
                <w:color w:val="auto"/>
              </w:rPr>
            </w:pPr>
            <w:r>
              <w:rPr>
                <w:color w:val="auto"/>
              </w:rPr>
              <w:t>an account by the legal aid commission of the impact of the new case management approach, including examples or case studies that compare the experience of users under the new and previous case management approaches.</w:t>
            </w:r>
          </w:p>
          <w:p w14:paraId="016D4E69" w14:textId="77777777" w:rsidR="004B66B8" w:rsidRDefault="004B66B8" w:rsidP="004B66B8">
            <w:pPr>
              <w:pStyle w:val="Tableformat"/>
              <w:ind w:left="720"/>
              <w:rPr>
                <w:color w:val="auto"/>
              </w:rPr>
            </w:pPr>
          </w:p>
          <w:p w14:paraId="6C7E2A66" w14:textId="77777777" w:rsidR="004B66B8" w:rsidRDefault="004B66B8" w:rsidP="004B66B8">
            <w:pPr>
              <w:pStyle w:val="Tableformat"/>
              <w:numPr>
                <w:ilvl w:val="0"/>
                <w:numId w:val="9"/>
              </w:numPr>
              <w:rPr>
                <w:color w:val="auto"/>
              </w:rPr>
            </w:pPr>
            <w:r>
              <w:rPr>
                <w:color w:val="auto"/>
              </w:rPr>
              <w:t>The Commonwealth may provide templates to be used for the performance reports required under Table 2 of this Schedule. If provided, reports must be completed in accordance with these templates.</w:t>
            </w:r>
          </w:p>
          <w:p w14:paraId="4E2238BB" w14:textId="77777777" w:rsidR="004B66B8" w:rsidRPr="00CA0014" w:rsidRDefault="004B66B8" w:rsidP="004B66B8">
            <w:pPr>
              <w:pStyle w:val="Tableformat"/>
              <w:numPr>
                <w:ilvl w:val="0"/>
                <w:numId w:val="9"/>
              </w:numPr>
              <w:rPr>
                <w:color w:val="auto"/>
              </w:rPr>
            </w:pPr>
            <w:r>
              <w:rPr>
                <w:color w:val="auto"/>
              </w:rPr>
              <w:lastRenderedPageBreak/>
              <w:t>The parties will meet biannually on a bilateral basis to discuss the operation of this Schedule. This can take place in conjunction with existing bilateral meetings under the National Legal Assistance Partnership 2020-25.</w:t>
            </w:r>
          </w:p>
          <w:p w14:paraId="72F0ED54" w14:textId="77777777" w:rsidR="00654D91" w:rsidRPr="00F00A18" w:rsidRDefault="00654D91" w:rsidP="004B66B8">
            <w:pPr>
              <w:pStyle w:val="Tableformat"/>
              <w:rPr>
                <w:i/>
                <w:color w:val="auto"/>
              </w:rPr>
            </w:pPr>
          </w:p>
        </w:tc>
      </w:tr>
    </w:tbl>
    <w:p w14:paraId="31642E4A" w14:textId="77777777" w:rsidR="00C91B5F" w:rsidRPr="00F00A18" w:rsidRDefault="00C91B5F" w:rsidP="00C91B5F"/>
    <w:p w14:paraId="780B9F5A" w14:textId="77777777" w:rsidR="00C91B5F" w:rsidRPr="00F00A18" w:rsidRDefault="00C91B5F" w:rsidP="00C91B5F">
      <w:pPr>
        <w:sectPr w:rsidR="00C91B5F" w:rsidRPr="00F00A18" w:rsidSect="00FD7C46">
          <w:footerReference w:type="even" r:id="rId13"/>
          <w:footerReference w:type="default" r:id="rId14"/>
          <w:headerReference w:type="first" r:id="rId15"/>
          <w:footerReference w:type="first" r:id="rId16"/>
          <w:pgSz w:w="11906" w:h="16838" w:code="9"/>
          <w:pgMar w:top="1134" w:right="1134" w:bottom="1134" w:left="1134" w:header="709" w:footer="709" w:gutter="0"/>
          <w:pgNumType w:chapStyle="9"/>
          <w:cols w:space="708"/>
          <w:titlePg/>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64"/>
        <w:gridCol w:w="7658"/>
        <w:gridCol w:w="1929"/>
        <w:gridCol w:w="1699"/>
      </w:tblGrid>
      <w:tr w:rsidR="00C91B5F" w:rsidRPr="00F00A18" w14:paraId="56F7E924" w14:textId="77777777" w:rsidTr="005D3905">
        <w:tc>
          <w:tcPr>
            <w:tcW w:w="14550" w:type="dxa"/>
            <w:gridSpan w:val="4"/>
            <w:shd w:val="clear" w:color="auto" w:fill="DEEAF6" w:themeFill="accent1" w:themeFillTint="33"/>
          </w:tcPr>
          <w:p w14:paraId="796E3808" w14:textId="77777777" w:rsidR="00C91B5F" w:rsidRPr="00F00A18" w:rsidRDefault="00C91B5F" w:rsidP="005D3905">
            <w:pPr>
              <w:pStyle w:val="Tableformat"/>
              <w:rPr>
                <w:b/>
                <w:color w:val="auto"/>
              </w:rPr>
            </w:pPr>
            <w:r w:rsidRPr="00F00A18">
              <w:rPr>
                <w:b/>
                <w:color w:val="auto"/>
              </w:rPr>
              <w:lastRenderedPageBreak/>
              <w:t>Table 2: Performance requirements, reporting and payment summary</w:t>
            </w:r>
          </w:p>
        </w:tc>
      </w:tr>
      <w:tr w:rsidR="00C91B5F" w:rsidRPr="00F00A18" w14:paraId="0F4AC5E3" w14:textId="77777777" w:rsidTr="005D3905">
        <w:tc>
          <w:tcPr>
            <w:tcW w:w="3264" w:type="dxa"/>
            <w:shd w:val="clear" w:color="auto" w:fill="F2F2F2" w:themeFill="background1" w:themeFillShade="F2"/>
          </w:tcPr>
          <w:p w14:paraId="1BF39CDB" w14:textId="77777777" w:rsidR="00C91B5F" w:rsidRPr="00F00A18" w:rsidRDefault="00C91B5F" w:rsidP="005D3905">
            <w:pPr>
              <w:pStyle w:val="Tableformat"/>
              <w:rPr>
                <w:b/>
                <w:color w:val="auto"/>
              </w:rPr>
            </w:pPr>
            <w:r w:rsidRPr="00F00A18">
              <w:rPr>
                <w:b/>
                <w:color w:val="auto"/>
              </w:rPr>
              <w:t>Output</w:t>
            </w:r>
            <w:r w:rsidRPr="00F00A18">
              <w:rPr>
                <w:b/>
                <w:color w:val="auto"/>
              </w:rPr>
              <w:br/>
            </w:r>
          </w:p>
        </w:tc>
        <w:tc>
          <w:tcPr>
            <w:tcW w:w="7658" w:type="dxa"/>
            <w:shd w:val="clear" w:color="auto" w:fill="F2F2F2" w:themeFill="background1" w:themeFillShade="F2"/>
          </w:tcPr>
          <w:p w14:paraId="3778A31F" w14:textId="77777777" w:rsidR="00C91B5F" w:rsidRPr="00F00A18" w:rsidRDefault="00C91B5F" w:rsidP="005D3905">
            <w:pPr>
              <w:pStyle w:val="Tableformat"/>
              <w:rPr>
                <w:b/>
                <w:color w:val="auto"/>
              </w:rPr>
            </w:pPr>
            <w:r w:rsidRPr="00F00A18">
              <w:rPr>
                <w:b/>
                <w:color w:val="auto"/>
              </w:rPr>
              <w:t>Performance milestones</w:t>
            </w:r>
          </w:p>
        </w:tc>
        <w:tc>
          <w:tcPr>
            <w:tcW w:w="1929" w:type="dxa"/>
            <w:shd w:val="clear" w:color="auto" w:fill="F2F2F2" w:themeFill="background1" w:themeFillShade="F2"/>
          </w:tcPr>
          <w:p w14:paraId="49DF2A11" w14:textId="77777777" w:rsidR="00C91B5F" w:rsidRPr="00F00A18" w:rsidRDefault="00C91B5F" w:rsidP="005D3905">
            <w:pPr>
              <w:pStyle w:val="Tableformat"/>
              <w:rPr>
                <w:b/>
                <w:color w:val="auto"/>
              </w:rPr>
            </w:pPr>
            <w:r w:rsidRPr="00F00A18">
              <w:rPr>
                <w:b/>
                <w:color w:val="auto"/>
              </w:rPr>
              <w:t>Report due</w:t>
            </w:r>
          </w:p>
        </w:tc>
        <w:tc>
          <w:tcPr>
            <w:tcW w:w="1699" w:type="dxa"/>
            <w:shd w:val="clear" w:color="auto" w:fill="F2F2F2" w:themeFill="background1" w:themeFillShade="F2"/>
          </w:tcPr>
          <w:p w14:paraId="1663B2A7" w14:textId="77777777" w:rsidR="00C91B5F" w:rsidRPr="00F00A18" w:rsidRDefault="00C91B5F" w:rsidP="005D3905">
            <w:pPr>
              <w:pStyle w:val="Tableformat"/>
              <w:rPr>
                <w:b/>
                <w:color w:val="auto"/>
              </w:rPr>
            </w:pPr>
            <w:r w:rsidRPr="00F00A18">
              <w:rPr>
                <w:b/>
                <w:color w:val="auto"/>
              </w:rPr>
              <w:t>Payment</w:t>
            </w:r>
          </w:p>
        </w:tc>
      </w:tr>
      <w:tr w:rsidR="002571C9" w:rsidRPr="00F00A18" w14:paraId="57D6D7E8" w14:textId="77777777" w:rsidTr="0048381D">
        <w:tc>
          <w:tcPr>
            <w:tcW w:w="3264" w:type="dxa"/>
            <w:vMerge w:val="restart"/>
            <w:tcBorders>
              <w:top w:val="single" w:sz="8" w:space="0" w:color="4F81BD"/>
              <w:left w:val="single" w:sz="8" w:space="0" w:color="4F81BD"/>
              <w:right w:val="single" w:sz="8" w:space="0" w:color="4F81BD"/>
            </w:tcBorders>
          </w:tcPr>
          <w:p w14:paraId="414F60B4" w14:textId="77777777" w:rsidR="00411F9E" w:rsidDel="00203113" w:rsidRDefault="00411F9E" w:rsidP="005D3905">
            <w:pPr>
              <w:pStyle w:val="Milestonetable"/>
              <w:rPr>
                <w:color w:val="auto"/>
              </w:rPr>
            </w:pPr>
            <w:r>
              <w:rPr>
                <w:color w:val="auto"/>
              </w:rPr>
              <w:t>D</w:t>
            </w:r>
            <w:r w:rsidRPr="00411F9E">
              <w:rPr>
                <w:color w:val="auto"/>
              </w:rPr>
              <w:t xml:space="preserve">elivery of </w:t>
            </w:r>
            <w:r w:rsidR="002511A8">
              <w:rPr>
                <w:color w:val="auto"/>
              </w:rPr>
              <w:t>representation</w:t>
            </w:r>
            <w:r w:rsidRPr="00411F9E">
              <w:rPr>
                <w:color w:val="auto"/>
              </w:rPr>
              <w:t xml:space="preserve"> services in family law matters in the Federal Circuit and Family Court of Australia by legal aid commissions</w:t>
            </w:r>
            <w:r>
              <w:rPr>
                <w:color w:val="auto"/>
              </w:rPr>
              <w:t xml:space="preserve"> </w:t>
            </w: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6DAD6B83" w14:textId="5272EA99" w:rsidR="002571C9" w:rsidRDefault="002571C9" w:rsidP="005D3905">
            <w:pPr>
              <w:pStyle w:val="Milestonetable"/>
              <w:rPr>
                <w:color w:val="auto"/>
              </w:rPr>
            </w:pPr>
            <w:r>
              <w:rPr>
                <w:color w:val="auto"/>
              </w:rPr>
              <w:t xml:space="preserve">Continued delivery of </w:t>
            </w:r>
            <w:r w:rsidR="002511A8">
              <w:rPr>
                <w:color w:val="auto"/>
              </w:rPr>
              <w:t>representation</w:t>
            </w:r>
            <w:r>
              <w:rPr>
                <w:color w:val="auto"/>
              </w:rPr>
              <w:t xml:space="preserve"> services in family law matters </w:t>
            </w:r>
            <w:r w:rsidRPr="00C80E9C">
              <w:rPr>
                <w:color w:val="auto"/>
              </w:rPr>
              <w:t>in the Federal Circuit and Family Court of Australia</w:t>
            </w:r>
            <w:r w:rsidR="00AE1EAF">
              <w:rPr>
                <w:color w:val="auto"/>
              </w:rPr>
              <w:t xml:space="preserve"> by </w:t>
            </w:r>
            <w:r w:rsidR="001C5209">
              <w:rPr>
                <w:color w:val="auto"/>
              </w:rPr>
              <w:t xml:space="preserve">the </w:t>
            </w:r>
            <w:r w:rsidR="00AE1EAF">
              <w:rPr>
                <w:color w:val="auto"/>
              </w:rPr>
              <w:t>legal aid commission</w:t>
            </w: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6DF880D2" w14:textId="563FA8DB" w:rsidR="002571C9" w:rsidRDefault="00C14A5B" w:rsidP="005D3905">
            <w:pPr>
              <w:pStyle w:val="Milestonetable"/>
              <w:rPr>
                <w:color w:val="auto"/>
              </w:rPr>
            </w:pPr>
            <w:r>
              <w:rPr>
                <w:color w:val="auto"/>
              </w:rPr>
              <w:t>On</w:t>
            </w:r>
            <w:r w:rsidR="00176F68">
              <w:rPr>
                <w:color w:val="auto"/>
              </w:rPr>
              <w:t xml:space="preserve"> </w:t>
            </w:r>
            <w:r w:rsidR="00275D7B">
              <w:rPr>
                <w:color w:val="auto"/>
              </w:rPr>
              <w:t>execution</w:t>
            </w:r>
            <w:r w:rsidR="00176F68">
              <w:rPr>
                <w:color w:val="auto"/>
              </w:rPr>
              <w:t xml:space="preserve"> of this Schedule</w:t>
            </w:r>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012DF71E" w14:textId="774E0B24" w:rsidR="002571C9" w:rsidRPr="000111D5" w:rsidRDefault="002571C9" w:rsidP="00986580">
            <w:pPr>
              <w:pStyle w:val="Milestonetable"/>
              <w:jc w:val="right"/>
              <w:rPr>
                <w:color w:val="auto"/>
              </w:rPr>
            </w:pPr>
            <w:r>
              <w:rPr>
                <w:color w:val="auto"/>
              </w:rPr>
              <w:t xml:space="preserve">100% of a </w:t>
            </w:r>
            <w:r w:rsidR="001C5209">
              <w:rPr>
                <w:color w:val="auto"/>
              </w:rPr>
              <w:t>State’s allocation</w:t>
            </w:r>
            <w:r>
              <w:rPr>
                <w:color w:val="auto"/>
              </w:rPr>
              <w:t xml:space="preserve"> in Table 1</w:t>
            </w:r>
          </w:p>
        </w:tc>
      </w:tr>
      <w:tr w:rsidR="002571C9" w:rsidRPr="00F00A18" w14:paraId="3F44A7C6" w14:textId="77777777" w:rsidTr="0048381D">
        <w:tc>
          <w:tcPr>
            <w:tcW w:w="3264" w:type="dxa"/>
            <w:vMerge/>
            <w:tcBorders>
              <w:left w:val="single" w:sz="8" w:space="0" w:color="4F81BD"/>
              <w:bottom w:val="single" w:sz="8" w:space="0" w:color="4F81BD"/>
              <w:right w:val="single" w:sz="8" w:space="0" w:color="4F81BD"/>
            </w:tcBorders>
          </w:tcPr>
          <w:p w14:paraId="5EC74234" w14:textId="77777777" w:rsidR="002571C9" w:rsidRPr="00F00A18" w:rsidRDefault="002571C9" w:rsidP="005D3905">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51F6C30E" w14:textId="463DD17F" w:rsidR="002571C9" w:rsidRPr="00F00A18" w:rsidRDefault="002571C9" w:rsidP="005D3905">
            <w:pPr>
              <w:pStyle w:val="Milestonetable"/>
              <w:rPr>
                <w:color w:val="auto"/>
              </w:rPr>
            </w:pPr>
            <w:r>
              <w:rPr>
                <w:color w:val="auto"/>
              </w:rPr>
              <w:t xml:space="preserve">Provision of a performance report relating to the operation of </w:t>
            </w:r>
            <w:r w:rsidR="002511A8">
              <w:rPr>
                <w:color w:val="auto"/>
              </w:rPr>
              <w:t>representation</w:t>
            </w:r>
            <w:r>
              <w:rPr>
                <w:color w:val="auto"/>
              </w:rPr>
              <w:t xml:space="preserve"> services by the legal aid commission in family law matters in the Federal Circuit and Family Court of Australia </w:t>
            </w:r>
            <w:r w:rsidR="00E05A9B">
              <w:rPr>
                <w:color w:val="auto"/>
              </w:rPr>
              <w:t>from</w:t>
            </w:r>
            <w:r>
              <w:rPr>
                <w:color w:val="auto"/>
              </w:rPr>
              <w:t xml:space="preserve"> 1 July 2022 to 3</w:t>
            </w:r>
            <w:r w:rsidR="00E05A9B">
              <w:rPr>
                <w:color w:val="auto"/>
              </w:rPr>
              <w:t xml:space="preserve">1 December </w:t>
            </w:r>
            <w:r>
              <w:rPr>
                <w:color w:val="auto"/>
              </w:rPr>
              <w:t>202</w:t>
            </w:r>
            <w:r w:rsidR="00E05A9B">
              <w:rPr>
                <w:color w:val="auto"/>
              </w:rPr>
              <w:t>2</w:t>
            </w:r>
            <w:r>
              <w:rPr>
                <w:color w:val="auto"/>
              </w:rPr>
              <w:t xml:space="preserve"> </w:t>
            </w: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48871039" w14:textId="2FD173DC" w:rsidR="002571C9" w:rsidRPr="00F00A18" w:rsidRDefault="002571C9" w:rsidP="005D3905">
            <w:pPr>
              <w:pStyle w:val="Milestonetable"/>
              <w:rPr>
                <w:color w:val="auto"/>
              </w:rPr>
            </w:pPr>
            <w:r>
              <w:rPr>
                <w:color w:val="auto"/>
              </w:rPr>
              <w:t>3</w:t>
            </w:r>
            <w:r w:rsidR="001C5209">
              <w:rPr>
                <w:color w:val="auto"/>
              </w:rPr>
              <w:t>1</w:t>
            </w:r>
            <w:r>
              <w:rPr>
                <w:color w:val="auto"/>
              </w:rPr>
              <w:t>/0</w:t>
            </w:r>
            <w:r w:rsidR="001C5209">
              <w:rPr>
                <w:color w:val="auto"/>
              </w:rPr>
              <w:t>3</w:t>
            </w:r>
            <w:r>
              <w:rPr>
                <w:color w:val="auto"/>
              </w:rPr>
              <w:t>/2023</w:t>
            </w:r>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6AD5AB92" w14:textId="77777777" w:rsidR="002571C9" w:rsidRPr="00EB4760" w:rsidRDefault="002571C9" w:rsidP="005D3905">
            <w:pPr>
              <w:pStyle w:val="Milestonetable"/>
              <w:jc w:val="right"/>
              <w:rPr>
                <w:color w:val="auto"/>
              </w:rPr>
            </w:pPr>
            <w:r>
              <w:rPr>
                <w:color w:val="auto"/>
              </w:rPr>
              <w:t>Nil</w:t>
            </w:r>
            <w:r w:rsidRPr="00EB4760">
              <w:rPr>
                <w:color w:val="auto"/>
              </w:rPr>
              <w:t xml:space="preserve"> </w:t>
            </w:r>
          </w:p>
        </w:tc>
      </w:tr>
    </w:tbl>
    <w:p w14:paraId="4A5F1495" w14:textId="77777777" w:rsidR="00C91B5F" w:rsidRDefault="00C91B5F" w:rsidP="00C91B5F"/>
    <w:p w14:paraId="7A35FD1A" w14:textId="77777777" w:rsidR="00884E8F" w:rsidRDefault="00884E8F" w:rsidP="00884E8F"/>
    <w:p w14:paraId="496FF816" w14:textId="77777777" w:rsidR="00884E8F" w:rsidRPr="00F00A18" w:rsidRDefault="00884E8F" w:rsidP="00884E8F"/>
    <w:p w14:paraId="61B71FFF" w14:textId="77777777" w:rsidR="00884E8F" w:rsidRPr="00F00A18" w:rsidRDefault="00884E8F" w:rsidP="00884E8F">
      <w:pPr>
        <w:tabs>
          <w:tab w:val="left" w:pos="3865"/>
        </w:tabs>
        <w:sectPr w:rsidR="00884E8F" w:rsidRPr="00F00A18" w:rsidSect="007E44E6">
          <w:headerReference w:type="even" r:id="rId17"/>
          <w:headerReference w:type="default" r:id="rId18"/>
          <w:headerReference w:type="first" r:id="rId19"/>
          <w:pgSz w:w="16838" w:h="11906" w:orient="landscape" w:code="9"/>
          <w:pgMar w:top="1134" w:right="1134" w:bottom="1134" w:left="1134" w:header="709" w:footer="709" w:gutter="0"/>
          <w:pgNumType w:chapStyle="9"/>
          <w:cols w:space="708"/>
          <w:titlePg/>
          <w:docGrid w:linePitch="360"/>
        </w:sectPr>
      </w:pPr>
      <w:r w:rsidRPr="00F00A18">
        <w:tab/>
      </w:r>
    </w:p>
    <w:p w14:paraId="68731F98" w14:textId="77777777" w:rsidR="00884E8F" w:rsidRDefault="00884E8F" w:rsidP="00884E8F">
      <w:pPr>
        <w:rPr>
          <w:lang w:val="en-GB"/>
        </w:rPr>
      </w:pPr>
      <w:r w:rsidRPr="00F00A18">
        <w:rPr>
          <w:lang w:val="en-GB"/>
        </w:rPr>
        <w:lastRenderedPageBreak/>
        <w:t xml:space="preserve">The </w:t>
      </w:r>
      <w:r w:rsidRPr="00F00A18">
        <w:rPr>
          <w:sz w:val="24"/>
          <w:szCs w:val="24"/>
        </w:rPr>
        <w:t>Parties</w:t>
      </w:r>
      <w:r w:rsidRPr="00F00A18">
        <w:rPr>
          <w:lang w:val="en-GB"/>
        </w:rPr>
        <w:t xml:space="preserve"> have confirmed their commitment to this schedule as follows:</w:t>
      </w:r>
    </w:p>
    <w:p w14:paraId="16B7D1E6" w14:textId="77777777" w:rsidR="00884E8F" w:rsidRPr="00F00A18" w:rsidRDefault="00884E8F" w:rsidP="00884E8F">
      <w:pPr>
        <w:rPr>
          <w:lang w:val="en-GB"/>
        </w:rPr>
      </w:pPr>
    </w:p>
    <w:tbl>
      <w:tblPr>
        <w:tblW w:w="0" w:type="auto"/>
        <w:jc w:val="center"/>
        <w:tblLayout w:type="fixed"/>
        <w:tblLook w:val="01E0" w:firstRow="1" w:lastRow="1" w:firstColumn="1" w:lastColumn="1" w:noHBand="0" w:noVBand="0"/>
      </w:tblPr>
      <w:tblGrid>
        <w:gridCol w:w="4536"/>
        <w:gridCol w:w="284"/>
        <w:gridCol w:w="4536"/>
      </w:tblGrid>
      <w:tr w:rsidR="00884E8F" w:rsidRPr="00F00A18" w14:paraId="1060895D" w14:textId="77777777" w:rsidTr="005D3905">
        <w:trPr>
          <w:cantSplit/>
          <w:jc w:val="center"/>
        </w:trPr>
        <w:tc>
          <w:tcPr>
            <w:tcW w:w="4536" w:type="dxa"/>
          </w:tcPr>
          <w:p w14:paraId="093724A5" w14:textId="77777777" w:rsidR="00884E8F" w:rsidRPr="00F00A18" w:rsidRDefault="00884E8F" w:rsidP="005D3905">
            <w:pPr>
              <w:pStyle w:val="Signed"/>
              <w:rPr>
                <w:color w:val="auto"/>
              </w:rPr>
            </w:pPr>
            <w:r w:rsidRPr="00F00A18">
              <w:rPr>
                <w:rStyle w:val="SignedBold"/>
                <w:color w:val="auto"/>
              </w:rPr>
              <w:t>Signed</w:t>
            </w:r>
            <w:r w:rsidRPr="00F00A18">
              <w:rPr>
                <w:color w:val="auto"/>
              </w:rPr>
              <w:t xml:space="preserve"> for and on behalf of the Commonwealth of </w:t>
            </w:r>
            <w:smartTag w:uri="urn:schemas-microsoft-com:office:smarttags" w:element="place">
              <w:smartTag w:uri="urn:schemas-microsoft-com:office:smarttags" w:element="country-region">
                <w:r w:rsidRPr="00F00A18">
                  <w:rPr>
                    <w:color w:val="auto"/>
                  </w:rPr>
                  <w:t>Australia</w:t>
                </w:r>
              </w:smartTag>
            </w:smartTag>
            <w:r w:rsidRPr="00F00A18">
              <w:rPr>
                <w:color w:val="auto"/>
              </w:rPr>
              <w:t xml:space="preserve"> by</w:t>
            </w:r>
          </w:p>
          <w:p w14:paraId="2B0C9000" w14:textId="77777777" w:rsidR="00884E8F" w:rsidRPr="00F00A18" w:rsidRDefault="00884E8F" w:rsidP="005D3905">
            <w:pPr>
              <w:pStyle w:val="LineForSignature"/>
              <w:rPr>
                <w:color w:val="auto"/>
              </w:rPr>
            </w:pPr>
            <w:r w:rsidRPr="00F00A18">
              <w:rPr>
                <w:color w:val="auto"/>
              </w:rPr>
              <w:tab/>
            </w:r>
          </w:p>
          <w:p w14:paraId="46A16F92" w14:textId="1DD62D4C" w:rsidR="00884E8F" w:rsidRPr="00F00A18" w:rsidRDefault="00861513" w:rsidP="005D3905">
            <w:pPr>
              <w:pStyle w:val="SingleParagraph"/>
              <w:rPr>
                <w:rStyle w:val="Bold"/>
                <w:color w:val="auto"/>
              </w:rPr>
            </w:pPr>
            <w:r>
              <w:rPr>
                <w:rStyle w:val="Bold"/>
                <w:color w:val="auto"/>
              </w:rPr>
              <w:t>T</w:t>
            </w:r>
            <w:r w:rsidR="00884E8F" w:rsidRPr="00F00A18">
              <w:rPr>
                <w:rStyle w:val="Bold"/>
                <w:color w:val="auto"/>
              </w:rPr>
              <w:t xml:space="preserve">he Honourable </w:t>
            </w:r>
            <w:r>
              <w:rPr>
                <w:rStyle w:val="Bold"/>
                <w:color w:val="auto"/>
              </w:rPr>
              <w:t>Mark Dreyfus QC MP</w:t>
            </w:r>
            <w:r w:rsidR="00884E8F" w:rsidRPr="00F00A18">
              <w:rPr>
                <w:rStyle w:val="Bold"/>
                <w:color w:val="auto"/>
              </w:rPr>
              <w:t xml:space="preserve"> </w:t>
            </w:r>
          </w:p>
          <w:p w14:paraId="539898DE" w14:textId="77777777" w:rsidR="00884E8F" w:rsidRPr="00F00A18" w:rsidRDefault="00BE6B07" w:rsidP="005D3905">
            <w:pPr>
              <w:pStyle w:val="Position"/>
              <w:rPr>
                <w:color w:val="auto"/>
                <w:lang w:val="en-GB"/>
              </w:rPr>
            </w:pPr>
            <w:r>
              <w:rPr>
                <w:color w:val="auto"/>
                <w:lang w:val="en-GB"/>
              </w:rPr>
              <w:t>Attorney</w:t>
            </w:r>
            <w:r w:rsidR="00C307EA">
              <w:rPr>
                <w:color w:val="auto"/>
                <w:lang w:val="en-GB"/>
              </w:rPr>
              <w:t>-</w:t>
            </w:r>
            <w:r>
              <w:rPr>
                <w:color w:val="auto"/>
                <w:lang w:val="en-GB"/>
              </w:rPr>
              <w:t>General</w:t>
            </w:r>
            <w:r w:rsidR="00200636">
              <w:rPr>
                <w:color w:val="auto"/>
                <w:lang w:val="en-GB"/>
              </w:rPr>
              <w:t xml:space="preserve"> of the Commonwealth of Australia</w:t>
            </w:r>
          </w:p>
          <w:p w14:paraId="174CACBC" w14:textId="77777777" w:rsidR="00884E8F" w:rsidRPr="00F00A18" w:rsidRDefault="00884E8F" w:rsidP="005D3905">
            <w:pPr>
              <w:pStyle w:val="SingleParagraph"/>
              <w:tabs>
                <w:tab w:val="num" w:pos="1134"/>
              </w:tabs>
              <w:spacing w:after="240"/>
              <w:ind w:left="1134" w:hanging="567"/>
              <w:rPr>
                <w:b/>
                <w:color w:val="auto"/>
                <w:lang w:val="en-GB"/>
              </w:rPr>
            </w:pPr>
            <w:r w:rsidRPr="00F00A18">
              <w:rPr>
                <w:color w:val="auto"/>
                <w:lang w:val="en-GB"/>
              </w:rPr>
              <w:t>[Day]  [Month]  [Year]</w:t>
            </w:r>
          </w:p>
        </w:tc>
        <w:tc>
          <w:tcPr>
            <w:tcW w:w="284" w:type="dxa"/>
            <w:tcMar>
              <w:left w:w="0" w:type="dxa"/>
              <w:right w:w="0" w:type="dxa"/>
            </w:tcMar>
          </w:tcPr>
          <w:p w14:paraId="06B431B2" w14:textId="77777777" w:rsidR="00884E8F" w:rsidRPr="00F00A18" w:rsidRDefault="00884E8F" w:rsidP="005D3905">
            <w:pPr>
              <w:rPr>
                <w:rFonts w:ascii="Book Antiqua" w:hAnsi="Book Antiqua"/>
                <w:lang w:val="en-GB"/>
              </w:rPr>
            </w:pPr>
          </w:p>
        </w:tc>
        <w:tc>
          <w:tcPr>
            <w:tcW w:w="4536" w:type="dxa"/>
          </w:tcPr>
          <w:p w14:paraId="5B26CF45" w14:textId="77777777" w:rsidR="00884E8F" w:rsidRPr="00F00A18" w:rsidRDefault="00884E8F" w:rsidP="005D3905">
            <w:pPr>
              <w:rPr>
                <w:rFonts w:ascii="Book Antiqua" w:hAnsi="Book Antiqua"/>
                <w:lang w:val="en-GB"/>
              </w:rPr>
            </w:pPr>
          </w:p>
        </w:tc>
      </w:tr>
      <w:tr w:rsidR="00884E8F" w:rsidRPr="00F00A18" w14:paraId="4105E87F" w14:textId="77777777" w:rsidTr="005D3905">
        <w:trPr>
          <w:cantSplit/>
          <w:jc w:val="center"/>
        </w:trPr>
        <w:tc>
          <w:tcPr>
            <w:tcW w:w="4536" w:type="dxa"/>
          </w:tcPr>
          <w:p w14:paraId="11DA289C" w14:textId="77777777" w:rsidR="00884E8F" w:rsidRPr="00F00A18" w:rsidRDefault="00884E8F" w:rsidP="005D3905">
            <w:pPr>
              <w:pStyle w:val="SingleParagraph"/>
              <w:rPr>
                <w:rFonts w:ascii="Book Antiqua" w:hAnsi="Book Antiqua"/>
                <w:color w:val="auto"/>
                <w:lang w:val="en-GB"/>
              </w:rPr>
            </w:pPr>
          </w:p>
        </w:tc>
        <w:tc>
          <w:tcPr>
            <w:tcW w:w="284" w:type="dxa"/>
            <w:tcMar>
              <w:left w:w="0" w:type="dxa"/>
              <w:right w:w="0" w:type="dxa"/>
            </w:tcMar>
          </w:tcPr>
          <w:p w14:paraId="0FFE1811" w14:textId="77777777" w:rsidR="00884E8F" w:rsidRPr="00F00A18" w:rsidRDefault="00884E8F" w:rsidP="005D3905">
            <w:pPr>
              <w:pStyle w:val="SingleParagraph"/>
              <w:rPr>
                <w:rFonts w:ascii="Book Antiqua" w:hAnsi="Book Antiqua"/>
                <w:color w:val="auto"/>
                <w:lang w:val="en-GB"/>
              </w:rPr>
            </w:pPr>
          </w:p>
        </w:tc>
        <w:tc>
          <w:tcPr>
            <w:tcW w:w="4536" w:type="dxa"/>
          </w:tcPr>
          <w:p w14:paraId="37EA9A61" w14:textId="77777777" w:rsidR="00884E8F" w:rsidRPr="00F00A18" w:rsidRDefault="00884E8F" w:rsidP="005D3905">
            <w:pPr>
              <w:pStyle w:val="SingleParagraph"/>
              <w:rPr>
                <w:rFonts w:ascii="Book Antiqua" w:hAnsi="Book Antiqua"/>
                <w:color w:val="auto"/>
                <w:lang w:val="en-GB"/>
              </w:rPr>
            </w:pPr>
          </w:p>
        </w:tc>
      </w:tr>
      <w:tr w:rsidR="00884E8F" w:rsidRPr="00F00A18" w14:paraId="17EE5FDE" w14:textId="77777777" w:rsidTr="005D3905">
        <w:trPr>
          <w:cantSplit/>
          <w:jc w:val="center"/>
        </w:trPr>
        <w:tc>
          <w:tcPr>
            <w:tcW w:w="4536" w:type="dxa"/>
          </w:tcPr>
          <w:p w14:paraId="434EBE21" w14:textId="77777777" w:rsidR="00884E8F" w:rsidRPr="00F00A18" w:rsidRDefault="00884E8F" w:rsidP="005D3905">
            <w:pPr>
              <w:pStyle w:val="Signed"/>
              <w:rPr>
                <w:color w:val="auto"/>
              </w:rPr>
            </w:pPr>
            <w:r w:rsidRPr="00F00A18">
              <w:rPr>
                <w:rStyle w:val="SignedBold"/>
                <w:color w:val="auto"/>
              </w:rPr>
              <w:t>Signed</w:t>
            </w:r>
            <w:r w:rsidRPr="00F00A18">
              <w:rPr>
                <w:color w:val="auto"/>
              </w:rPr>
              <w:t xml:space="preserve"> for and on behalf of the </w:t>
            </w:r>
            <w:r w:rsidRPr="00F00A18">
              <w:rPr>
                <w:color w:val="auto"/>
              </w:rPr>
              <w:br/>
              <w:t xml:space="preserve">State of </w:t>
            </w:r>
            <w:smartTag w:uri="urn:schemas-microsoft-com:office:smarttags" w:element="place">
              <w:smartTag w:uri="urn:schemas-microsoft-com:office:smarttags" w:element="State">
                <w:r w:rsidRPr="00F00A18">
                  <w:rPr>
                    <w:color w:val="auto"/>
                  </w:rPr>
                  <w:t>New South Wales</w:t>
                </w:r>
              </w:smartTag>
            </w:smartTag>
            <w:r w:rsidRPr="00F00A18">
              <w:rPr>
                <w:color w:val="auto"/>
              </w:rPr>
              <w:t xml:space="preserve"> by</w:t>
            </w:r>
          </w:p>
          <w:p w14:paraId="60A3F45B" w14:textId="77777777" w:rsidR="00884E8F" w:rsidRPr="00F00A18" w:rsidRDefault="00884E8F" w:rsidP="005D3905">
            <w:pPr>
              <w:pStyle w:val="LineForSignature"/>
              <w:rPr>
                <w:color w:val="auto"/>
              </w:rPr>
            </w:pPr>
            <w:r w:rsidRPr="00F00A18">
              <w:rPr>
                <w:color w:val="auto"/>
              </w:rPr>
              <w:tab/>
            </w:r>
          </w:p>
          <w:p w14:paraId="0B884975" w14:textId="77777777" w:rsidR="00884E8F" w:rsidRPr="00F00A18" w:rsidRDefault="00884E8F" w:rsidP="005D3905">
            <w:pPr>
              <w:pStyle w:val="SingleParagraph"/>
              <w:rPr>
                <w:rStyle w:val="Bold"/>
                <w:color w:val="auto"/>
              </w:rPr>
            </w:pPr>
            <w:r w:rsidRPr="00F00A18">
              <w:rPr>
                <w:rStyle w:val="Bold"/>
                <w:color w:val="auto"/>
              </w:rPr>
              <w:t xml:space="preserve">The Honourable </w:t>
            </w:r>
            <w:r w:rsidR="00354044">
              <w:rPr>
                <w:rStyle w:val="Bold"/>
                <w:color w:val="auto"/>
              </w:rPr>
              <w:t>Mark Speakman</w:t>
            </w:r>
            <w:r w:rsidRPr="00F00A18">
              <w:rPr>
                <w:rStyle w:val="Bold"/>
                <w:color w:val="auto"/>
              </w:rPr>
              <w:t xml:space="preserve"> </w:t>
            </w:r>
            <w:r w:rsidR="00086301">
              <w:rPr>
                <w:rStyle w:val="Bold"/>
                <w:color w:val="auto"/>
              </w:rPr>
              <w:t xml:space="preserve">SC </w:t>
            </w:r>
            <w:r w:rsidRPr="00F00A18">
              <w:rPr>
                <w:rStyle w:val="Bold"/>
                <w:color w:val="auto"/>
              </w:rPr>
              <w:t>MP</w:t>
            </w:r>
          </w:p>
          <w:p w14:paraId="3BE9777F" w14:textId="77777777" w:rsidR="00884E8F" w:rsidRPr="00F00A18" w:rsidRDefault="00C307EA" w:rsidP="005D3905">
            <w:pPr>
              <w:pStyle w:val="Position"/>
              <w:rPr>
                <w:color w:val="auto"/>
                <w:lang w:val="en-GB"/>
              </w:rPr>
            </w:pPr>
            <w:r>
              <w:rPr>
                <w:color w:val="auto"/>
                <w:lang w:val="en-GB"/>
              </w:rPr>
              <w:t>Attorney</w:t>
            </w:r>
            <w:r w:rsidR="00DA32FD">
              <w:rPr>
                <w:color w:val="auto"/>
                <w:lang w:val="en-GB"/>
              </w:rPr>
              <w:t xml:space="preserve"> </w:t>
            </w:r>
            <w:r>
              <w:rPr>
                <w:color w:val="auto"/>
                <w:lang w:val="en-GB"/>
              </w:rPr>
              <w:t xml:space="preserve">General </w:t>
            </w:r>
            <w:r w:rsidR="00086301">
              <w:rPr>
                <w:color w:val="auto"/>
                <w:lang w:val="en-GB"/>
              </w:rPr>
              <w:t xml:space="preserve">of the State of </w:t>
            </w:r>
            <w:r>
              <w:rPr>
                <w:color w:val="auto"/>
                <w:lang w:val="en-GB"/>
              </w:rPr>
              <w:t>New South Wales</w:t>
            </w:r>
            <w:r w:rsidR="00884E8F" w:rsidRPr="00F00A18">
              <w:rPr>
                <w:color w:val="auto"/>
                <w:lang w:val="en-GB"/>
              </w:rPr>
              <w:t xml:space="preserve"> </w:t>
            </w:r>
          </w:p>
          <w:p w14:paraId="14BD460E" w14:textId="77777777" w:rsidR="00884E8F" w:rsidRPr="00F00A18" w:rsidRDefault="00884E8F" w:rsidP="005D3905">
            <w:pPr>
              <w:pStyle w:val="SingleParagraph"/>
              <w:tabs>
                <w:tab w:val="num" w:pos="1134"/>
              </w:tabs>
              <w:spacing w:after="240"/>
              <w:ind w:left="1134" w:hanging="567"/>
              <w:rPr>
                <w:color w:val="auto"/>
                <w:szCs w:val="22"/>
                <w:lang w:val="en-GB"/>
              </w:rPr>
            </w:pPr>
            <w:r w:rsidRPr="00F00A18" w:rsidDel="00542A8C">
              <w:rPr>
                <w:bCs/>
                <w:color w:val="auto"/>
                <w:lang w:val="en-GB"/>
              </w:rPr>
              <w:t xml:space="preserve"> </w:t>
            </w:r>
            <w:r w:rsidRPr="00F00A18">
              <w:rPr>
                <w:color w:val="auto"/>
                <w:lang w:val="en-GB"/>
              </w:rPr>
              <w:t>[Day]  [Month]  [Year]</w:t>
            </w:r>
          </w:p>
        </w:tc>
        <w:tc>
          <w:tcPr>
            <w:tcW w:w="284" w:type="dxa"/>
            <w:tcMar>
              <w:left w:w="0" w:type="dxa"/>
              <w:right w:w="0" w:type="dxa"/>
            </w:tcMar>
          </w:tcPr>
          <w:p w14:paraId="70ECA1E9" w14:textId="77777777" w:rsidR="00884E8F" w:rsidRPr="00F00A18" w:rsidRDefault="00884E8F" w:rsidP="005D3905">
            <w:pPr>
              <w:rPr>
                <w:rFonts w:ascii="Book Antiqua" w:hAnsi="Book Antiqua"/>
                <w:lang w:val="en-GB"/>
              </w:rPr>
            </w:pPr>
          </w:p>
        </w:tc>
        <w:tc>
          <w:tcPr>
            <w:tcW w:w="4536" w:type="dxa"/>
          </w:tcPr>
          <w:p w14:paraId="666F955F" w14:textId="77777777" w:rsidR="00884E8F" w:rsidRPr="00F00A18" w:rsidRDefault="00884E8F" w:rsidP="005D3905">
            <w:pPr>
              <w:pStyle w:val="Signed"/>
              <w:rPr>
                <w:color w:val="auto"/>
              </w:rPr>
            </w:pPr>
            <w:r w:rsidRPr="00F00A18">
              <w:rPr>
                <w:rStyle w:val="SignedBold"/>
                <w:color w:val="auto"/>
              </w:rPr>
              <w:t>Signed</w:t>
            </w:r>
            <w:r w:rsidRPr="00F00A18">
              <w:rPr>
                <w:color w:val="auto"/>
              </w:rPr>
              <w:t xml:space="preserve"> for and on behalf of the</w:t>
            </w:r>
            <w:r w:rsidRPr="00F00A18">
              <w:rPr>
                <w:color w:val="auto"/>
              </w:rPr>
              <w:br/>
              <w:t xml:space="preserve">State of </w:t>
            </w:r>
            <w:smartTag w:uri="urn:schemas-microsoft-com:office:smarttags" w:element="place">
              <w:smartTag w:uri="urn:schemas-microsoft-com:office:smarttags" w:element="State">
                <w:r w:rsidRPr="00F00A18">
                  <w:rPr>
                    <w:color w:val="auto"/>
                  </w:rPr>
                  <w:t>Victoria</w:t>
                </w:r>
              </w:smartTag>
            </w:smartTag>
            <w:r w:rsidRPr="00F00A18">
              <w:rPr>
                <w:color w:val="auto"/>
              </w:rPr>
              <w:t xml:space="preserve"> by</w:t>
            </w:r>
          </w:p>
          <w:p w14:paraId="7EEB5137" w14:textId="77777777" w:rsidR="00884E8F" w:rsidRPr="00F00A18" w:rsidRDefault="00884E8F" w:rsidP="005D3905">
            <w:pPr>
              <w:pStyle w:val="LineForSignature"/>
              <w:rPr>
                <w:color w:val="auto"/>
              </w:rPr>
            </w:pPr>
            <w:r w:rsidRPr="00F00A18">
              <w:rPr>
                <w:color w:val="auto"/>
              </w:rPr>
              <w:tab/>
            </w:r>
          </w:p>
          <w:p w14:paraId="1F72EA48" w14:textId="77777777" w:rsidR="00884E8F" w:rsidRPr="00F00A18" w:rsidRDefault="00884E8F" w:rsidP="005D3905">
            <w:pPr>
              <w:pStyle w:val="SingleParagraph"/>
              <w:rPr>
                <w:rStyle w:val="Bold"/>
                <w:color w:val="auto"/>
              </w:rPr>
            </w:pPr>
            <w:r w:rsidRPr="00F00A18">
              <w:rPr>
                <w:rStyle w:val="Bold"/>
                <w:color w:val="auto"/>
              </w:rPr>
              <w:t xml:space="preserve">The Honourable </w:t>
            </w:r>
            <w:r w:rsidR="00C307EA">
              <w:rPr>
                <w:rStyle w:val="Bold"/>
                <w:color w:val="auto"/>
              </w:rPr>
              <w:t>Jaclyn Symes</w:t>
            </w:r>
            <w:r w:rsidRPr="00F00A18">
              <w:rPr>
                <w:rStyle w:val="Bold"/>
                <w:color w:val="auto"/>
              </w:rPr>
              <w:t xml:space="preserve"> M</w:t>
            </w:r>
            <w:r w:rsidR="00C307EA">
              <w:rPr>
                <w:rStyle w:val="Bold"/>
                <w:color w:val="auto"/>
              </w:rPr>
              <w:t>LC</w:t>
            </w:r>
          </w:p>
          <w:p w14:paraId="713C65FC" w14:textId="77777777" w:rsidR="00884E8F" w:rsidRPr="00F00A18" w:rsidRDefault="00C307EA" w:rsidP="005D3905">
            <w:pPr>
              <w:pStyle w:val="Position"/>
              <w:rPr>
                <w:color w:val="auto"/>
                <w:lang w:val="en-GB"/>
              </w:rPr>
            </w:pPr>
            <w:r>
              <w:rPr>
                <w:color w:val="auto"/>
                <w:lang w:val="en-GB"/>
              </w:rPr>
              <w:t xml:space="preserve">Attorney-General </w:t>
            </w:r>
            <w:r w:rsidR="00B367A3">
              <w:rPr>
                <w:color w:val="auto"/>
                <w:lang w:val="en-GB"/>
              </w:rPr>
              <w:t xml:space="preserve">of the State of </w:t>
            </w:r>
            <w:r>
              <w:rPr>
                <w:color w:val="auto"/>
                <w:lang w:val="en-GB"/>
              </w:rPr>
              <w:t>Victoria</w:t>
            </w:r>
            <w:r w:rsidR="00884E8F" w:rsidRPr="00F00A18">
              <w:rPr>
                <w:color w:val="auto"/>
                <w:lang w:val="en-GB"/>
              </w:rPr>
              <w:t xml:space="preserve"> </w:t>
            </w:r>
          </w:p>
          <w:p w14:paraId="34223B20" w14:textId="77777777" w:rsidR="00884E8F" w:rsidRPr="00F00A18" w:rsidRDefault="00884E8F" w:rsidP="005D3905">
            <w:pPr>
              <w:pStyle w:val="SingleParagraph"/>
              <w:tabs>
                <w:tab w:val="num" w:pos="1134"/>
              </w:tabs>
              <w:spacing w:after="240"/>
              <w:ind w:left="1134" w:hanging="567"/>
              <w:rPr>
                <w:color w:val="auto"/>
                <w:lang w:val="en-GB"/>
              </w:rPr>
            </w:pPr>
            <w:r w:rsidRPr="00F00A18" w:rsidDel="00542A8C">
              <w:rPr>
                <w:bCs/>
                <w:color w:val="auto"/>
                <w:lang w:val="en-GB"/>
              </w:rPr>
              <w:t xml:space="preserve"> </w:t>
            </w:r>
            <w:r w:rsidRPr="00F00A18">
              <w:rPr>
                <w:color w:val="auto"/>
                <w:lang w:val="en-GB"/>
              </w:rPr>
              <w:t>[Day]  [Month]  [Year]</w:t>
            </w:r>
          </w:p>
        </w:tc>
      </w:tr>
      <w:tr w:rsidR="00884E8F" w:rsidRPr="00A50751" w14:paraId="1429AB20" w14:textId="77777777" w:rsidTr="005D3905">
        <w:trPr>
          <w:cantSplit/>
          <w:jc w:val="center"/>
        </w:trPr>
        <w:tc>
          <w:tcPr>
            <w:tcW w:w="4536" w:type="dxa"/>
          </w:tcPr>
          <w:p w14:paraId="5F6D6B3B" w14:textId="77777777" w:rsidR="00884E8F" w:rsidRPr="00A50751" w:rsidRDefault="00884E8F" w:rsidP="005D3905">
            <w:pPr>
              <w:pStyle w:val="SingleParagraph"/>
              <w:rPr>
                <w:rFonts w:ascii="Book Antiqua" w:hAnsi="Book Antiqua"/>
                <w:lang w:val="en-GB"/>
              </w:rPr>
            </w:pPr>
          </w:p>
        </w:tc>
        <w:tc>
          <w:tcPr>
            <w:tcW w:w="284" w:type="dxa"/>
            <w:tcMar>
              <w:left w:w="0" w:type="dxa"/>
              <w:right w:w="0" w:type="dxa"/>
            </w:tcMar>
          </w:tcPr>
          <w:p w14:paraId="2F848F21" w14:textId="77777777" w:rsidR="00884E8F" w:rsidRPr="00A50751" w:rsidRDefault="00884E8F" w:rsidP="005D3905">
            <w:pPr>
              <w:pStyle w:val="SingleParagraph"/>
              <w:rPr>
                <w:rFonts w:ascii="Book Antiqua" w:hAnsi="Book Antiqua"/>
                <w:lang w:val="en-GB"/>
              </w:rPr>
            </w:pPr>
          </w:p>
        </w:tc>
        <w:tc>
          <w:tcPr>
            <w:tcW w:w="4536" w:type="dxa"/>
          </w:tcPr>
          <w:p w14:paraId="6C223D91" w14:textId="77777777" w:rsidR="00884E8F" w:rsidRPr="00A50751" w:rsidRDefault="00884E8F" w:rsidP="005D3905">
            <w:pPr>
              <w:pStyle w:val="SingleParagraph"/>
              <w:rPr>
                <w:rFonts w:ascii="Book Antiqua" w:hAnsi="Book Antiqua"/>
                <w:lang w:val="en-GB"/>
              </w:rPr>
            </w:pPr>
          </w:p>
        </w:tc>
      </w:tr>
      <w:tr w:rsidR="00884E8F" w:rsidRPr="00A50751" w14:paraId="2F0F2373" w14:textId="77777777" w:rsidTr="005D3905">
        <w:trPr>
          <w:cantSplit/>
          <w:jc w:val="center"/>
        </w:trPr>
        <w:tc>
          <w:tcPr>
            <w:tcW w:w="4536" w:type="dxa"/>
          </w:tcPr>
          <w:p w14:paraId="1514C8C8" w14:textId="77777777" w:rsidR="00884E8F" w:rsidRPr="004A0AE7" w:rsidRDefault="00884E8F" w:rsidP="005D3905">
            <w:pPr>
              <w:pStyle w:val="Signed"/>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Queensland</w:t>
                </w:r>
              </w:smartTag>
            </w:smartTag>
            <w:r w:rsidRPr="004A0AE7">
              <w:t xml:space="preserve"> by</w:t>
            </w:r>
          </w:p>
          <w:p w14:paraId="5283A4C4" w14:textId="77777777" w:rsidR="00884E8F" w:rsidRPr="00A50751" w:rsidRDefault="00884E8F" w:rsidP="005D3905">
            <w:pPr>
              <w:pStyle w:val="LineForSignature"/>
            </w:pPr>
            <w:r w:rsidRPr="00A50751">
              <w:tab/>
            </w:r>
          </w:p>
          <w:p w14:paraId="55C1831F" w14:textId="77777777" w:rsidR="00884E8F" w:rsidRDefault="00884E8F" w:rsidP="005D3905">
            <w:pPr>
              <w:pStyle w:val="SingleParagraph"/>
              <w:rPr>
                <w:b/>
              </w:rPr>
            </w:pPr>
            <w:r>
              <w:rPr>
                <w:b/>
              </w:rPr>
              <w:t xml:space="preserve">The Honourable </w:t>
            </w:r>
            <w:r w:rsidR="00C307EA">
              <w:rPr>
                <w:rStyle w:val="Bold"/>
              </w:rPr>
              <w:t>Shannon Fentiman</w:t>
            </w:r>
            <w:r>
              <w:rPr>
                <w:rStyle w:val="Bold"/>
              </w:rPr>
              <w:t xml:space="preserve"> </w:t>
            </w:r>
            <w:r>
              <w:rPr>
                <w:b/>
              </w:rPr>
              <w:t>MP</w:t>
            </w:r>
          </w:p>
          <w:p w14:paraId="616C0A78" w14:textId="77777777" w:rsidR="00884E8F" w:rsidRDefault="00C307EA" w:rsidP="005D3905">
            <w:pPr>
              <w:pStyle w:val="Position"/>
              <w:rPr>
                <w:lang w:val="en-GB"/>
              </w:rPr>
            </w:pPr>
            <w:r>
              <w:rPr>
                <w:lang w:val="en-GB"/>
              </w:rPr>
              <w:t xml:space="preserve">Attorney-General </w:t>
            </w:r>
            <w:r w:rsidR="004A09F2">
              <w:rPr>
                <w:lang w:val="en-GB"/>
              </w:rPr>
              <w:t xml:space="preserve">of the State of </w:t>
            </w:r>
            <w:r>
              <w:rPr>
                <w:lang w:val="en-GB"/>
              </w:rPr>
              <w:t>Queensland</w:t>
            </w:r>
            <w:r w:rsidR="00884E8F">
              <w:rPr>
                <w:lang w:val="en-GB"/>
              </w:rPr>
              <w:t xml:space="preserve"> </w:t>
            </w:r>
          </w:p>
          <w:p w14:paraId="7FABE0C0" w14:textId="77777777" w:rsidR="00884E8F" w:rsidRPr="00A50751" w:rsidRDefault="00884E8F" w:rsidP="005D3905">
            <w:pPr>
              <w:pStyle w:val="SingleParagraph"/>
              <w:tabs>
                <w:tab w:val="num" w:pos="1134"/>
              </w:tabs>
              <w:spacing w:after="240"/>
              <w:ind w:left="1134" w:hanging="567"/>
              <w:rPr>
                <w:lang w:val="en-GB"/>
              </w:rPr>
            </w:pPr>
            <w:r w:rsidRPr="00B00778" w:rsidDel="00542A8C">
              <w:rPr>
                <w:bCs/>
                <w:lang w:val="en-GB"/>
              </w:rPr>
              <w:t xml:space="preserve"> </w:t>
            </w:r>
            <w:r>
              <w:rPr>
                <w:lang w:val="en-GB"/>
              </w:rPr>
              <w:t>[Day]  [Month]  [Year]</w:t>
            </w:r>
          </w:p>
        </w:tc>
        <w:tc>
          <w:tcPr>
            <w:tcW w:w="284" w:type="dxa"/>
            <w:tcMar>
              <w:left w:w="0" w:type="dxa"/>
              <w:right w:w="0" w:type="dxa"/>
            </w:tcMar>
          </w:tcPr>
          <w:p w14:paraId="47764E8B" w14:textId="77777777" w:rsidR="00884E8F" w:rsidRPr="00A50751" w:rsidRDefault="00884E8F" w:rsidP="005D3905">
            <w:pPr>
              <w:rPr>
                <w:rFonts w:ascii="Book Antiqua" w:hAnsi="Book Antiqua"/>
                <w:lang w:val="en-GB"/>
              </w:rPr>
            </w:pPr>
          </w:p>
        </w:tc>
        <w:tc>
          <w:tcPr>
            <w:tcW w:w="4536" w:type="dxa"/>
          </w:tcPr>
          <w:p w14:paraId="38183C0F" w14:textId="77777777" w:rsidR="000111D5" w:rsidRPr="004A0AE7" w:rsidRDefault="000111D5" w:rsidP="000111D5">
            <w:pPr>
              <w:pStyle w:val="Signed"/>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South Australia</w:t>
                </w:r>
              </w:smartTag>
            </w:smartTag>
            <w:r w:rsidRPr="004A0AE7">
              <w:t xml:space="preserve"> by</w:t>
            </w:r>
          </w:p>
          <w:p w14:paraId="42A0DB83" w14:textId="77777777" w:rsidR="000111D5" w:rsidRPr="00A50751" w:rsidRDefault="000111D5" w:rsidP="000111D5">
            <w:pPr>
              <w:pStyle w:val="LineForSignature"/>
            </w:pPr>
            <w:r w:rsidRPr="00A50751">
              <w:tab/>
            </w:r>
          </w:p>
          <w:p w14:paraId="27571140" w14:textId="2EECDEE9" w:rsidR="000111D5" w:rsidRDefault="000111D5" w:rsidP="000111D5">
            <w:pPr>
              <w:pStyle w:val="SingleParagraph"/>
              <w:rPr>
                <w:rStyle w:val="Bold"/>
              </w:rPr>
            </w:pPr>
            <w:r>
              <w:rPr>
                <w:rStyle w:val="Bold"/>
              </w:rPr>
              <w:t xml:space="preserve">The Honourable </w:t>
            </w:r>
            <w:r w:rsidR="00861513">
              <w:rPr>
                <w:rStyle w:val="Bold"/>
              </w:rPr>
              <w:t>Kyam Maher MLC</w:t>
            </w:r>
          </w:p>
          <w:p w14:paraId="2D955E3F" w14:textId="6D1B8116" w:rsidR="000111D5" w:rsidRDefault="000111D5" w:rsidP="000111D5">
            <w:pPr>
              <w:pStyle w:val="Position"/>
              <w:rPr>
                <w:lang w:val="en-GB"/>
              </w:rPr>
            </w:pPr>
            <w:r>
              <w:rPr>
                <w:lang w:val="en-GB"/>
              </w:rPr>
              <w:t>Attorney</w:t>
            </w:r>
            <w:r w:rsidR="00DD54C2">
              <w:rPr>
                <w:lang w:val="en-GB"/>
              </w:rPr>
              <w:noBreakHyphen/>
            </w:r>
            <w:r>
              <w:rPr>
                <w:lang w:val="en-GB"/>
              </w:rPr>
              <w:t xml:space="preserve">General of the State of South Australia </w:t>
            </w:r>
          </w:p>
          <w:p w14:paraId="7D537315" w14:textId="77777777" w:rsidR="00884E8F" w:rsidRPr="00A50751" w:rsidRDefault="000111D5" w:rsidP="000111D5">
            <w:pPr>
              <w:pStyle w:val="SingleParagraph"/>
              <w:tabs>
                <w:tab w:val="num" w:pos="1134"/>
              </w:tabs>
              <w:spacing w:after="240"/>
              <w:ind w:left="1134" w:hanging="567"/>
              <w:rPr>
                <w:lang w:val="en-GB"/>
              </w:rPr>
            </w:pPr>
            <w:r w:rsidRPr="00B00778" w:rsidDel="00542A8C">
              <w:rPr>
                <w:bCs/>
                <w:lang w:val="en-GB"/>
              </w:rPr>
              <w:t xml:space="preserve"> </w:t>
            </w:r>
            <w:r>
              <w:rPr>
                <w:lang w:val="en-GB"/>
              </w:rPr>
              <w:t>[Day]  [Month]  [Year]</w:t>
            </w:r>
          </w:p>
        </w:tc>
      </w:tr>
      <w:tr w:rsidR="00884E8F" w:rsidRPr="00A50751" w14:paraId="1825E40A" w14:textId="77777777" w:rsidTr="005D3905">
        <w:trPr>
          <w:cantSplit/>
          <w:jc w:val="center"/>
        </w:trPr>
        <w:tc>
          <w:tcPr>
            <w:tcW w:w="4536" w:type="dxa"/>
          </w:tcPr>
          <w:p w14:paraId="728E9F6F" w14:textId="77777777" w:rsidR="00884E8F" w:rsidRPr="00A50751" w:rsidRDefault="00884E8F" w:rsidP="005D3905">
            <w:pPr>
              <w:pStyle w:val="SingleParagraph"/>
              <w:rPr>
                <w:rFonts w:ascii="Book Antiqua" w:hAnsi="Book Antiqua"/>
                <w:lang w:val="en-GB"/>
              </w:rPr>
            </w:pPr>
          </w:p>
        </w:tc>
        <w:tc>
          <w:tcPr>
            <w:tcW w:w="284" w:type="dxa"/>
            <w:tcMar>
              <w:left w:w="0" w:type="dxa"/>
              <w:right w:w="0" w:type="dxa"/>
            </w:tcMar>
          </w:tcPr>
          <w:p w14:paraId="06C2894B" w14:textId="77777777" w:rsidR="00884E8F" w:rsidRPr="00A50751" w:rsidRDefault="00884E8F" w:rsidP="005D3905">
            <w:pPr>
              <w:pStyle w:val="SingleParagraph"/>
              <w:rPr>
                <w:rFonts w:ascii="Book Antiqua" w:hAnsi="Book Antiqua"/>
                <w:lang w:val="en-GB"/>
              </w:rPr>
            </w:pPr>
          </w:p>
        </w:tc>
        <w:tc>
          <w:tcPr>
            <w:tcW w:w="4536" w:type="dxa"/>
          </w:tcPr>
          <w:p w14:paraId="6F60C6BD" w14:textId="77777777" w:rsidR="00884E8F" w:rsidRPr="00A50751" w:rsidRDefault="00884E8F" w:rsidP="005D3905">
            <w:pPr>
              <w:pStyle w:val="SingleParagraph"/>
              <w:rPr>
                <w:rFonts w:ascii="Book Antiqua" w:hAnsi="Book Antiqua"/>
                <w:lang w:val="en-GB"/>
              </w:rPr>
            </w:pPr>
          </w:p>
        </w:tc>
      </w:tr>
      <w:tr w:rsidR="00884E8F" w:rsidRPr="00A50751" w14:paraId="2F468FB5" w14:textId="77777777" w:rsidTr="005D3905">
        <w:trPr>
          <w:cantSplit/>
          <w:trHeight w:val="143"/>
          <w:jc w:val="center"/>
        </w:trPr>
        <w:tc>
          <w:tcPr>
            <w:tcW w:w="4536" w:type="dxa"/>
          </w:tcPr>
          <w:p w14:paraId="26DCA7D3" w14:textId="77777777" w:rsidR="000111D5" w:rsidRPr="004A0AE7" w:rsidRDefault="000111D5" w:rsidP="000111D5">
            <w:pPr>
              <w:pStyle w:val="Signed"/>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Tasmania</w:t>
                </w:r>
              </w:smartTag>
            </w:smartTag>
            <w:r w:rsidRPr="004A0AE7">
              <w:t xml:space="preserve"> by</w:t>
            </w:r>
          </w:p>
          <w:p w14:paraId="3A086330" w14:textId="77777777" w:rsidR="000111D5" w:rsidRPr="00A50751" w:rsidRDefault="000111D5" w:rsidP="000111D5">
            <w:pPr>
              <w:pStyle w:val="LineForSignature"/>
            </w:pPr>
            <w:r w:rsidRPr="00A50751">
              <w:tab/>
            </w:r>
          </w:p>
          <w:p w14:paraId="05385218" w14:textId="77777777" w:rsidR="000111D5" w:rsidRDefault="000111D5" w:rsidP="000111D5">
            <w:pPr>
              <w:pStyle w:val="SingleParagraph"/>
              <w:rPr>
                <w:rStyle w:val="Bold"/>
              </w:rPr>
            </w:pPr>
            <w:r>
              <w:rPr>
                <w:rStyle w:val="Bold"/>
              </w:rPr>
              <w:t>The Honourable Elise Archer MP</w:t>
            </w:r>
          </w:p>
          <w:p w14:paraId="0A31B737" w14:textId="77777777" w:rsidR="000111D5" w:rsidRDefault="000111D5" w:rsidP="000111D5">
            <w:pPr>
              <w:pStyle w:val="Position"/>
              <w:rPr>
                <w:lang w:val="en-GB"/>
              </w:rPr>
            </w:pPr>
            <w:r>
              <w:rPr>
                <w:lang w:val="en-GB"/>
              </w:rPr>
              <w:t xml:space="preserve">Attorney-General of the State of Tasmania </w:t>
            </w:r>
          </w:p>
          <w:p w14:paraId="3ED6CB20" w14:textId="77777777" w:rsidR="00884E8F" w:rsidRPr="00A50751" w:rsidRDefault="000111D5" w:rsidP="000111D5">
            <w:pPr>
              <w:pStyle w:val="SingleParagraph"/>
              <w:tabs>
                <w:tab w:val="num" w:pos="1134"/>
              </w:tabs>
              <w:spacing w:after="240"/>
              <w:ind w:left="1134" w:hanging="567"/>
              <w:rPr>
                <w:lang w:val="en-GB"/>
              </w:rPr>
            </w:pPr>
            <w:r w:rsidRPr="00B12190" w:rsidDel="00542A8C">
              <w:rPr>
                <w:bCs/>
                <w:lang w:val="en-GB"/>
              </w:rPr>
              <w:t xml:space="preserve"> </w:t>
            </w:r>
            <w:r>
              <w:rPr>
                <w:lang w:val="en-GB"/>
              </w:rPr>
              <w:t>[Day]  [Month]  [Year]</w:t>
            </w:r>
          </w:p>
        </w:tc>
        <w:tc>
          <w:tcPr>
            <w:tcW w:w="284" w:type="dxa"/>
            <w:tcMar>
              <w:left w:w="0" w:type="dxa"/>
              <w:right w:w="0" w:type="dxa"/>
            </w:tcMar>
          </w:tcPr>
          <w:p w14:paraId="3E4C859B" w14:textId="77777777" w:rsidR="00884E8F" w:rsidRPr="00A50751" w:rsidRDefault="00884E8F" w:rsidP="005D3905">
            <w:pPr>
              <w:rPr>
                <w:rFonts w:ascii="Book Antiqua" w:hAnsi="Book Antiqua"/>
                <w:lang w:val="en-GB"/>
              </w:rPr>
            </w:pPr>
          </w:p>
        </w:tc>
        <w:tc>
          <w:tcPr>
            <w:tcW w:w="4536" w:type="dxa"/>
          </w:tcPr>
          <w:p w14:paraId="34B2B208" w14:textId="77777777" w:rsidR="000111D5" w:rsidRPr="00A50751" w:rsidRDefault="000111D5" w:rsidP="000111D5">
            <w:pPr>
              <w:pStyle w:val="Signed"/>
            </w:pPr>
            <w:r>
              <w:rPr>
                <w:rStyle w:val="SignedBold"/>
              </w:rPr>
              <w:t>Signed</w:t>
            </w:r>
            <w:r w:rsidRPr="004A0AE7">
              <w:rPr>
                <w:i w:val="0"/>
              </w:rPr>
              <w:t xml:space="preserve"> </w:t>
            </w:r>
            <w:r w:rsidRPr="004A0AE7">
              <w:t xml:space="preserve">for and on behalf of </w:t>
            </w:r>
            <w:r>
              <w:t xml:space="preserve">the </w:t>
            </w:r>
            <w:r w:rsidRPr="004A0AE7">
              <w:t>Australian Capital Territory by</w:t>
            </w:r>
          </w:p>
          <w:p w14:paraId="70CA7E15" w14:textId="77777777" w:rsidR="000111D5" w:rsidRPr="00A50751" w:rsidRDefault="000111D5" w:rsidP="000111D5">
            <w:pPr>
              <w:pStyle w:val="LineForSignature"/>
            </w:pPr>
            <w:r w:rsidRPr="00A50751">
              <w:tab/>
            </w:r>
          </w:p>
          <w:p w14:paraId="02038A39" w14:textId="77777777" w:rsidR="000111D5" w:rsidRDefault="000111D5" w:rsidP="000111D5">
            <w:pPr>
              <w:pStyle w:val="SingleParagraph"/>
              <w:rPr>
                <w:rStyle w:val="Bold"/>
              </w:rPr>
            </w:pPr>
            <w:r>
              <w:rPr>
                <w:rStyle w:val="Bold"/>
              </w:rPr>
              <w:t>Shane Rattenbury MLA</w:t>
            </w:r>
          </w:p>
          <w:p w14:paraId="17CC80AE" w14:textId="77777777" w:rsidR="000111D5" w:rsidRDefault="000111D5" w:rsidP="000111D5">
            <w:pPr>
              <w:pStyle w:val="Position"/>
              <w:rPr>
                <w:lang w:val="en-GB"/>
              </w:rPr>
            </w:pPr>
            <w:r>
              <w:rPr>
                <w:lang w:val="en-GB"/>
              </w:rPr>
              <w:t xml:space="preserve">Attorney-General of the Australian Capital Territory </w:t>
            </w:r>
          </w:p>
          <w:p w14:paraId="70ED9F14" w14:textId="77777777" w:rsidR="00884E8F" w:rsidRPr="00A50751" w:rsidRDefault="000111D5" w:rsidP="000111D5">
            <w:pPr>
              <w:pStyle w:val="SingleParagraph"/>
              <w:tabs>
                <w:tab w:val="num" w:pos="1134"/>
              </w:tabs>
              <w:spacing w:after="240"/>
              <w:ind w:left="1134" w:hanging="567"/>
              <w:rPr>
                <w:lang w:val="en-GB"/>
              </w:rPr>
            </w:pPr>
            <w:r w:rsidRPr="00B12190" w:rsidDel="00542A8C">
              <w:rPr>
                <w:lang w:val="en-GB"/>
              </w:rPr>
              <w:t xml:space="preserve"> </w:t>
            </w:r>
            <w:r>
              <w:rPr>
                <w:lang w:val="en-GB"/>
              </w:rPr>
              <w:t>[Day]  [Month]  [Year]</w:t>
            </w:r>
          </w:p>
        </w:tc>
      </w:tr>
      <w:tr w:rsidR="00884E8F" w:rsidRPr="00A50751" w14:paraId="17FABEA8" w14:textId="77777777" w:rsidTr="005D3905">
        <w:trPr>
          <w:cantSplit/>
          <w:jc w:val="center"/>
        </w:trPr>
        <w:tc>
          <w:tcPr>
            <w:tcW w:w="4536" w:type="dxa"/>
          </w:tcPr>
          <w:p w14:paraId="76EA54DF" w14:textId="77777777" w:rsidR="00884E8F" w:rsidRPr="00A50751" w:rsidRDefault="00884E8F" w:rsidP="005D3905">
            <w:pPr>
              <w:pStyle w:val="SingleParagraph"/>
              <w:rPr>
                <w:rFonts w:ascii="Book Antiqua" w:hAnsi="Book Antiqua"/>
                <w:lang w:val="en-GB"/>
              </w:rPr>
            </w:pPr>
          </w:p>
        </w:tc>
        <w:tc>
          <w:tcPr>
            <w:tcW w:w="284" w:type="dxa"/>
            <w:tcMar>
              <w:left w:w="0" w:type="dxa"/>
              <w:right w:w="0" w:type="dxa"/>
            </w:tcMar>
          </w:tcPr>
          <w:p w14:paraId="3277C472" w14:textId="77777777" w:rsidR="00884E8F" w:rsidRPr="00A50751" w:rsidRDefault="00884E8F" w:rsidP="005D3905">
            <w:pPr>
              <w:pStyle w:val="SingleParagraph"/>
              <w:rPr>
                <w:rFonts w:ascii="Book Antiqua" w:hAnsi="Book Antiqua"/>
                <w:lang w:val="en-GB"/>
              </w:rPr>
            </w:pPr>
          </w:p>
        </w:tc>
        <w:tc>
          <w:tcPr>
            <w:tcW w:w="4536" w:type="dxa"/>
          </w:tcPr>
          <w:p w14:paraId="742B2DA2" w14:textId="77777777" w:rsidR="00884E8F" w:rsidRPr="00A50751" w:rsidRDefault="00884E8F" w:rsidP="005D3905">
            <w:pPr>
              <w:pStyle w:val="SingleParagraph"/>
              <w:rPr>
                <w:rFonts w:ascii="Book Antiqua" w:hAnsi="Book Antiqua"/>
                <w:lang w:val="en-GB"/>
              </w:rPr>
            </w:pPr>
          </w:p>
        </w:tc>
      </w:tr>
      <w:tr w:rsidR="00884E8F" w:rsidRPr="00A50751" w14:paraId="67C81D9A" w14:textId="77777777" w:rsidTr="005D3905">
        <w:trPr>
          <w:cantSplit/>
          <w:jc w:val="center"/>
        </w:trPr>
        <w:tc>
          <w:tcPr>
            <w:tcW w:w="4536" w:type="dxa"/>
          </w:tcPr>
          <w:p w14:paraId="1A91F420" w14:textId="77777777" w:rsidR="000111D5" w:rsidRPr="00A50751" w:rsidRDefault="000111D5" w:rsidP="000111D5">
            <w:pPr>
              <w:pStyle w:val="Signed"/>
            </w:pPr>
            <w:r>
              <w:rPr>
                <w:rStyle w:val="SignedBold"/>
              </w:rPr>
              <w:t>Signed</w:t>
            </w:r>
            <w:r w:rsidRPr="004A0AE7">
              <w:rPr>
                <w:i w:val="0"/>
              </w:rPr>
              <w:t xml:space="preserve"> </w:t>
            </w:r>
            <w:r w:rsidRPr="004A0AE7">
              <w:t xml:space="preserve">for and on behalf of </w:t>
            </w:r>
            <w:r>
              <w:t xml:space="preserve">the </w:t>
            </w:r>
            <w:r w:rsidRPr="004A0AE7">
              <w:t>Northern Territory by</w:t>
            </w:r>
          </w:p>
          <w:p w14:paraId="2C17ABD2" w14:textId="77777777" w:rsidR="000111D5" w:rsidRPr="00A50751" w:rsidRDefault="000111D5" w:rsidP="000111D5">
            <w:pPr>
              <w:pStyle w:val="LineForSignature"/>
            </w:pPr>
            <w:r w:rsidRPr="00A50751">
              <w:tab/>
            </w:r>
          </w:p>
          <w:p w14:paraId="2BF11FB7" w14:textId="3B01A7E0" w:rsidR="000111D5" w:rsidRDefault="000111D5" w:rsidP="000111D5">
            <w:pPr>
              <w:pStyle w:val="SingleParagraph"/>
              <w:rPr>
                <w:rStyle w:val="Bold"/>
              </w:rPr>
            </w:pPr>
            <w:r>
              <w:rPr>
                <w:rStyle w:val="Bold"/>
              </w:rPr>
              <w:t xml:space="preserve">The Honourable </w:t>
            </w:r>
            <w:r w:rsidR="00861513">
              <w:rPr>
                <w:rStyle w:val="Bold"/>
              </w:rPr>
              <w:t>Chanston Paech MLA</w:t>
            </w:r>
          </w:p>
          <w:p w14:paraId="3F5683D7" w14:textId="77777777" w:rsidR="000111D5" w:rsidRDefault="000111D5" w:rsidP="000111D5">
            <w:pPr>
              <w:pStyle w:val="Position"/>
              <w:rPr>
                <w:lang w:val="en-GB"/>
              </w:rPr>
            </w:pPr>
            <w:r>
              <w:rPr>
                <w:lang w:val="en-GB"/>
              </w:rPr>
              <w:t>Attorney-General of the Northern Territory</w:t>
            </w:r>
          </w:p>
          <w:p w14:paraId="3A3C94F1" w14:textId="77777777" w:rsidR="00884E8F" w:rsidRPr="00A50751" w:rsidRDefault="000111D5" w:rsidP="000111D5">
            <w:pPr>
              <w:pStyle w:val="SingleParagraph"/>
              <w:tabs>
                <w:tab w:val="num" w:pos="1134"/>
              </w:tabs>
              <w:spacing w:after="240"/>
              <w:ind w:left="1134" w:hanging="567"/>
              <w:rPr>
                <w:szCs w:val="22"/>
                <w:lang w:val="en-GB"/>
              </w:rPr>
            </w:pPr>
            <w:r w:rsidRPr="00B12190" w:rsidDel="00542A8C">
              <w:rPr>
                <w:bCs/>
                <w:lang w:val="en-GB"/>
              </w:rPr>
              <w:t xml:space="preserve"> </w:t>
            </w:r>
            <w:r>
              <w:rPr>
                <w:lang w:val="en-GB"/>
              </w:rPr>
              <w:t>[Day]  [Month]  [Year]</w:t>
            </w:r>
          </w:p>
        </w:tc>
        <w:tc>
          <w:tcPr>
            <w:tcW w:w="284" w:type="dxa"/>
            <w:tcMar>
              <w:left w:w="0" w:type="dxa"/>
              <w:right w:w="0" w:type="dxa"/>
            </w:tcMar>
          </w:tcPr>
          <w:p w14:paraId="567E8FE8" w14:textId="77777777" w:rsidR="00884E8F" w:rsidRPr="00A50751" w:rsidRDefault="00884E8F" w:rsidP="005D3905">
            <w:pPr>
              <w:rPr>
                <w:rFonts w:ascii="Book Antiqua" w:hAnsi="Book Antiqua"/>
                <w:lang w:val="en-GB"/>
              </w:rPr>
            </w:pPr>
          </w:p>
        </w:tc>
        <w:tc>
          <w:tcPr>
            <w:tcW w:w="4536" w:type="dxa"/>
          </w:tcPr>
          <w:p w14:paraId="18427F1D" w14:textId="77777777" w:rsidR="00884E8F" w:rsidRPr="00A50751" w:rsidRDefault="00884E8F" w:rsidP="005D3905">
            <w:pPr>
              <w:pStyle w:val="SingleParagraph"/>
              <w:tabs>
                <w:tab w:val="num" w:pos="1134"/>
              </w:tabs>
              <w:spacing w:after="240"/>
              <w:ind w:left="1134" w:hanging="567"/>
              <w:rPr>
                <w:lang w:val="en-GB"/>
              </w:rPr>
            </w:pPr>
          </w:p>
        </w:tc>
      </w:tr>
    </w:tbl>
    <w:p w14:paraId="7BD86F95" w14:textId="77777777" w:rsidR="00C91B5F" w:rsidRDefault="00C91B5F"/>
    <w:sectPr w:rsidR="00C91B5F" w:rsidSect="00884E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60FD" w14:textId="77777777" w:rsidR="00585D7A" w:rsidRDefault="00585D7A">
      <w:r>
        <w:separator/>
      </w:r>
    </w:p>
  </w:endnote>
  <w:endnote w:type="continuationSeparator" w:id="0">
    <w:p w14:paraId="01DB9F3F" w14:textId="77777777" w:rsidR="00585D7A" w:rsidRDefault="0058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0509" w14:textId="77777777" w:rsidR="00815B50" w:rsidRDefault="006B6E73">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432C" w14:textId="77777777" w:rsidR="00815B50" w:rsidRDefault="00812937" w:rsidP="007E44E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AB6B" w14:textId="77777777" w:rsidR="00815B50" w:rsidRPr="00CA24B0" w:rsidRDefault="00812937" w:rsidP="007E44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865A" w14:textId="77777777" w:rsidR="00585D7A" w:rsidRDefault="00585D7A">
      <w:r>
        <w:separator/>
      </w:r>
    </w:p>
  </w:footnote>
  <w:footnote w:type="continuationSeparator" w:id="0">
    <w:p w14:paraId="70385852" w14:textId="77777777" w:rsidR="00585D7A" w:rsidRDefault="0058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034C" w14:textId="77777777" w:rsidR="00815B50" w:rsidRDefault="00812937" w:rsidP="007E44E6">
    <w:pPr>
      <w:pStyle w:val="HeaderOdd"/>
      <w:tabs>
        <w:tab w:val="num" w:pos="1134"/>
      </w:tabs>
      <w:rPr>
        <w:color w:val="800000"/>
        <w:sz w:val="30"/>
        <w:szCs w:val="30"/>
      </w:rPr>
    </w:pPr>
  </w:p>
  <w:p w14:paraId="2565080B" w14:textId="77777777" w:rsidR="00815B50" w:rsidRDefault="00812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B1C8" w14:textId="77777777" w:rsidR="00884E8F" w:rsidRDefault="0088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F2BC" w14:textId="77777777" w:rsidR="00884E8F" w:rsidRDefault="00884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3D09" w14:textId="77777777" w:rsidR="00884E8F" w:rsidRDefault="0088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882"/>
    <w:multiLevelType w:val="hybridMultilevel"/>
    <w:tmpl w:val="F9640A1E"/>
    <w:lvl w:ilvl="0" w:tplc="5ADE9440">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 w15:restartNumberingAfterBreak="0">
    <w:nsid w:val="0B172EED"/>
    <w:multiLevelType w:val="hybridMultilevel"/>
    <w:tmpl w:val="E95AD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9398A"/>
    <w:multiLevelType w:val="hybridMultilevel"/>
    <w:tmpl w:val="5E766066"/>
    <w:lvl w:ilvl="0" w:tplc="A51A82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C4921C4"/>
    <w:multiLevelType w:val="hybridMultilevel"/>
    <w:tmpl w:val="3CAACB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067572"/>
    <w:multiLevelType w:val="hybridMultilevel"/>
    <w:tmpl w:val="118EDB8E"/>
    <w:lvl w:ilvl="0" w:tplc="340E85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74529C8"/>
    <w:multiLevelType w:val="hybridMultilevel"/>
    <w:tmpl w:val="FEA45CA6"/>
    <w:lvl w:ilvl="0" w:tplc="912A76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7CE3FD2"/>
    <w:multiLevelType w:val="hybridMultilevel"/>
    <w:tmpl w:val="9440E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8" w15:restartNumberingAfterBreak="0">
    <w:nsid w:val="73C937D0"/>
    <w:multiLevelType w:val="multilevel"/>
    <w:tmpl w:val="D5F0EC80"/>
    <w:name w:val="StandardNumberedList"/>
    <w:lvl w:ilvl="0">
      <w:start w:val="1"/>
      <w:numFmt w:val="decimal"/>
      <w:pStyle w:val="OutlineNumbered1"/>
      <w:lvlText w:val="%1."/>
      <w:lvlJc w:val="left"/>
      <w:pPr>
        <w:tabs>
          <w:tab w:val="num" w:pos="614"/>
        </w:tabs>
        <w:ind w:left="614" w:hanging="614"/>
      </w:pPr>
    </w:lvl>
    <w:lvl w:ilvl="1">
      <w:start w:val="1"/>
      <w:numFmt w:val="decimal"/>
      <w:pStyle w:val="OutlineNumbered2"/>
      <w:lvlText w:val="%1.%2."/>
      <w:lvlJc w:val="left"/>
      <w:pPr>
        <w:tabs>
          <w:tab w:val="num" w:pos="1228"/>
        </w:tabs>
        <w:ind w:left="1228" w:hanging="614"/>
      </w:pPr>
    </w:lvl>
    <w:lvl w:ilvl="2">
      <w:start w:val="1"/>
      <w:numFmt w:val="decimal"/>
      <w:pStyle w:val="OutlineNumbered3"/>
      <w:lvlText w:val="%1.%2.%3."/>
      <w:lvlJc w:val="left"/>
      <w:pPr>
        <w:tabs>
          <w:tab w:val="num" w:pos="1842"/>
        </w:tabs>
        <w:ind w:left="1842" w:hanging="61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9"/>
  </w:num>
  <w:num w:numId="2">
    <w:abstractNumId w:val="7"/>
  </w:num>
  <w:num w:numId="3">
    <w:abstractNumId w:val="0"/>
  </w:num>
  <w:num w:numId="4">
    <w:abstractNumId w:val="1"/>
  </w:num>
  <w:num w:numId="5">
    <w:abstractNumId w:val="5"/>
  </w:num>
  <w:num w:numId="6">
    <w:abstractNumId w:val="2"/>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003317"/>
    <w:rsid w:val="000111D5"/>
    <w:rsid w:val="000112F8"/>
    <w:rsid w:val="00014453"/>
    <w:rsid w:val="000239FC"/>
    <w:rsid w:val="000251EF"/>
    <w:rsid w:val="00044D76"/>
    <w:rsid w:val="0005068F"/>
    <w:rsid w:val="00051F7B"/>
    <w:rsid w:val="00053E57"/>
    <w:rsid w:val="00056E9F"/>
    <w:rsid w:val="0005708C"/>
    <w:rsid w:val="000755F8"/>
    <w:rsid w:val="00086301"/>
    <w:rsid w:val="00093EFC"/>
    <w:rsid w:val="00096D8A"/>
    <w:rsid w:val="00097565"/>
    <w:rsid w:val="000977B9"/>
    <w:rsid w:val="000B094E"/>
    <w:rsid w:val="000B7E60"/>
    <w:rsid w:val="000C3B52"/>
    <w:rsid w:val="000D0826"/>
    <w:rsid w:val="000D5AB5"/>
    <w:rsid w:val="000E48A1"/>
    <w:rsid w:val="000F3DA7"/>
    <w:rsid w:val="000F6760"/>
    <w:rsid w:val="0010095D"/>
    <w:rsid w:val="00101F13"/>
    <w:rsid w:val="00102732"/>
    <w:rsid w:val="0010453F"/>
    <w:rsid w:val="0010762D"/>
    <w:rsid w:val="00111FEF"/>
    <w:rsid w:val="00113761"/>
    <w:rsid w:val="0012074F"/>
    <w:rsid w:val="00130061"/>
    <w:rsid w:val="00136621"/>
    <w:rsid w:val="001366F0"/>
    <w:rsid w:val="00142474"/>
    <w:rsid w:val="00144FEC"/>
    <w:rsid w:val="00146B1C"/>
    <w:rsid w:val="00152DDA"/>
    <w:rsid w:val="0016487E"/>
    <w:rsid w:val="001666FD"/>
    <w:rsid w:val="00171A77"/>
    <w:rsid w:val="001763B7"/>
    <w:rsid w:val="00176F68"/>
    <w:rsid w:val="00181846"/>
    <w:rsid w:val="00191430"/>
    <w:rsid w:val="001A2D9C"/>
    <w:rsid w:val="001A3851"/>
    <w:rsid w:val="001B1163"/>
    <w:rsid w:val="001B1A2B"/>
    <w:rsid w:val="001B5FD0"/>
    <w:rsid w:val="001C0FC7"/>
    <w:rsid w:val="001C44DC"/>
    <w:rsid w:val="001C5209"/>
    <w:rsid w:val="001D1273"/>
    <w:rsid w:val="001D763A"/>
    <w:rsid w:val="001E754E"/>
    <w:rsid w:val="001F0764"/>
    <w:rsid w:val="001F49A2"/>
    <w:rsid w:val="001F7FE8"/>
    <w:rsid w:val="00200016"/>
    <w:rsid w:val="00200636"/>
    <w:rsid w:val="00203113"/>
    <w:rsid w:val="00203E84"/>
    <w:rsid w:val="00213FA5"/>
    <w:rsid w:val="00225C5A"/>
    <w:rsid w:val="00232880"/>
    <w:rsid w:val="00244F3F"/>
    <w:rsid w:val="002460DE"/>
    <w:rsid w:val="002511A8"/>
    <w:rsid w:val="002571C9"/>
    <w:rsid w:val="00262569"/>
    <w:rsid w:val="00274D6C"/>
    <w:rsid w:val="00275D7B"/>
    <w:rsid w:val="002821A0"/>
    <w:rsid w:val="00293019"/>
    <w:rsid w:val="00293755"/>
    <w:rsid w:val="0029652A"/>
    <w:rsid w:val="002A6580"/>
    <w:rsid w:val="002C07B7"/>
    <w:rsid w:val="002C1F5E"/>
    <w:rsid w:val="002C1F96"/>
    <w:rsid w:val="002C31B4"/>
    <w:rsid w:val="002C4CC7"/>
    <w:rsid w:val="002C4F96"/>
    <w:rsid w:val="002C74EC"/>
    <w:rsid w:val="002D5726"/>
    <w:rsid w:val="002E05BC"/>
    <w:rsid w:val="002E5E79"/>
    <w:rsid w:val="002E724A"/>
    <w:rsid w:val="003051C0"/>
    <w:rsid w:val="00307380"/>
    <w:rsid w:val="00316DFD"/>
    <w:rsid w:val="00317FB3"/>
    <w:rsid w:val="00321093"/>
    <w:rsid w:val="00321EC3"/>
    <w:rsid w:val="00324D1D"/>
    <w:rsid w:val="00327D11"/>
    <w:rsid w:val="00331D81"/>
    <w:rsid w:val="00334B4B"/>
    <w:rsid w:val="00344E21"/>
    <w:rsid w:val="0035159A"/>
    <w:rsid w:val="0035398A"/>
    <w:rsid w:val="00354044"/>
    <w:rsid w:val="003559CD"/>
    <w:rsid w:val="00356A41"/>
    <w:rsid w:val="003603D6"/>
    <w:rsid w:val="00362A25"/>
    <w:rsid w:val="00363196"/>
    <w:rsid w:val="003658AA"/>
    <w:rsid w:val="00366C8D"/>
    <w:rsid w:val="00373417"/>
    <w:rsid w:val="00391C3D"/>
    <w:rsid w:val="003A09DA"/>
    <w:rsid w:val="003A4A95"/>
    <w:rsid w:val="003A6AD8"/>
    <w:rsid w:val="003B28F1"/>
    <w:rsid w:val="003C73DA"/>
    <w:rsid w:val="003C7D2B"/>
    <w:rsid w:val="003D5A53"/>
    <w:rsid w:val="003E14EF"/>
    <w:rsid w:val="003E31E0"/>
    <w:rsid w:val="003E4CE9"/>
    <w:rsid w:val="003F0602"/>
    <w:rsid w:val="003F0F1A"/>
    <w:rsid w:val="003F24B2"/>
    <w:rsid w:val="003F697B"/>
    <w:rsid w:val="004022C3"/>
    <w:rsid w:val="00411F9E"/>
    <w:rsid w:val="004122A3"/>
    <w:rsid w:val="004122B2"/>
    <w:rsid w:val="00415696"/>
    <w:rsid w:val="0041799C"/>
    <w:rsid w:val="004179F2"/>
    <w:rsid w:val="00426A98"/>
    <w:rsid w:val="00430488"/>
    <w:rsid w:val="004459F1"/>
    <w:rsid w:val="00445C2C"/>
    <w:rsid w:val="00447990"/>
    <w:rsid w:val="004607DB"/>
    <w:rsid w:val="00461604"/>
    <w:rsid w:val="00464364"/>
    <w:rsid w:val="00466C29"/>
    <w:rsid w:val="00470AFB"/>
    <w:rsid w:val="00474806"/>
    <w:rsid w:val="00485236"/>
    <w:rsid w:val="004A09F2"/>
    <w:rsid w:val="004A26AF"/>
    <w:rsid w:val="004A4296"/>
    <w:rsid w:val="004B0048"/>
    <w:rsid w:val="004B66B8"/>
    <w:rsid w:val="004B786E"/>
    <w:rsid w:val="004D0603"/>
    <w:rsid w:val="004D2195"/>
    <w:rsid w:val="004D2563"/>
    <w:rsid w:val="004E4764"/>
    <w:rsid w:val="004E6572"/>
    <w:rsid w:val="00516514"/>
    <w:rsid w:val="00516DA0"/>
    <w:rsid w:val="00520571"/>
    <w:rsid w:val="005270F9"/>
    <w:rsid w:val="005464A9"/>
    <w:rsid w:val="005473FE"/>
    <w:rsid w:val="005502AA"/>
    <w:rsid w:val="0056310C"/>
    <w:rsid w:val="0056474D"/>
    <w:rsid w:val="00573C23"/>
    <w:rsid w:val="00574104"/>
    <w:rsid w:val="00574137"/>
    <w:rsid w:val="00585D7A"/>
    <w:rsid w:val="00595AAA"/>
    <w:rsid w:val="005A2065"/>
    <w:rsid w:val="005B52A4"/>
    <w:rsid w:val="005B79BD"/>
    <w:rsid w:val="005B7D22"/>
    <w:rsid w:val="005D1382"/>
    <w:rsid w:val="005D35F8"/>
    <w:rsid w:val="005E62AA"/>
    <w:rsid w:val="005F0154"/>
    <w:rsid w:val="005F40F4"/>
    <w:rsid w:val="00600FF5"/>
    <w:rsid w:val="00601EB4"/>
    <w:rsid w:val="00606F92"/>
    <w:rsid w:val="00611C0B"/>
    <w:rsid w:val="0061274E"/>
    <w:rsid w:val="00615A68"/>
    <w:rsid w:val="00615EC6"/>
    <w:rsid w:val="0064121C"/>
    <w:rsid w:val="006418B8"/>
    <w:rsid w:val="00654D91"/>
    <w:rsid w:val="00661476"/>
    <w:rsid w:val="006648FB"/>
    <w:rsid w:val="00687DF1"/>
    <w:rsid w:val="00693F72"/>
    <w:rsid w:val="00696CB8"/>
    <w:rsid w:val="00696DDC"/>
    <w:rsid w:val="006A50AB"/>
    <w:rsid w:val="006A539E"/>
    <w:rsid w:val="006B3F97"/>
    <w:rsid w:val="006B6E73"/>
    <w:rsid w:val="006C2250"/>
    <w:rsid w:val="006D0FCA"/>
    <w:rsid w:val="006D17D3"/>
    <w:rsid w:val="006D4959"/>
    <w:rsid w:val="006E696E"/>
    <w:rsid w:val="006F11ED"/>
    <w:rsid w:val="006F26D4"/>
    <w:rsid w:val="006F3C46"/>
    <w:rsid w:val="006F76D9"/>
    <w:rsid w:val="007007D7"/>
    <w:rsid w:val="00700E13"/>
    <w:rsid w:val="00710DFF"/>
    <w:rsid w:val="0073438F"/>
    <w:rsid w:val="00757598"/>
    <w:rsid w:val="007652B2"/>
    <w:rsid w:val="00767C6E"/>
    <w:rsid w:val="00775ED6"/>
    <w:rsid w:val="00782E26"/>
    <w:rsid w:val="00784885"/>
    <w:rsid w:val="00786A12"/>
    <w:rsid w:val="0079146D"/>
    <w:rsid w:val="007A0C14"/>
    <w:rsid w:val="007A20F6"/>
    <w:rsid w:val="007A3120"/>
    <w:rsid w:val="007A39B5"/>
    <w:rsid w:val="007A5072"/>
    <w:rsid w:val="007B0D24"/>
    <w:rsid w:val="007B4FFF"/>
    <w:rsid w:val="007B67A4"/>
    <w:rsid w:val="007B7323"/>
    <w:rsid w:val="007C344F"/>
    <w:rsid w:val="007E172D"/>
    <w:rsid w:val="007E63EC"/>
    <w:rsid w:val="007F48E0"/>
    <w:rsid w:val="00800ABE"/>
    <w:rsid w:val="00805EFA"/>
    <w:rsid w:val="00812937"/>
    <w:rsid w:val="00814C80"/>
    <w:rsid w:val="00816B19"/>
    <w:rsid w:val="0082053F"/>
    <w:rsid w:val="008260CC"/>
    <w:rsid w:val="00831FC6"/>
    <w:rsid w:val="00842244"/>
    <w:rsid w:val="0084324E"/>
    <w:rsid w:val="00843F76"/>
    <w:rsid w:val="00851F36"/>
    <w:rsid w:val="00852EFC"/>
    <w:rsid w:val="008531AE"/>
    <w:rsid w:val="008565BA"/>
    <w:rsid w:val="00861513"/>
    <w:rsid w:val="008653AF"/>
    <w:rsid w:val="00870A7C"/>
    <w:rsid w:val="00871687"/>
    <w:rsid w:val="00876B77"/>
    <w:rsid w:val="00884E8F"/>
    <w:rsid w:val="00886CA6"/>
    <w:rsid w:val="0089310D"/>
    <w:rsid w:val="00897FC3"/>
    <w:rsid w:val="008A3B57"/>
    <w:rsid w:val="008B3CB5"/>
    <w:rsid w:val="008C1612"/>
    <w:rsid w:val="008D0096"/>
    <w:rsid w:val="008E031A"/>
    <w:rsid w:val="008E41B7"/>
    <w:rsid w:val="008E62E2"/>
    <w:rsid w:val="008F356A"/>
    <w:rsid w:val="008F3DEC"/>
    <w:rsid w:val="009001C9"/>
    <w:rsid w:val="00905857"/>
    <w:rsid w:val="00905ED3"/>
    <w:rsid w:val="009103C6"/>
    <w:rsid w:val="00911F03"/>
    <w:rsid w:val="00912E96"/>
    <w:rsid w:val="00913A45"/>
    <w:rsid w:val="00913CDC"/>
    <w:rsid w:val="00920009"/>
    <w:rsid w:val="00920943"/>
    <w:rsid w:val="0092482F"/>
    <w:rsid w:val="00925224"/>
    <w:rsid w:val="00926C78"/>
    <w:rsid w:val="00930EC4"/>
    <w:rsid w:val="00944B46"/>
    <w:rsid w:val="00954911"/>
    <w:rsid w:val="00960200"/>
    <w:rsid w:val="00966FE4"/>
    <w:rsid w:val="009713E1"/>
    <w:rsid w:val="009736D2"/>
    <w:rsid w:val="00975AB8"/>
    <w:rsid w:val="00976CE5"/>
    <w:rsid w:val="00984C74"/>
    <w:rsid w:val="00985A08"/>
    <w:rsid w:val="00986580"/>
    <w:rsid w:val="009A2013"/>
    <w:rsid w:val="009A4265"/>
    <w:rsid w:val="009A6A28"/>
    <w:rsid w:val="009B1A97"/>
    <w:rsid w:val="009B50B1"/>
    <w:rsid w:val="009B7222"/>
    <w:rsid w:val="009B7FF6"/>
    <w:rsid w:val="009C3443"/>
    <w:rsid w:val="009C7102"/>
    <w:rsid w:val="009C78BC"/>
    <w:rsid w:val="009D1D14"/>
    <w:rsid w:val="009D5BA6"/>
    <w:rsid w:val="009D6648"/>
    <w:rsid w:val="009D6F49"/>
    <w:rsid w:val="009E33DC"/>
    <w:rsid w:val="009E47AD"/>
    <w:rsid w:val="009E578B"/>
    <w:rsid w:val="009E5E99"/>
    <w:rsid w:val="009F471B"/>
    <w:rsid w:val="009F71AC"/>
    <w:rsid w:val="00A020B2"/>
    <w:rsid w:val="00A06A26"/>
    <w:rsid w:val="00A10B36"/>
    <w:rsid w:val="00A14B16"/>
    <w:rsid w:val="00A1504F"/>
    <w:rsid w:val="00A17B3D"/>
    <w:rsid w:val="00A23483"/>
    <w:rsid w:val="00A3054A"/>
    <w:rsid w:val="00A34B3F"/>
    <w:rsid w:val="00A35C05"/>
    <w:rsid w:val="00A413B3"/>
    <w:rsid w:val="00A432C4"/>
    <w:rsid w:val="00A441E6"/>
    <w:rsid w:val="00A473E3"/>
    <w:rsid w:val="00A503B2"/>
    <w:rsid w:val="00A553A3"/>
    <w:rsid w:val="00A61E3C"/>
    <w:rsid w:val="00A650F0"/>
    <w:rsid w:val="00A65C44"/>
    <w:rsid w:val="00A7101C"/>
    <w:rsid w:val="00A73696"/>
    <w:rsid w:val="00A75A28"/>
    <w:rsid w:val="00A77DA3"/>
    <w:rsid w:val="00A80592"/>
    <w:rsid w:val="00A80F1C"/>
    <w:rsid w:val="00A94C0F"/>
    <w:rsid w:val="00AA2469"/>
    <w:rsid w:val="00AA39C4"/>
    <w:rsid w:val="00AA441D"/>
    <w:rsid w:val="00AB3F12"/>
    <w:rsid w:val="00AB5BC3"/>
    <w:rsid w:val="00AB6455"/>
    <w:rsid w:val="00AC07C8"/>
    <w:rsid w:val="00AC5ED5"/>
    <w:rsid w:val="00AD169A"/>
    <w:rsid w:val="00AD37DE"/>
    <w:rsid w:val="00AE116B"/>
    <w:rsid w:val="00AE1EAF"/>
    <w:rsid w:val="00AF676D"/>
    <w:rsid w:val="00B175FF"/>
    <w:rsid w:val="00B210B2"/>
    <w:rsid w:val="00B226EC"/>
    <w:rsid w:val="00B302C2"/>
    <w:rsid w:val="00B367A3"/>
    <w:rsid w:val="00B373E9"/>
    <w:rsid w:val="00B4294E"/>
    <w:rsid w:val="00B53796"/>
    <w:rsid w:val="00B61095"/>
    <w:rsid w:val="00B6126D"/>
    <w:rsid w:val="00B63981"/>
    <w:rsid w:val="00B6769A"/>
    <w:rsid w:val="00B713BD"/>
    <w:rsid w:val="00B73C69"/>
    <w:rsid w:val="00B74D75"/>
    <w:rsid w:val="00B77772"/>
    <w:rsid w:val="00B8284A"/>
    <w:rsid w:val="00B83EB5"/>
    <w:rsid w:val="00B848E5"/>
    <w:rsid w:val="00B84CEE"/>
    <w:rsid w:val="00B8777E"/>
    <w:rsid w:val="00B91D5A"/>
    <w:rsid w:val="00B96466"/>
    <w:rsid w:val="00BA0075"/>
    <w:rsid w:val="00BA1E8A"/>
    <w:rsid w:val="00BA5552"/>
    <w:rsid w:val="00BA5625"/>
    <w:rsid w:val="00BB0778"/>
    <w:rsid w:val="00BB254E"/>
    <w:rsid w:val="00BB29CD"/>
    <w:rsid w:val="00BC4D64"/>
    <w:rsid w:val="00BC547E"/>
    <w:rsid w:val="00BC7641"/>
    <w:rsid w:val="00BD6E01"/>
    <w:rsid w:val="00BE491C"/>
    <w:rsid w:val="00BE5BC0"/>
    <w:rsid w:val="00BE6B07"/>
    <w:rsid w:val="00BF4C1F"/>
    <w:rsid w:val="00BF5C5D"/>
    <w:rsid w:val="00BF5E89"/>
    <w:rsid w:val="00C038E3"/>
    <w:rsid w:val="00C0633B"/>
    <w:rsid w:val="00C14A5B"/>
    <w:rsid w:val="00C15ACD"/>
    <w:rsid w:val="00C202F8"/>
    <w:rsid w:val="00C205CC"/>
    <w:rsid w:val="00C307EA"/>
    <w:rsid w:val="00C32F84"/>
    <w:rsid w:val="00C40130"/>
    <w:rsid w:val="00C41770"/>
    <w:rsid w:val="00C423A8"/>
    <w:rsid w:val="00C44237"/>
    <w:rsid w:val="00C532D2"/>
    <w:rsid w:val="00C55759"/>
    <w:rsid w:val="00C55C76"/>
    <w:rsid w:val="00C631FF"/>
    <w:rsid w:val="00C63AAE"/>
    <w:rsid w:val="00C65EF8"/>
    <w:rsid w:val="00C65FFB"/>
    <w:rsid w:val="00C704D2"/>
    <w:rsid w:val="00C80E9C"/>
    <w:rsid w:val="00C869F0"/>
    <w:rsid w:val="00C870A1"/>
    <w:rsid w:val="00C87319"/>
    <w:rsid w:val="00C914C7"/>
    <w:rsid w:val="00C91B5F"/>
    <w:rsid w:val="00C97897"/>
    <w:rsid w:val="00CA0014"/>
    <w:rsid w:val="00CA54E0"/>
    <w:rsid w:val="00CA5ABD"/>
    <w:rsid w:val="00CB1CFF"/>
    <w:rsid w:val="00CB346F"/>
    <w:rsid w:val="00CB4B6F"/>
    <w:rsid w:val="00CB707A"/>
    <w:rsid w:val="00CD5973"/>
    <w:rsid w:val="00CD64ED"/>
    <w:rsid w:val="00CD7B40"/>
    <w:rsid w:val="00CE2005"/>
    <w:rsid w:val="00CE4106"/>
    <w:rsid w:val="00CF0B25"/>
    <w:rsid w:val="00CF5654"/>
    <w:rsid w:val="00D032B0"/>
    <w:rsid w:val="00D065EF"/>
    <w:rsid w:val="00D07C12"/>
    <w:rsid w:val="00D22508"/>
    <w:rsid w:val="00D228FE"/>
    <w:rsid w:val="00D268B7"/>
    <w:rsid w:val="00D277C4"/>
    <w:rsid w:val="00D321F2"/>
    <w:rsid w:val="00D339E4"/>
    <w:rsid w:val="00D36B40"/>
    <w:rsid w:val="00D37765"/>
    <w:rsid w:val="00D4668A"/>
    <w:rsid w:val="00D52476"/>
    <w:rsid w:val="00D53800"/>
    <w:rsid w:val="00D54783"/>
    <w:rsid w:val="00D5509C"/>
    <w:rsid w:val="00D60FE7"/>
    <w:rsid w:val="00D625BA"/>
    <w:rsid w:val="00D6708C"/>
    <w:rsid w:val="00D7046E"/>
    <w:rsid w:val="00D7176D"/>
    <w:rsid w:val="00D72A49"/>
    <w:rsid w:val="00D72E27"/>
    <w:rsid w:val="00D73C5A"/>
    <w:rsid w:val="00D84CD5"/>
    <w:rsid w:val="00D86A41"/>
    <w:rsid w:val="00D9520F"/>
    <w:rsid w:val="00DA0C76"/>
    <w:rsid w:val="00DA23AD"/>
    <w:rsid w:val="00DA32FD"/>
    <w:rsid w:val="00DB0A58"/>
    <w:rsid w:val="00DB2204"/>
    <w:rsid w:val="00DC22EB"/>
    <w:rsid w:val="00DC6341"/>
    <w:rsid w:val="00DD1476"/>
    <w:rsid w:val="00DD3968"/>
    <w:rsid w:val="00DD54C2"/>
    <w:rsid w:val="00DE0037"/>
    <w:rsid w:val="00DF0112"/>
    <w:rsid w:val="00DF0E01"/>
    <w:rsid w:val="00DF429A"/>
    <w:rsid w:val="00E0585D"/>
    <w:rsid w:val="00E05A9B"/>
    <w:rsid w:val="00E229F7"/>
    <w:rsid w:val="00E31639"/>
    <w:rsid w:val="00E35ECB"/>
    <w:rsid w:val="00E43A8E"/>
    <w:rsid w:val="00E523A9"/>
    <w:rsid w:val="00E6497A"/>
    <w:rsid w:val="00E7051F"/>
    <w:rsid w:val="00E7174B"/>
    <w:rsid w:val="00E75F14"/>
    <w:rsid w:val="00E879E0"/>
    <w:rsid w:val="00E87C88"/>
    <w:rsid w:val="00E91434"/>
    <w:rsid w:val="00EA50AF"/>
    <w:rsid w:val="00EA6B70"/>
    <w:rsid w:val="00EB38B2"/>
    <w:rsid w:val="00EB4760"/>
    <w:rsid w:val="00EB4CEF"/>
    <w:rsid w:val="00EB63FA"/>
    <w:rsid w:val="00EB6BE5"/>
    <w:rsid w:val="00EC0282"/>
    <w:rsid w:val="00EC0A51"/>
    <w:rsid w:val="00EC0B04"/>
    <w:rsid w:val="00EC5024"/>
    <w:rsid w:val="00ED0BD4"/>
    <w:rsid w:val="00ED41AA"/>
    <w:rsid w:val="00ED51B0"/>
    <w:rsid w:val="00EE128D"/>
    <w:rsid w:val="00EE44CB"/>
    <w:rsid w:val="00EE45AC"/>
    <w:rsid w:val="00EE76E2"/>
    <w:rsid w:val="00EF2B2E"/>
    <w:rsid w:val="00EF485C"/>
    <w:rsid w:val="00F00F44"/>
    <w:rsid w:val="00F02BA3"/>
    <w:rsid w:val="00F1549D"/>
    <w:rsid w:val="00F202F2"/>
    <w:rsid w:val="00F26B5C"/>
    <w:rsid w:val="00F3098F"/>
    <w:rsid w:val="00F343A1"/>
    <w:rsid w:val="00F36CF5"/>
    <w:rsid w:val="00F4353B"/>
    <w:rsid w:val="00F449D3"/>
    <w:rsid w:val="00F45B38"/>
    <w:rsid w:val="00F45F0D"/>
    <w:rsid w:val="00F50C83"/>
    <w:rsid w:val="00F52CDE"/>
    <w:rsid w:val="00F53556"/>
    <w:rsid w:val="00F60618"/>
    <w:rsid w:val="00F71375"/>
    <w:rsid w:val="00F74112"/>
    <w:rsid w:val="00F75952"/>
    <w:rsid w:val="00F81433"/>
    <w:rsid w:val="00F82035"/>
    <w:rsid w:val="00F85F5B"/>
    <w:rsid w:val="00F94494"/>
    <w:rsid w:val="00F95C91"/>
    <w:rsid w:val="00FA3539"/>
    <w:rsid w:val="00FA62CF"/>
    <w:rsid w:val="00FB3BA8"/>
    <w:rsid w:val="00FC21F9"/>
    <w:rsid w:val="00FC4DF0"/>
    <w:rsid w:val="00FD1F48"/>
    <w:rsid w:val="00FD5622"/>
    <w:rsid w:val="00FE5734"/>
    <w:rsid w:val="00FE75E7"/>
    <w:rsid w:val="00FF1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0156ED"/>
  <w15:chartTrackingRefBased/>
  <w15:docId w15:val="{9DFF7502-E5FE-4E11-B99E-E62EBCA1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1"/>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BA1E8A"/>
    <w:rPr>
      <w:sz w:val="16"/>
      <w:szCs w:val="16"/>
    </w:rPr>
  </w:style>
  <w:style w:type="paragraph" w:styleId="CommentText">
    <w:name w:val="annotation text"/>
    <w:basedOn w:val="Normal"/>
    <w:link w:val="CommentTextChar"/>
    <w:uiPriority w:val="99"/>
    <w:unhideWhenUsed/>
    <w:rsid w:val="00BA1E8A"/>
    <w:rPr>
      <w:sz w:val="20"/>
      <w:szCs w:val="20"/>
    </w:rPr>
  </w:style>
  <w:style w:type="character" w:customStyle="1" w:styleId="CommentTextChar">
    <w:name w:val="Comment Text Char"/>
    <w:basedOn w:val="DefaultParagraphFont"/>
    <w:link w:val="CommentText"/>
    <w:uiPriority w:val="99"/>
    <w:rsid w:val="00BA1E8A"/>
    <w:rPr>
      <w:sz w:val="20"/>
      <w:szCs w:val="20"/>
      <w:lang w:val="en-US"/>
    </w:rPr>
  </w:style>
  <w:style w:type="paragraph" w:styleId="CommentSubject">
    <w:name w:val="annotation subject"/>
    <w:basedOn w:val="CommentText"/>
    <w:next w:val="CommentText"/>
    <w:link w:val="CommentSubjectChar"/>
    <w:uiPriority w:val="99"/>
    <w:semiHidden/>
    <w:unhideWhenUsed/>
    <w:rsid w:val="00BA1E8A"/>
    <w:rPr>
      <w:b/>
      <w:bCs/>
    </w:rPr>
  </w:style>
  <w:style w:type="character" w:customStyle="1" w:styleId="CommentSubjectChar">
    <w:name w:val="Comment Subject Char"/>
    <w:basedOn w:val="CommentTextChar"/>
    <w:link w:val="CommentSubject"/>
    <w:uiPriority w:val="99"/>
    <w:semiHidden/>
    <w:rsid w:val="00BA1E8A"/>
    <w:rPr>
      <w:b/>
      <w:bCs/>
      <w:sz w:val="20"/>
      <w:szCs w:val="20"/>
      <w:lang w:val="en-US"/>
    </w:rPr>
  </w:style>
  <w:style w:type="paragraph" w:styleId="BalloonText">
    <w:name w:val="Balloon Text"/>
    <w:basedOn w:val="Normal"/>
    <w:link w:val="BalloonTextChar"/>
    <w:uiPriority w:val="99"/>
    <w:semiHidden/>
    <w:unhideWhenUsed/>
    <w:rsid w:val="00BA1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E8A"/>
    <w:rPr>
      <w:rFonts w:ascii="Segoe UI" w:hAnsi="Segoe UI" w:cs="Segoe UI"/>
      <w:sz w:val="18"/>
      <w:szCs w:val="18"/>
      <w:lang w:val="en-US"/>
    </w:rPr>
  </w:style>
  <w:style w:type="character" w:styleId="Hyperlink">
    <w:name w:val="Hyperlink"/>
    <w:basedOn w:val="DefaultParagraphFont"/>
    <w:uiPriority w:val="99"/>
    <w:unhideWhenUsed/>
    <w:rsid w:val="00BA1E8A"/>
    <w:rPr>
      <w:color w:val="0000FF"/>
      <w:u w:val="single"/>
    </w:rPr>
  </w:style>
  <w:style w:type="character" w:styleId="FollowedHyperlink">
    <w:name w:val="FollowedHyperlink"/>
    <w:basedOn w:val="DefaultParagraphFont"/>
    <w:uiPriority w:val="99"/>
    <w:semiHidden/>
    <w:unhideWhenUsed/>
    <w:rsid w:val="00FA62CF"/>
    <w:rPr>
      <w:color w:val="954F72" w:themeColor="followedHyperlink"/>
      <w:u w:val="single"/>
    </w:rPr>
  </w:style>
  <w:style w:type="character" w:customStyle="1" w:styleId="UnresolvedMention1">
    <w:name w:val="Unresolved Mention1"/>
    <w:basedOn w:val="DefaultParagraphFont"/>
    <w:uiPriority w:val="99"/>
    <w:semiHidden/>
    <w:unhideWhenUsed/>
    <w:rsid w:val="00F75952"/>
    <w:rPr>
      <w:color w:val="605E5C"/>
      <w:shd w:val="clear" w:color="auto" w:fill="E1DFDD"/>
    </w:rPr>
  </w:style>
  <w:style w:type="paragraph" w:customStyle="1" w:styleId="OutlineNumbered1">
    <w:name w:val="Outline Numbered 1"/>
    <w:basedOn w:val="Normal"/>
    <w:link w:val="OutlineNumbered1Char"/>
    <w:rsid w:val="004B66B8"/>
    <w:pPr>
      <w:numPr>
        <w:numId w:val="8"/>
      </w:numPr>
    </w:pPr>
    <w:rPr>
      <w:rFonts w:ascii="Corbel" w:eastAsia="Times New Roman" w:hAnsi="Corbel" w:cs="Arial"/>
      <w:color w:val="2E74B5" w:themeColor="accent1" w:themeShade="BF"/>
      <w:sz w:val="26"/>
      <w:szCs w:val="26"/>
      <w:lang w:eastAsia="en-AU"/>
    </w:rPr>
  </w:style>
  <w:style w:type="character" w:customStyle="1" w:styleId="OutlineNumbered1Char">
    <w:name w:val="Outline Numbered 1 Char"/>
    <w:basedOn w:val="TableformatChar"/>
    <w:link w:val="OutlineNumbered1"/>
    <w:rsid w:val="004B66B8"/>
    <w:rPr>
      <w:rFonts w:ascii="Corbel" w:eastAsia="Times New Roman" w:hAnsi="Corbel" w:cs="Arial"/>
      <w:iCs w:val="0"/>
      <w:color w:val="2E74B5" w:themeColor="accent1" w:themeShade="BF"/>
      <w:sz w:val="26"/>
      <w:szCs w:val="26"/>
      <w:lang w:val="en-US" w:eastAsia="en-AU"/>
    </w:rPr>
  </w:style>
  <w:style w:type="paragraph" w:customStyle="1" w:styleId="OutlineNumbered2">
    <w:name w:val="Outline Numbered 2"/>
    <w:basedOn w:val="Normal"/>
    <w:link w:val="OutlineNumbered2Char"/>
    <w:rsid w:val="004B66B8"/>
    <w:pPr>
      <w:numPr>
        <w:ilvl w:val="1"/>
        <w:numId w:val="8"/>
      </w:numPr>
    </w:pPr>
    <w:rPr>
      <w:rFonts w:ascii="Corbel" w:eastAsia="Times New Roman" w:hAnsi="Corbel" w:cs="Arial"/>
      <w:color w:val="2E74B5" w:themeColor="accent1" w:themeShade="BF"/>
      <w:sz w:val="26"/>
      <w:szCs w:val="26"/>
      <w:lang w:eastAsia="en-AU"/>
    </w:rPr>
  </w:style>
  <w:style w:type="character" w:customStyle="1" w:styleId="OutlineNumbered2Char">
    <w:name w:val="Outline Numbered 2 Char"/>
    <w:basedOn w:val="TableformatChar"/>
    <w:link w:val="OutlineNumbered2"/>
    <w:rsid w:val="004B66B8"/>
    <w:rPr>
      <w:rFonts w:ascii="Corbel" w:eastAsia="Times New Roman" w:hAnsi="Corbel" w:cs="Arial"/>
      <w:iCs w:val="0"/>
      <w:color w:val="2E74B5" w:themeColor="accent1" w:themeShade="BF"/>
      <w:sz w:val="26"/>
      <w:szCs w:val="26"/>
      <w:lang w:val="en-US" w:eastAsia="en-AU"/>
    </w:rPr>
  </w:style>
  <w:style w:type="paragraph" w:customStyle="1" w:styleId="OutlineNumbered3">
    <w:name w:val="Outline Numbered 3"/>
    <w:basedOn w:val="Normal"/>
    <w:link w:val="OutlineNumbered3Char"/>
    <w:rsid w:val="004B66B8"/>
    <w:pPr>
      <w:numPr>
        <w:ilvl w:val="2"/>
        <w:numId w:val="8"/>
      </w:numPr>
    </w:pPr>
    <w:rPr>
      <w:rFonts w:ascii="Corbel" w:eastAsia="Times New Roman" w:hAnsi="Corbel" w:cs="Arial"/>
      <w:color w:val="2E74B5" w:themeColor="accent1" w:themeShade="BF"/>
      <w:sz w:val="26"/>
      <w:szCs w:val="26"/>
      <w:lang w:eastAsia="en-AU"/>
    </w:rPr>
  </w:style>
  <w:style w:type="character" w:customStyle="1" w:styleId="OutlineNumbered3Char">
    <w:name w:val="Outline Numbered 3 Char"/>
    <w:basedOn w:val="TableformatChar"/>
    <w:link w:val="OutlineNumbered3"/>
    <w:rsid w:val="004B66B8"/>
    <w:rPr>
      <w:rFonts w:ascii="Corbel" w:eastAsia="Times New Roman" w:hAnsi="Corbel" w:cs="Arial"/>
      <w:iCs w:val="0"/>
      <w:color w:val="2E74B5" w:themeColor="accent1" w:themeShade="BF"/>
      <w:sz w:val="26"/>
      <w:szCs w:val="2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IconOverlay xmlns="http://schemas.microsoft.com/sharepoint/v4" xsi:nil="true"/>
    <_dlc_DocId xmlns="0f563589-9cf9-4143-b1eb-fb0534803d38">2022FG-64-112279</_dlc_DocId>
    <_dlc_DocIdUrl xmlns="0f563589-9cf9-4143-b1eb-fb0534803d38">
      <Url>http://tweb/sites/fg/csrd/_layouts/15/DocIdRedir.aspx?ID=2022FG-64-112279</Url>
      <Description>2022FG-64-112279</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47861" ma:contentTypeDescription=" " ma:contentTypeScope="" ma:versionID="4dcd6025ce3fe05aa227a371e099d4d7">
  <xsd:schema xmlns:xsd="http://www.w3.org/2001/XMLSchema" xmlns:xs="http://www.w3.org/2001/XMLSchema" xmlns:p="http://schemas.microsoft.com/office/2006/metadata/properties" xmlns:ns1="http://schemas.microsoft.com/sharepoint/v3" xmlns:ns2="0f563589-9cf9-4143-b1eb-fb0534803d38" xmlns:ns3="http://schemas.microsoft.com/sharepoint/v4" targetNamespace="http://schemas.microsoft.com/office/2006/metadata/properties" ma:root="true" ma:fieldsID="116af7369b48f077cba1a0cb86df0efa" ns1:_="" ns2:_="" ns3:_="">
    <xsd:import namespace="http://schemas.microsoft.com/sharepoint/v3"/>
    <xsd:import namespace="0f563589-9cf9-4143-b1eb-fb0534803d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TaxCatchAll" minOccurs="0"/>
                <xsd:element ref="ns2:TaxCatchAllLabe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Props1.xml><?xml version="1.0" encoding="utf-8"?>
<ds:datastoreItem xmlns:ds="http://schemas.openxmlformats.org/officeDocument/2006/customXml" ds:itemID="{FFD900B8-6070-407E-B433-89E316A15907}">
  <ds:schemaRefs>
    <ds:schemaRef ds:uri="http://purl.org/dc/elements/1.1/"/>
    <ds:schemaRef ds:uri="http://schemas.microsoft.com/office/2006/metadata/properties"/>
    <ds:schemaRef ds:uri="http://www.w3.org/XML/1998/namespace"/>
    <ds:schemaRef ds:uri="http://schemas.microsoft.com/sharepoint/v3"/>
    <ds:schemaRef ds:uri="0f563589-9cf9-4143-b1eb-fb0534803d38"/>
    <ds:schemaRef ds:uri="http://schemas.microsoft.com/sharepoint/v4"/>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847E25A-4A0F-4064-9AA3-BC512B330750}">
  <ds:schemaRefs>
    <ds:schemaRef ds:uri="office.server.policy"/>
  </ds:schemaRefs>
</ds:datastoreItem>
</file>

<file path=customXml/itemProps3.xml><?xml version="1.0" encoding="utf-8"?>
<ds:datastoreItem xmlns:ds="http://schemas.openxmlformats.org/officeDocument/2006/customXml" ds:itemID="{1C5BAC4F-E326-4CE1-A6AB-1BE3BE26B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71649-D103-48E0-9B5F-BAA18E6DBC98}">
  <ds:schemaRefs>
    <ds:schemaRef ds:uri="http://schemas.microsoft.com/sharepoint/events"/>
  </ds:schemaRefs>
</ds:datastoreItem>
</file>

<file path=customXml/itemProps5.xml><?xml version="1.0" encoding="utf-8"?>
<ds:datastoreItem xmlns:ds="http://schemas.openxmlformats.org/officeDocument/2006/customXml" ds:itemID="{766DFF39-B1A0-4D6A-871F-52A68E916238}">
  <ds:schemaRefs>
    <ds:schemaRef ds:uri="http://schemas.microsoft.com/sharepoint/v3/contenttype/forms"/>
  </ds:schemaRefs>
</ds:datastoreItem>
</file>

<file path=customXml/itemProps6.xml><?xml version="1.0" encoding="utf-8"?>
<ds:datastoreItem xmlns:ds="http://schemas.openxmlformats.org/officeDocument/2006/customXml" ds:itemID="{30F65ACE-AD7D-4F61-BF0B-28C2AA570E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Affordable Housing, Community Services and Other - Bilateral/Simple multilateral Schedule Template</vt:lpstr>
    </vt:vector>
  </TitlesOfParts>
  <Company>Department of the Prime Minister and Cabinet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Community Services and Other - Bilateral/Simple multilateral Schedule Template</dc:title>
  <dc:subject/>
  <dc:creator>Le, Alan</dc:creator>
  <cp:keywords/>
  <dc:description/>
  <cp:lastModifiedBy>Pennifold, Lauren</cp:lastModifiedBy>
  <cp:revision>3</cp:revision>
  <dcterms:created xsi:type="dcterms:W3CDTF">2022-12-02T01:00:00Z</dcterms:created>
  <dcterms:modified xsi:type="dcterms:W3CDTF">2022-12-02T01:09:00Z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0x010100348D01E61E107C4DA4B97E380EA20D47005CDF45B49E80F24CAD80DFC012154DA9</vt:lpwstr>
  </property>
  <property fmtid="{D5CDD505-2E9C-101B-9397-08002B2CF9AE}" pid="3" name="TSYRecordClass">
    <vt:lpwstr>2;#TSY RA-8748 - Retain as national archives|243f2231-dbfc-4282-b24a-c9b768286bd0</vt:lpwstr>
  </property>
  <property fmtid="{D5CDD505-2E9C-101B-9397-08002B2CF9AE}" pid="4" name="_dlc_DocIdItemGuid">
    <vt:lpwstr>8fd67df6-cf0b-48a7-9ea2-6b36838b9499</vt:lpwstr>
  </property>
  <property fmtid="{D5CDD505-2E9C-101B-9397-08002B2CF9AE}" pid="5" name="lb508a4dc5e84436a0fe496b536466aa">
    <vt:lpwstr>TSY RA-8748 - Retain as national archives|243f2231-dbfc-4282-b24a-c9b768286bd0</vt:lpwstr>
  </property>
</Properties>
</file>