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5BBC" w14:textId="0879517B" w:rsidR="0029427C" w:rsidRDefault="2E7B4F2B" w:rsidP="00A57C54">
      <w:pPr>
        <w:pStyle w:val="Heading9"/>
        <w:jc w:val="right"/>
        <w:rPr>
          <w:rFonts w:ascii="Corbel" w:eastAsia="Corbel" w:hAnsi="Corbel" w:cs="Corbel"/>
        </w:rPr>
      </w:pPr>
      <w:r>
        <w:t xml:space="preserve"> </w:t>
      </w:r>
      <w:r w:rsidRPr="01E6ECD3">
        <w:rPr>
          <w:color w:val="272727"/>
        </w:rPr>
        <w:t>Schedule</w:t>
      </w:r>
      <w:r w:rsidRPr="01E6ECD3">
        <w:rPr>
          <w:rFonts w:ascii="Calibri Light" w:hAnsi="Calibri Light" w:cs="Calibri Light"/>
          <w:i w:val="0"/>
          <w:iCs w:val="0"/>
          <w:sz w:val="28"/>
          <w:szCs w:val="28"/>
        </w:rPr>
        <w:t xml:space="preserve"> </w:t>
      </w:r>
    </w:p>
    <w:p w14:paraId="147DF6EB" w14:textId="77777777" w:rsidR="00D955D2" w:rsidRPr="00A57C54" w:rsidRDefault="00CD24A0">
      <w:pPr>
        <w:spacing w:after="46" w:line="259" w:lineRule="auto"/>
        <w:ind w:left="0" w:firstLine="0"/>
        <w:rPr>
          <w:rFonts w:ascii="Corbel" w:eastAsia="Times New Roman" w:hAnsi="Corbel" w:cs="Times New Roman"/>
          <w:color w:val="3D4B67"/>
          <w:kern w:val="0"/>
          <w:sz w:val="40"/>
          <w:szCs w:val="40"/>
          <w:lang w:eastAsia="ja-JP"/>
          <w14:ligatures w14:val="none"/>
        </w:rPr>
      </w:pPr>
      <w:r w:rsidRPr="00A57C54">
        <w:rPr>
          <w:rFonts w:ascii="Corbel" w:eastAsia="Times New Roman" w:hAnsi="Corbel" w:cs="Times New Roman"/>
          <w:color w:val="3D4B67"/>
          <w:kern w:val="0"/>
          <w:sz w:val="40"/>
          <w:szCs w:val="40"/>
          <w:lang w:eastAsia="ja-JP"/>
          <w14:ligatures w14:val="none"/>
        </w:rPr>
        <w:t xml:space="preserve">FEE-FREE TAFE SKILLS AGREEMENT </w:t>
      </w:r>
    </w:p>
    <w:p w14:paraId="6DC13F78" w14:textId="7DE9FC38" w:rsidR="0029427C" w:rsidRDefault="00CD24A0" w:rsidP="00A57C54">
      <w:pPr>
        <w:pStyle w:val="Subtitle"/>
      </w:pPr>
      <w:r w:rsidRPr="00A57C54">
        <w:rPr>
          <w:rFonts w:eastAsia="Consolas"/>
        </w:rPr>
        <w:t xml:space="preserve">FEDERATION FUNDING AGREEMENT – EDUCATION AND SKILLS </w:t>
      </w:r>
    </w:p>
    <w:tbl>
      <w:tblPr>
        <w:tblStyle w:val="TableGrid1"/>
        <w:tblW w:w="9771" w:type="dxa"/>
        <w:tblInd w:w="-152" w:type="dxa"/>
        <w:tblCellMar>
          <w:top w:w="54" w:type="dxa"/>
          <w:left w:w="107" w:type="dxa"/>
          <w:right w:w="83" w:type="dxa"/>
        </w:tblCellMar>
        <w:tblLook w:val="04A0" w:firstRow="1" w:lastRow="0" w:firstColumn="1" w:lastColumn="0" w:noHBand="0" w:noVBand="1"/>
      </w:tblPr>
      <w:tblGrid>
        <w:gridCol w:w="1324"/>
        <w:gridCol w:w="8447"/>
      </w:tblGrid>
      <w:tr w:rsidR="0029427C" w14:paraId="648DB0A7" w14:textId="77777777" w:rsidTr="144465B3">
        <w:trPr>
          <w:trHeight w:val="466"/>
        </w:trPr>
        <w:tc>
          <w:tcPr>
            <w:tcW w:w="9771" w:type="dxa"/>
            <w:gridSpan w:val="2"/>
            <w:tcBorders>
              <w:top w:val="single" w:sz="8" w:space="0" w:color="4F81BD"/>
              <w:left w:val="single" w:sz="8" w:space="0" w:color="4F81BD"/>
              <w:bottom w:val="single" w:sz="8" w:space="0" w:color="4F81BD"/>
              <w:right w:val="single" w:sz="8" w:space="0" w:color="4F81BD"/>
            </w:tcBorders>
            <w:shd w:val="clear" w:color="auto" w:fill="DEEAF6"/>
            <w:vAlign w:val="center"/>
          </w:tcPr>
          <w:p w14:paraId="29ACC852" w14:textId="77777777" w:rsidR="0029427C" w:rsidRPr="003351E6" w:rsidRDefault="00CD24A0" w:rsidP="00D11BBC">
            <w:pPr>
              <w:spacing w:after="0" w:line="259" w:lineRule="auto"/>
              <w:ind w:left="-141" w:firstLine="141"/>
            </w:pPr>
            <w:r w:rsidRPr="00A7632D">
              <w:rPr>
                <w:rFonts w:eastAsia="Corbel"/>
                <w:b/>
              </w:rPr>
              <w:t xml:space="preserve">Part 1: Formalities and operation of schedule </w:t>
            </w:r>
          </w:p>
        </w:tc>
      </w:tr>
      <w:tr w:rsidR="0029427C" w:rsidRPr="003351E6" w14:paraId="55B9CA67" w14:textId="77777777" w:rsidTr="144465B3">
        <w:trPr>
          <w:trHeight w:val="3430"/>
        </w:trPr>
        <w:tc>
          <w:tcPr>
            <w:tcW w:w="1521" w:type="dxa"/>
            <w:tcBorders>
              <w:top w:val="single" w:sz="8" w:space="0" w:color="4F81BD"/>
              <w:left w:val="single" w:sz="8" w:space="0" w:color="4F81BD"/>
              <w:bottom w:val="single" w:sz="8" w:space="0" w:color="4F81BD"/>
              <w:right w:val="single" w:sz="8" w:space="0" w:color="4F81BD"/>
            </w:tcBorders>
          </w:tcPr>
          <w:p w14:paraId="2ABEDFB8" w14:textId="77777777" w:rsidR="0029427C" w:rsidRPr="003351E6" w:rsidRDefault="00CD24A0" w:rsidP="00D11BBC">
            <w:pPr>
              <w:spacing w:after="0" w:line="259" w:lineRule="auto"/>
              <w:ind w:left="-141" w:firstLine="141"/>
            </w:pPr>
            <w:r w:rsidRPr="00A7632D">
              <w:rPr>
                <w:rFonts w:eastAsia="Corbel"/>
              </w:rPr>
              <w:t xml:space="preserve">Parties </w:t>
            </w:r>
          </w:p>
        </w:tc>
        <w:tc>
          <w:tcPr>
            <w:tcW w:w="8250" w:type="dxa"/>
            <w:tcBorders>
              <w:top w:val="single" w:sz="8" w:space="0" w:color="4F81BD"/>
              <w:left w:val="single" w:sz="8" w:space="0" w:color="4F81BD"/>
              <w:bottom w:val="single" w:sz="8" w:space="0" w:color="4F81BD"/>
              <w:right w:val="single" w:sz="8" w:space="0" w:color="4F81BD"/>
            </w:tcBorders>
            <w:vAlign w:val="center"/>
          </w:tcPr>
          <w:p w14:paraId="779962A4" w14:textId="77777777" w:rsidR="0029427C" w:rsidRPr="003351E6" w:rsidRDefault="00CD24A0" w:rsidP="00F55F8D">
            <w:pPr>
              <w:spacing w:after="81" w:line="259" w:lineRule="auto"/>
              <w:ind w:left="46" w:firstLine="0"/>
            </w:pPr>
            <w:r w:rsidRPr="00A7632D">
              <w:rPr>
                <w:rFonts w:eastAsia="Corbel"/>
              </w:rPr>
              <w:t xml:space="preserve">Commonwealth </w:t>
            </w:r>
          </w:p>
          <w:p w14:paraId="526A34BF" w14:textId="77777777" w:rsidR="0029427C" w:rsidRPr="003351E6" w:rsidRDefault="00CD24A0" w:rsidP="00F55F8D">
            <w:pPr>
              <w:spacing w:after="79" w:line="259" w:lineRule="auto"/>
              <w:ind w:left="46" w:firstLine="0"/>
            </w:pPr>
            <w:r w:rsidRPr="003351E6">
              <w:rPr>
                <w:rFonts w:eastAsia="Corbel"/>
              </w:rPr>
              <w:t xml:space="preserve">New South Wales </w:t>
            </w:r>
          </w:p>
          <w:p w14:paraId="4F76774D" w14:textId="46876D35" w:rsidR="0029427C" w:rsidRPr="003351E6" w:rsidRDefault="00CD24A0" w:rsidP="7B38AC4B">
            <w:pPr>
              <w:spacing w:after="79" w:line="259" w:lineRule="auto"/>
              <w:ind w:left="46" w:firstLine="0"/>
              <w:rPr>
                <w:rFonts w:eastAsia="Corbel"/>
              </w:rPr>
            </w:pPr>
            <w:r w:rsidRPr="7B38AC4B">
              <w:rPr>
                <w:rFonts w:eastAsia="Corbel"/>
              </w:rPr>
              <w:t>Victoria</w:t>
            </w:r>
          </w:p>
          <w:p w14:paraId="0ECB9EBD" w14:textId="77777777" w:rsidR="0029427C" w:rsidRPr="003351E6" w:rsidRDefault="00CD24A0" w:rsidP="00F55F8D">
            <w:pPr>
              <w:spacing w:after="79" w:line="259" w:lineRule="auto"/>
              <w:ind w:left="46" w:firstLine="0"/>
            </w:pPr>
            <w:r w:rsidRPr="003351E6">
              <w:rPr>
                <w:rFonts w:eastAsia="Corbel"/>
              </w:rPr>
              <w:t xml:space="preserve">Queensland </w:t>
            </w:r>
          </w:p>
          <w:p w14:paraId="3495835D" w14:textId="77777777" w:rsidR="0029427C" w:rsidRPr="003351E6" w:rsidRDefault="00CD24A0" w:rsidP="00F55F8D">
            <w:pPr>
              <w:spacing w:after="79" w:line="259" w:lineRule="auto"/>
              <w:ind w:left="46" w:firstLine="0"/>
            </w:pPr>
            <w:r w:rsidRPr="003351E6">
              <w:rPr>
                <w:rFonts w:eastAsia="Corbel"/>
              </w:rPr>
              <w:t xml:space="preserve">Western Australia </w:t>
            </w:r>
          </w:p>
          <w:p w14:paraId="66DD644B" w14:textId="77777777" w:rsidR="0029427C" w:rsidRPr="003351E6" w:rsidRDefault="00CD24A0" w:rsidP="00F55F8D">
            <w:pPr>
              <w:spacing w:after="79" w:line="259" w:lineRule="auto"/>
              <w:ind w:left="46" w:firstLine="0"/>
            </w:pPr>
            <w:r w:rsidRPr="003351E6">
              <w:rPr>
                <w:rFonts w:eastAsia="Corbel"/>
              </w:rPr>
              <w:t xml:space="preserve">South Australia </w:t>
            </w:r>
          </w:p>
          <w:p w14:paraId="565D8575" w14:textId="77777777" w:rsidR="0029427C" w:rsidRPr="003351E6" w:rsidRDefault="00CD24A0" w:rsidP="00F55F8D">
            <w:pPr>
              <w:spacing w:after="79" w:line="259" w:lineRule="auto"/>
              <w:ind w:left="46" w:firstLine="0"/>
            </w:pPr>
            <w:r w:rsidRPr="003351E6">
              <w:rPr>
                <w:rFonts w:eastAsia="Corbel"/>
              </w:rPr>
              <w:t xml:space="preserve">Tasmania </w:t>
            </w:r>
          </w:p>
          <w:p w14:paraId="5CD5CF24" w14:textId="77777777" w:rsidR="0029427C" w:rsidRPr="003351E6" w:rsidRDefault="00CD24A0" w:rsidP="00F55F8D">
            <w:pPr>
              <w:spacing w:after="79" w:line="259" w:lineRule="auto"/>
              <w:ind w:left="46" w:firstLine="0"/>
            </w:pPr>
            <w:r w:rsidRPr="003351E6">
              <w:rPr>
                <w:rFonts w:eastAsia="Corbel"/>
              </w:rPr>
              <w:t xml:space="preserve">Australian Capital Territory </w:t>
            </w:r>
          </w:p>
          <w:p w14:paraId="117878AA" w14:textId="77777777" w:rsidR="0029427C" w:rsidRPr="003351E6" w:rsidRDefault="00CD24A0" w:rsidP="00F55F8D">
            <w:pPr>
              <w:spacing w:after="0" w:line="259" w:lineRule="auto"/>
              <w:ind w:left="46" w:firstLine="0"/>
            </w:pPr>
            <w:r w:rsidRPr="003351E6">
              <w:rPr>
                <w:rFonts w:eastAsia="Corbel"/>
              </w:rPr>
              <w:t xml:space="preserve">Northern Territory  </w:t>
            </w:r>
          </w:p>
        </w:tc>
      </w:tr>
      <w:tr w:rsidR="0029427C" w:rsidRPr="003351E6" w14:paraId="68EA93C3" w14:textId="77777777" w:rsidTr="144465B3">
        <w:trPr>
          <w:trHeight w:val="552"/>
        </w:trPr>
        <w:tc>
          <w:tcPr>
            <w:tcW w:w="1521" w:type="dxa"/>
            <w:tcBorders>
              <w:top w:val="single" w:sz="8" w:space="0" w:color="4F81BD"/>
              <w:left w:val="single" w:sz="8" w:space="0" w:color="4F81BD"/>
              <w:bottom w:val="single" w:sz="8" w:space="0" w:color="4F81BD"/>
              <w:right w:val="single" w:sz="8" w:space="0" w:color="4F81BD"/>
            </w:tcBorders>
            <w:vAlign w:val="center"/>
          </w:tcPr>
          <w:p w14:paraId="5396B78B" w14:textId="77777777" w:rsidR="0029427C" w:rsidRPr="003351E6" w:rsidRDefault="00CD24A0" w:rsidP="00D11BBC">
            <w:pPr>
              <w:spacing w:after="0" w:line="259" w:lineRule="auto"/>
              <w:ind w:left="-141" w:firstLine="141"/>
            </w:pPr>
            <w:r w:rsidRPr="003351E6">
              <w:rPr>
                <w:rFonts w:eastAsia="Corbel"/>
              </w:rPr>
              <w:t>Duration</w:t>
            </w:r>
            <w:r w:rsidRPr="003351E6">
              <w:rPr>
                <w:rFonts w:eastAsia="Corbel"/>
                <w:color w:val="2E74B5"/>
              </w:rPr>
              <w:t xml:space="preserve"> </w:t>
            </w:r>
          </w:p>
        </w:tc>
        <w:tc>
          <w:tcPr>
            <w:tcW w:w="8250" w:type="dxa"/>
            <w:tcBorders>
              <w:top w:val="single" w:sz="8" w:space="0" w:color="4F81BD"/>
              <w:left w:val="single" w:sz="8" w:space="0" w:color="4F81BD"/>
              <w:bottom w:val="single" w:sz="8" w:space="0" w:color="4F81BD"/>
              <w:right w:val="single" w:sz="8" w:space="0" w:color="4F81BD"/>
            </w:tcBorders>
            <w:vAlign w:val="center"/>
          </w:tcPr>
          <w:p w14:paraId="580C3F70" w14:textId="5FDA4516" w:rsidR="0029427C" w:rsidRPr="00E60C06" w:rsidRDefault="00CD24A0" w:rsidP="1DFBE243">
            <w:pPr>
              <w:spacing w:after="0" w:line="259" w:lineRule="auto"/>
              <w:ind w:left="46" w:firstLine="0"/>
              <w:rPr>
                <w:rFonts w:eastAsia="Corbel"/>
              </w:rPr>
            </w:pPr>
            <w:r w:rsidRPr="00E60C06">
              <w:rPr>
                <w:rFonts w:eastAsia="Corbel"/>
              </w:rPr>
              <w:t xml:space="preserve">This Schedule is expected to expire 30 June </w:t>
            </w:r>
            <w:r w:rsidR="00142138" w:rsidRPr="00E60C06">
              <w:rPr>
                <w:rFonts w:eastAsia="Corbel"/>
              </w:rPr>
              <w:t>2027, or on completion of the activities in this Schedule, including final performance reporting and processing of final payments against milestones.</w:t>
            </w:r>
          </w:p>
        </w:tc>
      </w:tr>
      <w:tr w:rsidR="0029427C" w:rsidRPr="003351E6" w14:paraId="34A7F299" w14:textId="77777777" w:rsidTr="144465B3">
        <w:trPr>
          <w:trHeight w:val="3511"/>
        </w:trPr>
        <w:tc>
          <w:tcPr>
            <w:tcW w:w="1521" w:type="dxa"/>
            <w:tcBorders>
              <w:top w:val="single" w:sz="8" w:space="0" w:color="4F81BD"/>
              <w:left w:val="single" w:sz="8" w:space="0" w:color="4F81BD"/>
              <w:bottom w:val="single" w:sz="8" w:space="0" w:color="4F81BD"/>
              <w:right w:val="single" w:sz="8" w:space="0" w:color="4F81BD"/>
            </w:tcBorders>
          </w:tcPr>
          <w:p w14:paraId="0A338526" w14:textId="77777777" w:rsidR="0029427C" w:rsidRPr="003351E6" w:rsidRDefault="00CD24A0" w:rsidP="00D11BBC">
            <w:pPr>
              <w:spacing w:after="0" w:line="259" w:lineRule="auto"/>
              <w:ind w:left="-141" w:firstLine="141"/>
            </w:pPr>
            <w:r w:rsidRPr="003351E6">
              <w:rPr>
                <w:rFonts w:eastAsia="Corbel"/>
              </w:rPr>
              <w:t xml:space="preserve">Purpose </w:t>
            </w:r>
          </w:p>
        </w:tc>
        <w:tc>
          <w:tcPr>
            <w:tcW w:w="8250" w:type="dxa"/>
            <w:tcBorders>
              <w:top w:val="single" w:sz="8" w:space="0" w:color="4F81BD"/>
              <w:left w:val="single" w:sz="8" w:space="0" w:color="4F81BD"/>
              <w:bottom w:val="single" w:sz="8" w:space="0" w:color="4F81BD"/>
              <w:right w:val="single" w:sz="8" w:space="0" w:color="4F81BD"/>
            </w:tcBorders>
          </w:tcPr>
          <w:p w14:paraId="7587A618" w14:textId="4581A827" w:rsidR="0029427C" w:rsidRPr="00E60C06" w:rsidRDefault="00CD24A0" w:rsidP="00128A90">
            <w:pPr>
              <w:spacing w:after="0" w:line="239" w:lineRule="auto"/>
              <w:ind w:left="46" w:firstLine="0"/>
              <w:rPr>
                <w:rFonts w:eastAsia="Corbel"/>
              </w:rPr>
            </w:pPr>
            <w:r w:rsidRPr="00E60C06">
              <w:rPr>
                <w:rFonts w:eastAsia="Corbel"/>
              </w:rPr>
              <w:t xml:space="preserve">This Schedule establishes shared funding arrangements between the Commonwealth and states and territories (the States) to deliver Fee-Free TAFE </w:t>
            </w:r>
            <w:r w:rsidR="009A340A" w:rsidRPr="00E60C06">
              <w:rPr>
                <w:rFonts w:eastAsia="Corbel"/>
              </w:rPr>
              <w:t>Tr</w:t>
            </w:r>
            <w:r w:rsidR="00A73F48" w:rsidRPr="00E60C06">
              <w:rPr>
                <w:rFonts w:eastAsia="Corbel"/>
              </w:rPr>
              <w:t xml:space="preserve">anche 1 and 2 </w:t>
            </w:r>
            <w:r w:rsidRPr="00E60C06">
              <w:rPr>
                <w:rFonts w:eastAsia="Corbel"/>
              </w:rPr>
              <w:t xml:space="preserve">places in agreed areas of priority set out in Appendices A and </w:t>
            </w:r>
            <w:r w:rsidR="00ED2754" w:rsidRPr="00E60C06">
              <w:rPr>
                <w:rFonts w:eastAsia="Corbel"/>
              </w:rPr>
              <w:t>F</w:t>
            </w:r>
            <w:r w:rsidR="00BE17CB" w:rsidRPr="00E60C06">
              <w:rPr>
                <w:rFonts w:eastAsia="Corbel"/>
              </w:rPr>
              <w:t>,</w:t>
            </w:r>
            <w:r w:rsidR="008B1C9D" w:rsidRPr="00E60C06">
              <w:rPr>
                <w:rFonts w:eastAsia="Corbel"/>
              </w:rPr>
              <w:t xml:space="preserve"> </w:t>
            </w:r>
            <w:r w:rsidR="6C02CA67" w:rsidRPr="00E60C06">
              <w:rPr>
                <w:rFonts w:eastAsia="Corbel"/>
              </w:rPr>
              <w:t xml:space="preserve">enhanced infrastructure set out in </w:t>
            </w:r>
            <w:r w:rsidR="53AC4EE1" w:rsidRPr="00E60C06">
              <w:rPr>
                <w:rFonts w:eastAsia="Corbel"/>
              </w:rPr>
              <w:t>Appendix</w:t>
            </w:r>
            <w:r w:rsidR="3003AA40" w:rsidRPr="00E60C06">
              <w:rPr>
                <w:rFonts w:eastAsia="Corbel"/>
              </w:rPr>
              <w:t xml:space="preserve"> </w:t>
            </w:r>
            <w:r w:rsidR="04AA41ED" w:rsidRPr="00E60C06">
              <w:rPr>
                <w:rFonts w:eastAsia="Corbel"/>
              </w:rPr>
              <w:t>B and</w:t>
            </w:r>
            <w:r w:rsidR="3003AA40" w:rsidRPr="00E60C06">
              <w:rPr>
                <w:rFonts w:eastAsia="Corbel"/>
              </w:rPr>
              <w:t xml:space="preserve"> C</w:t>
            </w:r>
            <w:r w:rsidR="0441B6C3" w:rsidRPr="00E60C06">
              <w:rPr>
                <w:rFonts w:eastAsia="Corbel"/>
              </w:rPr>
              <w:t>,</w:t>
            </w:r>
            <w:r w:rsidR="3B7A3446" w:rsidRPr="00E60C06">
              <w:rPr>
                <w:rFonts w:eastAsia="Corbel"/>
              </w:rPr>
              <w:t xml:space="preserve"> and</w:t>
            </w:r>
            <w:r w:rsidR="1E109A62" w:rsidRPr="00E60C06">
              <w:rPr>
                <w:rFonts w:eastAsia="Corbel"/>
              </w:rPr>
              <w:t xml:space="preserve"> </w:t>
            </w:r>
            <w:r w:rsidR="1C32CBB8" w:rsidRPr="00E60C06">
              <w:rPr>
                <w:rFonts w:eastAsia="Corbel"/>
              </w:rPr>
              <w:t xml:space="preserve">the </w:t>
            </w:r>
            <w:r w:rsidR="1E109A62" w:rsidRPr="00E60C06">
              <w:rPr>
                <w:rFonts w:eastAsia="Corbel"/>
              </w:rPr>
              <w:t xml:space="preserve">Fee-Free Construction </w:t>
            </w:r>
            <w:r w:rsidR="6C8FDFD2" w:rsidRPr="00E60C06">
              <w:rPr>
                <w:rFonts w:eastAsia="Corbel"/>
              </w:rPr>
              <w:t xml:space="preserve">and pre-apprenticeship </w:t>
            </w:r>
            <w:r w:rsidR="447FF0F5" w:rsidRPr="00E60C06">
              <w:rPr>
                <w:rFonts w:eastAsia="Corbel"/>
              </w:rPr>
              <w:t xml:space="preserve">places </w:t>
            </w:r>
            <w:r w:rsidR="447FF0F5" w:rsidRPr="00E60C06">
              <w:rPr>
                <w:rFonts w:eastAsia="Corbel"/>
                <w:color w:val="000000" w:themeColor="text1"/>
              </w:rPr>
              <w:t xml:space="preserve">at Appendix </w:t>
            </w:r>
            <w:r w:rsidR="3003AA40" w:rsidRPr="00E60C06">
              <w:rPr>
                <w:rFonts w:eastAsia="Corbel"/>
                <w:color w:val="000000" w:themeColor="text1"/>
              </w:rPr>
              <w:t>G</w:t>
            </w:r>
            <w:r w:rsidR="01FBB067" w:rsidRPr="00E60C06">
              <w:rPr>
                <w:rFonts w:eastAsia="Corbel"/>
                <w:color w:val="000000" w:themeColor="text1"/>
              </w:rPr>
              <w:t>.</w:t>
            </w:r>
          </w:p>
          <w:p w14:paraId="6FFBD5C3" w14:textId="77777777" w:rsidR="0029427C" w:rsidRPr="00E60C06" w:rsidRDefault="00CD24A0" w:rsidP="00F55F8D">
            <w:pPr>
              <w:spacing w:after="0" w:line="259" w:lineRule="auto"/>
              <w:ind w:left="46" w:firstLine="0"/>
            </w:pPr>
            <w:r w:rsidRPr="00E60C06">
              <w:rPr>
                <w:rFonts w:eastAsia="Corbel"/>
                <w:color w:val="7030A0"/>
              </w:rPr>
              <w:t xml:space="preserve"> </w:t>
            </w:r>
          </w:p>
          <w:p w14:paraId="2B447B2C" w14:textId="77777777" w:rsidR="0029427C" w:rsidRPr="00E60C06" w:rsidRDefault="00CD24A0" w:rsidP="00F55F8D">
            <w:pPr>
              <w:spacing w:after="1" w:line="239" w:lineRule="auto"/>
              <w:ind w:left="46" w:firstLine="0"/>
            </w:pPr>
            <w:r w:rsidRPr="00E60C06">
              <w:rPr>
                <w:rFonts w:eastAsia="Corbel"/>
              </w:rPr>
              <w:t xml:space="preserve">Through Fee-Free TAFE, support will be available for priority groups including First Nations Australians, young people (17-24), people out of work or receiving income support, unpaid carers, women facing economic insecurity, women undertaking study in non-traditional fields, people with disability and certain categories of visa holders.  </w:t>
            </w:r>
          </w:p>
          <w:p w14:paraId="7D361F06" w14:textId="77777777" w:rsidR="0029427C" w:rsidRPr="00E60C06" w:rsidRDefault="00CD24A0" w:rsidP="00F55F8D">
            <w:pPr>
              <w:spacing w:after="0" w:line="259" w:lineRule="auto"/>
              <w:ind w:left="46" w:firstLine="0"/>
            </w:pPr>
            <w:r w:rsidRPr="00E60C06">
              <w:rPr>
                <w:rFonts w:eastAsia="Corbel"/>
                <w:color w:val="7030A0"/>
              </w:rPr>
              <w:t xml:space="preserve"> </w:t>
            </w:r>
          </w:p>
          <w:p w14:paraId="2B4C85B9" w14:textId="77777777" w:rsidR="0029427C" w:rsidRPr="00E60C06" w:rsidRDefault="00CD24A0" w:rsidP="00F55F8D">
            <w:pPr>
              <w:spacing w:after="1" w:line="239" w:lineRule="auto"/>
              <w:ind w:left="46" w:firstLine="0"/>
              <w:rPr>
                <w:rFonts w:eastAsia="Corbel"/>
              </w:rPr>
            </w:pPr>
            <w:r w:rsidRPr="00E60C06">
              <w:rPr>
                <w:rFonts w:eastAsia="Corbel"/>
              </w:rPr>
              <w:t>This agreement will put TAFE at the centre of VET, while recognising varied State delivery contexts</w:t>
            </w:r>
            <w:r w:rsidR="00B451C0" w:rsidRPr="00E60C06">
              <w:rPr>
                <w:rFonts w:eastAsia="Corbel"/>
              </w:rPr>
              <w:t>.</w:t>
            </w:r>
          </w:p>
          <w:p w14:paraId="58A52C86" w14:textId="77777777" w:rsidR="00341F8D" w:rsidRPr="00E60C06" w:rsidRDefault="00341F8D" w:rsidP="00F55F8D">
            <w:pPr>
              <w:spacing w:after="1" w:line="239" w:lineRule="auto"/>
              <w:ind w:left="46" w:firstLine="0"/>
              <w:rPr>
                <w:rFonts w:eastAsia="Corbel"/>
              </w:rPr>
            </w:pPr>
          </w:p>
          <w:p w14:paraId="61632C50" w14:textId="2514F3AE" w:rsidR="00341F8D" w:rsidRPr="00E60C06" w:rsidRDefault="00352F44" w:rsidP="00F55F8D">
            <w:pPr>
              <w:spacing w:after="1" w:line="239" w:lineRule="auto"/>
              <w:ind w:left="46" w:firstLine="0"/>
            </w:pPr>
            <w:r w:rsidRPr="00E60C06">
              <w:rPr>
                <w:rFonts w:eastAsia="Corbel"/>
              </w:rPr>
              <w:t>This agreement recog</w:t>
            </w:r>
            <w:r w:rsidR="00111B7E" w:rsidRPr="00E60C06">
              <w:rPr>
                <w:rFonts w:eastAsia="Corbel"/>
              </w:rPr>
              <w:t>n</w:t>
            </w:r>
            <w:r w:rsidRPr="00E60C06">
              <w:rPr>
                <w:rFonts w:eastAsia="Corbel"/>
              </w:rPr>
              <w:t xml:space="preserve">ises the commitment of </w:t>
            </w:r>
            <w:r w:rsidR="004E6AEC" w:rsidRPr="00E60C06">
              <w:rPr>
                <w:rFonts w:eastAsia="Corbel"/>
              </w:rPr>
              <w:t>all jurisdictions</w:t>
            </w:r>
            <w:r w:rsidR="00F21A05" w:rsidRPr="00E60C06">
              <w:rPr>
                <w:rFonts w:eastAsia="Corbel"/>
              </w:rPr>
              <w:t xml:space="preserve"> to address housing supply and to increase the pipeline of skilled workers </w:t>
            </w:r>
            <w:r w:rsidR="00340DAC" w:rsidRPr="00E60C06">
              <w:rPr>
                <w:rFonts w:eastAsia="Corbel"/>
              </w:rPr>
              <w:t>to the construction industry as part of</w:t>
            </w:r>
            <w:r w:rsidR="004E6AEC" w:rsidRPr="00E60C06">
              <w:rPr>
                <w:rFonts w:eastAsia="Corbel"/>
              </w:rPr>
              <w:t xml:space="preserve"> </w:t>
            </w:r>
            <w:r w:rsidR="00340DAC" w:rsidRPr="00E60C06">
              <w:rPr>
                <w:rFonts w:eastAsia="Corbel"/>
              </w:rPr>
              <w:t>t</w:t>
            </w:r>
            <w:r w:rsidR="00341F8D" w:rsidRPr="00E60C06">
              <w:rPr>
                <w:rFonts w:eastAsia="Corbel"/>
              </w:rPr>
              <w:t>he Fee</w:t>
            </w:r>
            <w:r w:rsidRPr="00E60C06">
              <w:rPr>
                <w:rFonts w:eastAsia="Corbel"/>
              </w:rPr>
              <w:t>-Free Construction and pre-apprenticeship places</w:t>
            </w:r>
            <w:r w:rsidR="00340DAC" w:rsidRPr="00E60C06">
              <w:rPr>
                <w:rFonts w:eastAsia="Corbel"/>
              </w:rPr>
              <w:t>.</w:t>
            </w:r>
          </w:p>
        </w:tc>
      </w:tr>
      <w:tr w:rsidR="0029427C" w:rsidRPr="003351E6" w14:paraId="62AFE1EC" w14:textId="77777777" w:rsidTr="144465B3">
        <w:trPr>
          <w:trHeight w:val="3770"/>
        </w:trPr>
        <w:tc>
          <w:tcPr>
            <w:tcW w:w="1521" w:type="dxa"/>
            <w:tcBorders>
              <w:top w:val="single" w:sz="8" w:space="0" w:color="4F81BD"/>
              <w:left w:val="single" w:sz="8" w:space="0" w:color="4F81BD"/>
              <w:bottom w:val="single" w:sz="8" w:space="0" w:color="4F81BD"/>
              <w:right w:val="single" w:sz="8" w:space="0" w:color="4F81BD"/>
            </w:tcBorders>
          </w:tcPr>
          <w:p w14:paraId="2A12A2E3" w14:textId="15E69D93" w:rsidR="0029427C" w:rsidRPr="003351E6" w:rsidRDefault="00CD24A0">
            <w:pPr>
              <w:spacing w:after="0" w:line="259" w:lineRule="auto"/>
              <w:ind w:left="0" w:firstLine="0"/>
            </w:pPr>
            <w:r w:rsidRPr="003351E6">
              <w:rPr>
                <w:rFonts w:eastAsia="Corbel"/>
              </w:rPr>
              <w:lastRenderedPageBreak/>
              <w:t xml:space="preserve">Estimated financial contributions </w:t>
            </w:r>
          </w:p>
        </w:tc>
        <w:tc>
          <w:tcPr>
            <w:tcW w:w="8250" w:type="dxa"/>
            <w:tcBorders>
              <w:top w:val="single" w:sz="8" w:space="0" w:color="4F81BD"/>
              <w:left w:val="single" w:sz="8" w:space="0" w:color="4F81BD"/>
              <w:bottom w:val="single" w:sz="8" w:space="0" w:color="4F81BD"/>
              <w:right w:val="single" w:sz="8" w:space="0" w:color="4F81BD"/>
            </w:tcBorders>
          </w:tcPr>
          <w:p w14:paraId="6C789B13" w14:textId="26756332" w:rsidR="003D0146" w:rsidRPr="00E60C06" w:rsidRDefault="00CD24A0" w:rsidP="00F33BF6">
            <w:pPr>
              <w:spacing w:after="78" w:line="255" w:lineRule="auto"/>
              <w:ind w:left="76" w:firstLine="0"/>
              <w:rPr>
                <w:rFonts w:eastAsia="Corbel"/>
              </w:rPr>
            </w:pPr>
            <w:r w:rsidRPr="00E60C06">
              <w:rPr>
                <w:rFonts w:eastAsia="Corbel"/>
              </w:rPr>
              <w:t xml:space="preserve">The Commonwealth will provide an estimated total financial contribution to the States for Fee-Free TAFE Tranche 1 of $493 million in respect of Appendix A and $50 million for the TAFE Technology Fund as described in Appendix B. </w:t>
            </w:r>
            <w:r w:rsidR="009E6422" w:rsidRPr="00E60C06">
              <w:rPr>
                <w:rFonts w:eastAsia="Corbel"/>
              </w:rPr>
              <w:t xml:space="preserve"> The Commonwealth will also provide $6.85 million for VET Data Infrastructure Reforms as described in Appendix C. The Commonwealth will provide an estimated total financial contribution to the States for Fee-Free TAFE Tranche 2 (FFTT2) of $414.11 million in respect of Appendix F and Table 1a. </w:t>
            </w:r>
            <w:r w:rsidR="00476217" w:rsidRPr="00E60C06">
              <w:rPr>
                <w:rFonts w:eastAsia="Corbel"/>
              </w:rPr>
              <w:t>The Commonwealth will provide an estimated total financial contribution to the States for</w:t>
            </w:r>
            <w:r w:rsidR="009B3D36" w:rsidRPr="00E60C06">
              <w:rPr>
                <w:rFonts w:eastAsia="Corbel"/>
              </w:rPr>
              <w:t xml:space="preserve"> Fee-Free Construction of $86.4 million in respect of Appendix G and Tables </w:t>
            </w:r>
            <w:r w:rsidR="00A101F4" w:rsidRPr="00E60C06">
              <w:rPr>
                <w:rFonts w:eastAsia="Corbel"/>
              </w:rPr>
              <w:t xml:space="preserve">1b and 2a. </w:t>
            </w:r>
          </w:p>
          <w:p w14:paraId="0929187F" w14:textId="5F0C0A37" w:rsidR="0029427C" w:rsidRPr="00E60C06" w:rsidRDefault="00CD24A0" w:rsidP="00F33BF6">
            <w:pPr>
              <w:spacing w:after="77" w:line="256" w:lineRule="auto"/>
              <w:ind w:left="76" w:firstLine="0"/>
              <w:jc w:val="both"/>
              <w:rPr>
                <w:rFonts w:eastAsia="Corbel"/>
              </w:rPr>
            </w:pPr>
            <w:r w:rsidRPr="00E60C06">
              <w:rPr>
                <w:rFonts w:eastAsia="Corbel"/>
              </w:rPr>
              <w:t>States will match the Commonwealth’s contribution for Fee-Free TAFE</w:t>
            </w:r>
            <w:r w:rsidR="00F27E0E" w:rsidRPr="00E60C06">
              <w:rPr>
                <w:rFonts w:eastAsia="Corbel"/>
              </w:rPr>
              <w:t xml:space="preserve"> Tranche 1</w:t>
            </w:r>
            <w:r w:rsidRPr="00E60C06">
              <w:rPr>
                <w:rFonts w:eastAsia="Corbel"/>
              </w:rPr>
              <w:t xml:space="preserve"> (Table</w:t>
            </w:r>
            <w:r w:rsidR="5830A5E6" w:rsidRPr="00E60C06">
              <w:rPr>
                <w:rFonts w:eastAsia="Corbel"/>
              </w:rPr>
              <w:t>s</w:t>
            </w:r>
            <w:r w:rsidRPr="00E60C06">
              <w:rPr>
                <w:rFonts w:eastAsia="Corbel"/>
              </w:rPr>
              <w:t xml:space="preserve"> 1, 2 &amp; 3 refer).  </w:t>
            </w:r>
          </w:p>
          <w:p w14:paraId="75A554B7" w14:textId="7D30A17B" w:rsidR="003D0BF1" w:rsidRPr="00E60C06" w:rsidRDefault="00CD24A0" w:rsidP="00F33BF6">
            <w:pPr>
              <w:spacing w:after="78" w:line="255" w:lineRule="auto"/>
              <w:ind w:left="76" w:firstLine="0"/>
              <w:rPr>
                <w:rFonts w:eastAsia="Corbel"/>
              </w:rPr>
            </w:pPr>
            <w:r w:rsidRPr="00E60C06">
              <w:rPr>
                <w:rFonts w:eastAsia="Corbel"/>
              </w:rPr>
              <w:t>State-matched funding will be additional to the Baseline Funding commitment in 2023 described in Appendix A Table 1. States further commit to an increase in levels of expenditure on public providers.</w:t>
            </w:r>
          </w:p>
        </w:tc>
      </w:tr>
      <w:tr w:rsidR="0029427C" w:rsidRPr="003351E6" w14:paraId="445A17B5" w14:textId="77777777" w:rsidTr="144465B3">
        <w:tblPrEx>
          <w:tblCellMar>
            <w:top w:w="70" w:type="dxa"/>
            <w:left w:w="110" w:type="dxa"/>
            <w:right w:w="58" w:type="dxa"/>
          </w:tblCellMar>
        </w:tblPrEx>
        <w:trPr>
          <w:trHeight w:val="6319"/>
        </w:trPr>
        <w:tc>
          <w:tcPr>
            <w:tcW w:w="1521" w:type="dxa"/>
            <w:tcBorders>
              <w:top w:val="single" w:sz="8" w:space="0" w:color="4F81BD"/>
              <w:left w:val="single" w:sz="8" w:space="0" w:color="4F81BD"/>
              <w:bottom w:val="single" w:sz="8" w:space="0" w:color="4F81BD"/>
              <w:right w:val="single" w:sz="8" w:space="0" w:color="4F81BD"/>
            </w:tcBorders>
            <w:shd w:val="clear" w:color="auto" w:fill="auto"/>
          </w:tcPr>
          <w:p w14:paraId="5810FC8E" w14:textId="77777777" w:rsidR="0029427C" w:rsidRPr="003351E6" w:rsidRDefault="0029427C" w:rsidP="00F55F8D">
            <w:pPr>
              <w:spacing w:after="160" w:line="259" w:lineRule="auto"/>
              <w:ind w:left="-141" w:right="72" w:firstLine="0"/>
            </w:pPr>
          </w:p>
        </w:tc>
        <w:tc>
          <w:tcPr>
            <w:tcW w:w="8250" w:type="dxa"/>
            <w:tcBorders>
              <w:top w:val="single" w:sz="8" w:space="0" w:color="4F81BD"/>
              <w:left w:val="single" w:sz="8" w:space="0" w:color="4F81BD"/>
              <w:bottom w:val="single" w:sz="8" w:space="0" w:color="4F81BD"/>
              <w:right w:val="single" w:sz="8" w:space="0" w:color="4F81BD"/>
            </w:tcBorders>
            <w:shd w:val="clear" w:color="auto" w:fill="auto"/>
          </w:tcPr>
          <w:p w14:paraId="0D81121D" w14:textId="7C483B69" w:rsidR="001D581F" w:rsidRPr="00E60C06" w:rsidRDefault="001D581F" w:rsidP="00956552">
            <w:pPr>
              <w:spacing w:after="106" w:line="259" w:lineRule="auto"/>
              <w:ind w:left="76" w:right="72" w:firstLine="0"/>
            </w:pPr>
            <w:r w:rsidRPr="00E60C06">
              <w:rPr>
                <w:rFonts w:eastAsia="Corbel"/>
              </w:rPr>
              <w:t xml:space="preserve">Table 1: Estimated financial contributions for Fee-Free TAFE </w:t>
            </w:r>
            <w:r w:rsidR="00482166" w:rsidRPr="00E60C06">
              <w:rPr>
                <w:rFonts w:eastAsia="Corbel"/>
              </w:rPr>
              <w:t xml:space="preserve">Tranche 1 </w:t>
            </w:r>
            <w:r w:rsidRPr="00E60C06">
              <w:rPr>
                <w:rFonts w:eastAsia="Corbel"/>
              </w:rPr>
              <w:t>places</w:t>
            </w:r>
            <w:r w:rsidRPr="00E60C06">
              <w:t xml:space="preserve"> </w:t>
            </w:r>
            <w:r w:rsidR="008B4D04" w:rsidRPr="00E60C06">
              <w:t>(Appendix A refers)</w:t>
            </w:r>
          </w:p>
          <w:p w14:paraId="0F739B18" w14:textId="6AA87A8C" w:rsidR="00354CB2" w:rsidRPr="00E60C06" w:rsidRDefault="00354CB2" w:rsidP="00F55F8D">
            <w:pPr>
              <w:tabs>
                <w:tab w:val="center" w:pos="465"/>
                <w:tab w:val="center" w:pos="3444"/>
                <w:tab w:val="center" w:pos="4375"/>
                <w:tab w:val="center" w:pos="5486"/>
                <w:tab w:val="center" w:pos="6592"/>
                <w:tab w:val="center" w:pos="7802"/>
              </w:tabs>
              <w:spacing w:after="0" w:line="259" w:lineRule="auto"/>
              <w:ind w:left="188" w:right="72" w:firstLine="0"/>
            </w:pPr>
            <w:r w:rsidRPr="00E60C06">
              <w:rPr>
                <w:b/>
                <w:sz w:val="20"/>
                <w:szCs w:val="22"/>
              </w:rPr>
              <w:t>($ million)</w:t>
            </w:r>
            <w:r w:rsidRPr="00E60C06">
              <w:rPr>
                <w:sz w:val="20"/>
                <w:szCs w:val="22"/>
              </w:rPr>
              <w:t xml:space="preserve"> </w:t>
            </w:r>
            <w:r w:rsidRPr="00E60C06">
              <w:tab/>
            </w:r>
            <w:r w:rsidRPr="00E60C06">
              <w:tab/>
            </w:r>
            <w:r w:rsidRPr="00E60C06">
              <w:tab/>
              <w:t>202</w:t>
            </w:r>
            <w:r w:rsidR="00702679" w:rsidRPr="00E60C06">
              <w:t>2</w:t>
            </w:r>
            <w:r w:rsidRPr="00E60C06">
              <w:t>-2</w:t>
            </w:r>
            <w:r w:rsidR="00702679" w:rsidRPr="00E60C06">
              <w:t>3</w:t>
            </w:r>
            <w:r w:rsidRPr="00E60C06">
              <w:tab/>
              <w:t>202</w:t>
            </w:r>
            <w:r w:rsidR="00702679" w:rsidRPr="00E60C06">
              <w:t>3</w:t>
            </w:r>
            <w:r w:rsidRPr="00E60C06">
              <w:t>-2</w:t>
            </w:r>
            <w:r w:rsidR="00702679" w:rsidRPr="00E60C06">
              <w:t>4</w:t>
            </w:r>
            <w:r w:rsidRPr="00E60C06">
              <w:t xml:space="preserve"> </w:t>
            </w:r>
            <w:r w:rsidRPr="00E60C06">
              <w:tab/>
              <w:t xml:space="preserve">Total  </w:t>
            </w:r>
          </w:p>
          <w:tbl>
            <w:tblPr>
              <w:tblStyle w:val="TableGrid1"/>
              <w:tblW w:w="8076" w:type="dxa"/>
              <w:tblInd w:w="0" w:type="dxa"/>
              <w:tblCellMar>
                <w:top w:w="32" w:type="dxa"/>
              </w:tblCellMar>
              <w:tblLook w:val="04A0" w:firstRow="1" w:lastRow="0" w:firstColumn="1" w:lastColumn="0" w:noHBand="0" w:noVBand="1"/>
            </w:tblPr>
            <w:tblGrid>
              <w:gridCol w:w="3043"/>
              <w:gridCol w:w="1509"/>
              <w:gridCol w:w="490"/>
              <w:gridCol w:w="1099"/>
              <w:gridCol w:w="1061"/>
              <w:gridCol w:w="874"/>
            </w:tblGrid>
            <w:tr w:rsidR="001160E6" w:rsidRPr="00E60C06" w14:paraId="7D4FDBD7" w14:textId="77777777">
              <w:trPr>
                <w:trHeight w:val="300"/>
              </w:trPr>
              <w:tc>
                <w:tcPr>
                  <w:tcW w:w="3086" w:type="dxa"/>
                  <w:vMerge w:val="restart"/>
                  <w:tcBorders>
                    <w:top w:val="single" w:sz="4" w:space="0" w:color="000000"/>
                    <w:left w:val="nil"/>
                    <w:bottom w:val="nil"/>
                    <w:right w:val="nil"/>
                  </w:tcBorders>
                </w:tcPr>
                <w:p w14:paraId="6111A096" w14:textId="77777777" w:rsidR="00354CB2" w:rsidRPr="00E60C06" w:rsidRDefault="00354CB2" w:rsidP="00F55F8D">
                  <w:pPr>
                    <w:spacing w:after="9" w:line="259" w:lineRule="auto"/>
                    <w:ind w:left="188" w:right="72" w:firstLine="0"/>
                    <w:rPr>
                      <w:sz w:val="20"/>
                      <w:szCs w:val="22"/>
                    </w:rPr>
                  </w:pPr>
                  <w:r w:rsidRPr="00E60C06">
                    <w:rPr>
                      <w:b/>
                      <w:sz w:val="20"/>
                      <w:szCs w:val="22"/>
                    </w:rPr>
                    <w:t>Estimated total budget</w:t>
                  </w:r>
                  <w:r w:rsidRPr="00E60C06">
                    <w:rPr>
                      <w:sz w:val="20"/>
                      <w:szCs w:val="22"/>
                    </w:rPr>
                    <w:t xml:space="preserve"> </w:t>
                  </w:r>
                </w:p>
                <w:p w14:paraId="7C4A9585" w14:textId="415879B7" w:rsidR="00354CB2" w:rsidRPr="00E60C06" w:rsidRDefault="00927991" w:rsidP="00F55F8D">
                  <w:pPr>
                    <w:spacing w:after="0" w:line="259" w:lineRule="auto"/>
                    <w:ind w:left="188" w:right="72" w:firstLine="0"/>
                  </w:pPr>
                  <w:r w:rsidRPr="00E60C06">
                    <w:rPr>
                      <w:b/>
                      <w:sz w:val="20"/>
                      <w:szCs w:val="22"/>
                    </w:rPr>
                    <w:t>Less estimated National Partnership payments</w:t>
                  </w:r>
                </w:p>
              </w:tc>
              <w:tc>
                <w:tcPr>
                  <w:tcW w:w="1546" w:type="dxa"/>
                  <w:tcBorders>
                    <w:top w:val="single" w:sz="4" w:space="0" w:color="000000"/>
                    <w:left w:val="nil"/>
                    <w:bottom w:val="single" w:sz="4" w:space="0" w:color="000000"/>
                    <w:right w:val="nil"/>
                  </w:tcBorders>
                </w:tcPr>
                <w:p w14:paraId="54571942" w14:textId="6A967BD3" w:rsidR="00354CB2" w:rsidRPr="00E60C06" w:rsidRDefault="00354CB2" w:rsidP="00F55F8D">
                  <w:pPr>
                    <w:spacing w:after="0" w:line="259" w:lineRule="auto"/>
                    <w:ind w:left="188" w:right="72" w:firstLine="0"/>
                  </w:pPr>
                </w:p>
              </w:tc>
              <w:tc>
                <w:tcPr>
                  <w:tcW w:w="497" w:type="dxa"/>
                  <w:tcBorders>
                    <w:top w:val="single" w:sz="4" w:space="0" w:color="000000"/>
                    <w:left w:val="nil"/>
                    <w:bottom w:val="single" w:sz="4" w:space="0" w:color="000000"/>
                    <w:right w:val="nil"/>
                  </w:tcBorders>
                </w:tcPr>
                <w:p w14:paraId="2C70E241" w14:textId="4841A981" w:rsidR="00354CB2" w:rsidRPr="00E60C06" w:rsidRDefault="00354CB2" w:rsidP="00F55F8D">
                  <w:pPr>
                    <w:spacing w:after="0" w:line="259" w:lineRule="auto"/>
                    <w:ind w:left="188" w:right="72" w:firstLine="0"/>
                  </w:pPr>
                </w:p>
              </w:tc>
              <w:tc>
                <w:tcPr>
                  <w:tcW w:w="1106" w:type="dxa"/>
                  <w:tcBorders>
                    <w:top w:val="single" w:sz="4" w:space="0" w:color="000000"/>
                    <w:left w:val="nil"/>
                    <w:bottom w:val="single" w:sz="4" w:space="0" w:color="000000"/>
                    <w:right w:val="nil"/>
                  </w:tcBorders>
                </w:tcPr>
                <w:p w14:paraId="01A492F6" w14:textId="6937F10B" w:rsidR="00354CB2" w:rsidRPr="00E60C06" w:rsidRDefault="00927991" w:rsidP="00F55F8D">
                  <w:pPr>
                    <w:spacing w:after="0" w:line="259" w:lineRule="auto"/>
                    <w:ind w:left="188" w:right="72" w:firstLine="0"/>
                  </w:pPr>
                  <w:r w:rsidRPr="00E60C06">
                    <w:t>597.76</w:t>
                  </w:r>
                </w:p>
              </w:tc>
              <w:tc>
                <w:tcPr>
                  <w:tcW w:w="1066" w:type="dxa"/>
                  <w:tcBorders>
                    <w:top w:val="single" w:sz="4" w:space="0" w:color="000000"/>
                    <w:left w:val="nil"/>
                    <w:bottom w:val="single" w:sz="4" w:space="0" w:color="000000"/>
                    <w:right w:val="nil"/>
                  </w:tcBorders>
                </w:tcPr>
                <w:p w14:paraId="21A69573" w14:textId="77CE27DE" w:rsidR="00354CB2" w:rsidRPr="00E60C06" w:rsidRDefault="00927991" w:rsidP="00F55F8D">
                  <w:pPr>
                    <w:spacing w:after="0" w:line="259" w:lineRule="auto"/>
                    <w:ind w:left="188" w:right="72" w:firstLine="0"/>
                  </w:pPr>
                  <w:r w:rsidRPr="00E60C06">
                    <w:t>256.22</w:t>
                  </w:r>
                  <w:r w:rsidR="00354CB2" w:rsidRPr="00E60C06">
                    <w:t xml:space="preserve"> </w:t>
                  </w:r>
                </w:p>
              </w:tc>
              <w:tc>
                <w:tcPr>
                  <w:tcW w:w="775" w:type="dxa"/>
                  <w:tcBorders>
                    <w:top w:val="single" w:sz="4" w:space="0" w:color="000000"/>
                    <w:left w:val="nil"/>
                    <w:bottom w:val="single" w:sz="4" w:space="0" w:color="000000"/>
                    <w:right w:val="nil"/>
                  </w:tcBorders>
                </w:tcPr>
                <w:p w14:paraId="0EC02B75" w14:textId="4ABDA452" w:rsidR="00354CB2" w:rsidRPr="00E60C06" w:rsidRDefault="00927991" w:rsidP="00F55F8D">
                  <w:pPr>
                    <w:spacing w:after="0" w:line="259" w:lineRule="auto"/>
                    <w:ind w:left="188" w:right="72" w:firstLine="0"/>
                    <w:jc w:val="both"/>
                  </w:pPr>
                  <w:r w:rsidRPr="00E60C06">
                    <w:t>853.98</w:t>
                  </w:r>
                </w:p>
              </w:tc>
            </w:tr>
            <w:tr w:rsidR="001160E6" w:rsidRPr="00E60C06" w14:paraId="409BB64E" w14:textId="77777777">
              <w:trPr>
                <w:trHeight w:val="306"/>
              </w:trPr>
              <w:tc>
                <w:tcPr>
                  <w:tcW w:w="0" w:type="auto"/>
                  <w:vMerge/>
                  <w:tcBorders>
                    <w:top w:val="nil"/>
                    <w:left w:val="nil"/>
                    <w:bottom w:val="nil"/>
                    <w:right w:val="nil"/>
                  </w:tcBorders>
                </w:tcPr>
                <w:p w14:paraId="7BB1AF5D" w14:textId="77777777" w:rsidR="00354CB2" w:rsidRPr="00E60C06" w:rsidRDefault="00354CB2" w:rsidP="00F55F8D">
                  <w:pPr>
                    <w:spacing w:after="160" w:line="259" w:lineRule="auto"/>
                    <w:ind w:left="188" w:right="72" w:firstLine="0"/>
                  </w:pPr>
                </w:p>
              </w:tc>
              <w:tc>
                <w:tcPr>
                  <w:tcW w:w="1546" w:type="dxa"/>
                  <w:tcBorders>
                    <w:top w:val="single" w:sz="4" w:space="0" w:color="000000"/>
                    <w:left w:val="nil"/>
                    <w:bottom w:val="nil"/>
                    <w:right w:val="nil"/>
                  </w:tcBorders>
                </w:tcPr>
                <w:p w14:paraId="6AA18CBA" w14:textId="2A193940" w:rsidR="00354CB2" w:rsidRPr="00E60C06" w:rsidRDefault="00354CB2" w:rsidP="00F55F8D">
                  <w:pPr>
                    <w:spacing w:after="0" w:line="259" w:lineRule="auto"/>
                    <w:ind w:left="188" w:right="72" w:firstLine="0"/>
                  </w:pPr>
                </w:p>
              </w:tc>
              <w:tc>
                <w:tcPr>
                  <w:tcW w:w="497" w:type="dxa"/>
                  <w:tcBorders>
                    <w:top w:val="single" w:sz="4" w:space="0" w:color="000000"/>
                    <w:left w:val="nil"/>
                    <w:bottom w:val="nil"/>
                    <w:right w:val="nil"/>
                  </w:tcBorders>
                </w:tcPr>
                <w:p w14:paraId="52A0A4D8" w14:textId="3642579A" w:rsidR="00354CB2" w:rsidRPr="00E60C06" w:rsidRDefault="00354CB2" w:rsidP="00F55F8D">
                  <w:pPr>
                    <w:spacing w:after="0" w:line="259" w:lineRule="auto"/>
                    <w:ind w:left="188" w:right="72" w:firstLine="0"/>
                  </w:pPr>
                  <w:r w:rsidRPr="00E60C06">
                    <w:t xml:space="preserve"> </w:t>
                  </w:r>
                </w:p>
              </w:tc>
              <w:tc>
                <w:tcPr>
                  <w:tcW w:w="1106" w:type="dxa"/>
                  <w:tcBorders>
                    <w:top w:val="single" w:sz="4" w:space="0" w:color="000000"/>
                    <w:left w:val="nil"/>
                    <w:bottom w:val="nil"/>
                    <w:right w:val="nil"/>
                  </w:tcBorders>
                </w:tcPr>
                <w:p w14:paraId="77E0D42C" w14:textId="3048074B" w:rsidR="00354CB2" w:rsidRPr="00E60C06" w:rsidRDefault="008D62F7" w:rsidP="00F55F8D">
                  <w:pPr>
                    <w:spacing w:after="0" w:line="259" w:lineRule="auto"/>
                    <w:ind w:left="188" w:right="72" w:firstLine="0"/>
                  </w:pPr>
                  <w:r w:rsidRPr="00E60C06">
                    <w:t>298</w:t>
                  </w:r>
                  <w:r w:rsidR="0025363F" w:rsidRPr="00E60C06">
                    <w:t>.88</w:t>
                  </w:r>
                </w:p>
              </w:tc>
              <w:tc>
                <w:tcPr>
                  <w:tcW w:w="1066" w:type="dxa"/>
                  <w:tcBorders>
                    <w:top w:val="single" w:sz="4" w:space="0" w:color="000000"/>
                    <w:left w:val="nil"/>
                    <w:bottom w:val="nil"/>
                    <w:right w:val="nil"/>
                  </w:tcBorders>
                </w:tcPr>
                <w:p w14:paraId="073896CC" w14:textId="6B296EE2" w:rsidR="00354CB2" w:rsidRPr="00E60C06" w:rsidRDefault="0025363F" w:rsidP="00F55F8D">
                  <w:pPr>
                    <w:spacing w:after="0" w:line="259" w:lineRule="auto"/>
                    <w:ind w:left="188" w:right="72" w:firstLine="0"/>
                  </w:pPr>
                  <w:r w:rsidRPr="00E60C06">
                    <w:t>128.11</w:t>
                  </w:r>
                </w:p>
              </w:tc>
              <w:tc>
                <w:tcPr>
                  <w:tcW w:w="775" w:type="dxa"/>
                  <w:tcBorders>
                    <w:top w:val="single" w:sz="4" w:space="0" w:color="000000"/>
                    <w:left w:val="nil"/>
                    <w:bottom w:val="nil"/>
                    <w:right w:val="nil"/>
                  </w:tcBorders>
                </w:tcPr>
                <w:p w14:paraId="20FDB87F" w14:textId="67320054" w:rsidR="00354CB2" w:rsidRPr="00E60C06" w:rsidRDefault="0025363F" w:rsidP="00F55F8D">
                  <w:pPr>
                    <w:spacing w:after="0" w:line="259" w:lineRule="auto"/>
                    <w:ind w:left="188" w:right="72" w:firstLine="0"/>
                    <w:jc w:val="both"/>
                  </w:pPr>
                  <w:r w:rsidRPr="00E60C06">
                    <w:t>426.99</w:t>
                  </w:r>
                </w:p>
              </w:tc>
            </w:tr>
            <w:tr w:rsidR="001160E6" w:rsidRPr="00E60C06" w14:paraId="5E1D5B8D" w14:textId="77777777">
              <w:trPr>
                <w:trHeight w:val="289"/>
              </w:trPr>
              <w:tc>
                <w:tcPr>
                  <w:tcW w:w="3086" w:type="dxa"/>
                  <w:tcBorders>
                    <w:top w:val="nil"/>
                    <w:left w:val="nil"/>
                    <w:bottom w:val="nil"/>
                    <w:right w:val="nil"/>
                  </w:tcBorders>
                </w:tcPr>
                <w:p w14:paraId="6CEF3059" w14:textId="71EB39C8" w:rsidR="00927991" w:rsidRPr="00E60C06" w:rsidRDefault="00B3461E" w:rsidP="00F55F8D">
                  <w:pPr>
                    <w:spacing w:after="0" w:line="259" w:lineRule="auto"/>
                    <w:ind w:left="188" w:right="72" w:firstLine="0"/>
                    <w:rPr>
                      <w:sz w:val="20"/>
                      <w:szCs w:val="22"/>
                    </w:rPr>
                  </w:pPr>
                  <w:r w:rsidRPr="00E60C06">
                    <w:rPr>
                      <w:sz w:val="20"/>
                      <w:szCs w:val="22"/>
                    </w:rPr>
                    <w:t>New South Wales</w:t>
                  </w:r>
                </w:p>
                <w:p w14:paraId="30ADA3D5" w14:textId="768D8E5D" w:rsidR="00354CB2" w:rsidRPr="00E60C06" w:rsidRDefault="00B3461E" w:rsidP="00F55F8D">
                  <w:pPr>
                    <w:spacing w:after="0" w:line="259" w:lineRule="auto"/>
                    <w:ind w:left="188" w:right="72" w:firstLine="0"/>
                    <w:rPr>
                      <w:sz w:val="20"/>
                      <w:szCs w:val="22"/>
                    </w:rPr>
                  </w:pPr>
                  <w:r w:rsidRPr="00E60C06">
                    <w:rPr>
                      <w:sz w:val="20"/>
                      <w:szCs w:val="22"/>
                    </w:rPr>
                    <w:t>Victoria</w:t>
                  </w:r>
                  <w:r w:rsidR="00354CB2" w:rsidRPr="00E60C06">
                    <w:rPr>
                      <w:sz w:val="20"/>
                      <w:szCs w:val="22"/>
                    </w:rPr>
                    <w:t xml:space="preserve"> </w:t>
                  </w:r>
                </w:p>
              </w:tc>
              <w:tc>
                <w:tcPr>
                  <w:tcW w:w="1546" w:type="dxa"/>
                  <w:tcBorders>
                    <w:top w:val="nil"/>
                    <w:left w:val="nil"/>
                    <w:bottom w:val="nil"/>
                    <w:right w:val="nil"/>
                  </w:tcBorders>
                </w:tcPr>
                <w:p w14:paraId="1072DF86" w14:textId="24B61FCC" w:rsidR="00354CB2" w:rsidRPr="00E60C06" w:rsidRDefault="00354CB2" w:rsidP="00F55F8D">
                  <w:pPr>
                    <w:spacing w:after="0" w:line="259" w:lineRule="auto"/>
                    <w:ind w:left="188" w:right="72" w:firstLine="0"/>
                  </w:pPr>
                </w:p>
              </w:tc>
              <w:tc>
                <w:tcPr>
                  <w:tcW w:w="497" w:type="dxa"/>
                  <w:tcBorders>
                    <w:top w:val="nil"/>
                    <w:left w:val="nil"/>
                    <w:bottom w:val="nil"/>
                    <w:right w:val="nil"/>
                  </w:tcBorders>
                </w:tcPr>
                <w:p w14:paraId="21F5D38D" w14:textId="738AFE15" w:rsidR="00354CB2" w:rsidRPr="00E60C06" w:rsidRDefault="00354CB2" w:rsidP="00F55F8D">
                  <w:pPr>
                    <w:spacing w:after="0" w:line="259" w:lineRule="auto"/>
                    <w:ind w:left="188" w:right="72" w:firstLine="0"/>
                  </w:pPr>
                </w:p>
              </w:tc>
              <w:tc>
                <w:tcPr>
                  <w:tcW w:w="1106" w:type="dxa"/>
                  <w:tcBorders>
                    <w:top w:val="nil"/>
                    <w:left w:val="nil"/>
                    <w:bottom w:val="nil"/>
                    <w:right w:val="nil"/>
                  </w:tcBorders>
                </w:tcPr>
                <w:p w14:paraId="4BA43F7D" w14:textId="5F86F298" w:rsidR="00B3461E" w:rsidRPr="00E60C06" w:rsidRDefault="0053446A" w:rsidP="00F55F8D">
                  <w:pPr>
                    <w:spacing w:after="0" w:line="259" w:lineRule="auto"/>
                    <w:ind w:left="188" w:right="72" w:firstLine="0"/>
                  </w:pPr>
                  <w:r w:rsidRPr="00E60C06">
                    <w:t>94.02</w:t>
                  </w:r>
                </w:p>
                <w:p w14:paraId="6EC180B7" w14:textId="21E4754E" w:rsidR="00B3461E" w:rsidRPr="00E60C06" w:rsidRDefault="001D4FE9" w:rsidP="00F55F8D">
                  <w:pPr>
                    <w:spacing w:after="0" w:line="259" w:lineRule="auto"/>
                    <w:ind w:left="188" w:right="72" w:firstLine="0"/>
                  </w:pPr>
                  <w:r w:rsidRPr="00E60C06">
                    <w:t>77.46</w:t>
                  </w:r>
                </w:p>
              </w:tc>
              <w:tc>
                <w:tcPr>
                  <w:tcW w:w="1066" w:type="dxa"/>
                  <w:tcBorders>
                    <w:top w:val="nil"/>
                    <w:left w:val="nil"/>
                    <w:bottom w:val="nil"/>
                    <w:right w:val="nil"/>
                  </w:tcBorders>
                </w:tcPr>
                <w:p w14:paraId="663A1C00" w14:textId="7C47C734" w:rsidR="00B3461E" w:rsidRPr="00E60C06" w:rsidRDefault="0053446A" w:rsidP="00F55F8D">
                  <w:pPr>
                    <w:spacing w:after="0" w:line="259" w:lineRule="auto"/>
                    <w:ind w:left="188" w:right="72" w:firstLine="0"/>
                  </w:pPr>
                  <w:r w:rsidRPr="00E60C06">
                    <w:t>40.30</w:t>
                  </w:r>
                </w:p>
                <w:p w14:paraId="1073EB0A" w14:textId="7427723A" w:rsidR="00354CB2" w:rsidRPr="00E60C06" w:rsidRDefault="00354CB2" w:rsidP="00F55F8D">
                  <w:pPr>
                    <w:spacing w:after="0" w:line="259" w:lineRule="auto"/>
                    <w:ind w:left="188" w:right="72" w:firstLine="0"/>
                  </w:pPr>
                  <w:r w:rsidRPr="00E60C06">
                    <w:t>3</w:t>
                  </w:r>
                  <w:r w:rsidR="00BF2396" w:rsidRPr="00E60C06">
                    <w:t>3</w:t>
                  </w:r>
                  <w:r w:rsidRPr="00E60C06">
                    <w:t xml:space="preserve">.20 </w:t>
                  </w:r>
                </w:p>
              </w:tc>
              <w:tc>
                <w:tcPr>
                  <w:tcW w:w="775" w:type="dxa"/>
                  <w:tcBorders>
                    <w:top w:val="nil"/>
                    <w:left w:val="nil"/>
                    <w:bottom w:val="nil"/>
                    <w:right w:val="nil"/>
                  </w:tcBorders>
                </w:tcPr>
                <w:p w14:paraId="66766DF9" w14:textId="7A06836D" w:rsidR="00B3461E" w:rsidRPr="00E60C06" w:rsidRDefault="0053446A" w:rsidP="00F55F8D">
                  <w:pPr>
                    <w:spacing w:after="0" w:line="259" w:lineRule="auto"/>
                    <w:ind w:left="188" w:right="72" w:firstLine="0"/>
                    <w:jc w:val="both"/>
                  </w:pPr>
                  <w:r w:rsidRPr="00E60C06">
                    <w:t>134.32</w:t>
                  </w:r>
                </w:p>
                <w:p w14:paraId="4A0C8A2A" w14:textId="66973666" w:rsidR="00354CB2" w:rsidRPr="00E60C06" w:rsidRDefault="00354CB2" w:rsidP="00F55F8D">
                  <w:pPr>
                    <w:spacing w:after="0" w:line="259" w:lineRule="auto"/>
                    <w:ind w:left="188" w:right="72" w:firstLine="0"/>
                    <w:jc w:val="both"/>
                  </w:pPr>
                  <w:r w:rsidRPr="00E60C06">
                    <w:t>1</w:t>
                  </w:r>
                  <w:r w:rsidR="00BF2396" w:rsidRPr="00E60C06">
                    <w:t>10</w:t>
                  </w:r>
                  <w:r w:rsidRPr="00E60C06">
                    <w:t>.</w:t>
                  </w:r>
                  <w:r w:rsidR="00BF2396" w:rsidRPr="00E60C06">
                    <w:t>66</w:t>
                  </w:r>
                </w:p>
              </w:tc>
            </w:tr>
            <w:tr w:rsidR="001160E6" w:rsidRPr="00E60C06" w14:paraId="37CB71AB" w14:textId="77777777">
              <w:trPr>
                <w:trHeight w:val="289"/>
              </w:trPr>
              <w:tc>
                <w:tcPr>
                  <w:tcW w:w="3086" w:type="dxa"/>
                  <w:tcBorders>
                    <w:top w:val="nil"/>
                    <w:left w:val="nil"/>
                    <w:bottom w:val="nil"/>
                    <w:right w:val="nil"/>
                  </w:tcBorders>
                </w:tcPr>
                <w:p w14:paraId="274E1873" w14:textId="77777777" w:rsidR="00354CB2" w:rsidRPr="00E60C06" w:rsidRDefault="00354CB2" w:rsidP="00F55F8D">
                  <w:pPr>
                    <w:spacing w:after="0" w:line="259" w:lineRule="auto"/>
                    <w:ind w:left="188" w:right="72" w:firstLine="0"/>
                    <w:rPr>
                      <w:sz w:val="20"/>
                      <w:szCs w:val="22"/>
                    </w:rPr>
                  </w:pPr>
                  <w:r w:rsidRPr="00E60C06">
                    <w:rPr>
                      <w:sz w:val="20"/>
                      <w:szCs w:val="22"/>
                    </w:rPr>
                    <w:t xml:space="preserve">Queensland </w:t>
                  </w:r>
                </w:p>
              </w:tc>
              <w:tc>
                <w:tcPr>
                  <w:tcW w:w="1546" w:type="dxa"/>
                  <w:tcBorders>
                    <w:top w:val="nil"/>
                    <w:left w:val="nil"/>
                    <w:bottom w:val="nil"/>
                    <w:right w:val="nil"/>
                  </w:tcBorders>
                </w:tcPr>
                <w:p w14:paraId="7A0CC0A7" w14:textId="79EE9CE3" w:rsidR="00354CB2" w:rsidRPr="00E60C06" w:rsidRDefault="00354CB2" w:rsidP="00F55F8D">
                  <w:pPr>
                    <w:spacing w:after="0" w:line="259" w:lineRule="auto"/>
                    <w:ind w:left="188" w:right="72" w:firstLine="0"/>
                  </w:pPr>
                </w:p>
              </w:tc>
              <w:tc>
                <w:tcPr>
                  <w:tcW w:w="497" w:type="dxa"/>
                  <w:tcBorders>
                    <w:top w:val="nil"/>
                    <w:left w:val="nil"/>
                    <w:bottom w:val="nil"/>
                    <w:right w:val="nil"/>
                  </w:tcBorders>
                </w:tcPr>
                <w:p w14:paraId="5647AE71" w14:textId="405CBE69" w:rsidR="00354CB2" w:rsidRPr="00E60C06" w:rsidRDefault="00354CB2" w:rsidP="00F55F8D">
                  <w:pPr>
                    <w:spacing w:after="0" w:line="259" w:lineRule="auto"/>
                    <w:ind w:left="188" w:right="72" w:firstLine="0"/>
                  </w:pPr>
                  <w:r w:rsidRPr="00E60C06">
                    <w:t xml:space="preserve"> </w:t>
                  </w:r>
                </w:p>
              </w:tc>
              <w:tc>
                <w:tcPr>
                  <w:tcW w:w="1106" w:type="dxa"/>
                  <w:tcBorders>
                    <w:top w:val="nil"/>
                    <w:left w:val="nil"/>
                    <w:bottom w:val="nil"/>
                    <w:right w:val="nil"/>
                  </w:tcBorders>
                </w:tcPr>
                <w:p w14:paraId="16FC14EC" w14:textId="2BF82CBD" w:rsidR="00354CB2" w:rsidRPr="00E60C06" w:rsidRDefault="00BF2396" w:rsidP="00F55F8D">
                  <w:pPr>
                    <w:spacing w:after="0" w:line="259" w:lineRule="auto"/>
                    <w:ind w:left="188" w:right="72" w:firstLine="0"/>
                  </w:pPr>
                  <w:r w:rsidRPr="00E60C06">
                    <w:t>61.29</w:t>
                  </w:r>
                </w:p>
              </w:tc>
              <w:tc>
                <w:tcPr>
                  <w:tcW w:w="1066" w:type="dxa"/>
                  <w:tcBorders>
                    <w:top w:val="nil"/>
                    <w:left w:val="nil"/>
                    <w:bottom w:val="nil"/>
                    <w:right w:val="nil"/>
                  </w:tcBorders>
                </w:tcPr>
                <w:p w14:paraId="5FBB5C7A" w14:textId="552D53D5" w:rsidR="00354CB2" w:rsidRPr="00E60C06" w:rsidRDefault="00BF2396" w:rsidP="00F55F8D">
                  <w:pPr>
                    <w:spacing w:after="0" w:line="259" w:lineRule="auto"/>
                    <w:ind w:left="188" w:right="72" w:firstLine="0"/>
                  </w:pPr>
                  <w:r w:rsidRPr="00E60C06">
                    <w:t>26.</w:t>
                  </w:r>
                  <w:r w:rsidR="007443C0" w:rsidRPr="00E60C06">
                    <w:t>27</w:t>
                  </w:r>
                  <w:r w:rsidR="00354CB2" w:rsidRPr="00E60C06">
                    <w:t xml:space="preserve"> </w:t>
                  </w:r>
                </w:p>
              </w:tc>
              <w:tc>
                <w:tcPr>
                  <w:tcW w:w="775" w:type="dxa"/>
                  <w:tcBorders>
                    <w:top w:val="nil"/>
                    <w:left w:val="nil"/>
                    <w:bottom w:val="nil"/>
                    <w:right w:val="nil"/>
                  </w:tcBorders>
                </w:tcPr>
                <w:p w14:paraId="31D79DBF" w14:textId="42DC99B7" w:rsidR="00354CB2" w:rsidRPr="00E60C06" w:rsidRDefault="00354CB2" w:rsidP="00F55F8D">
                  <w:pPr>
                    <w:spacing w:after="0" w:line="259" w:lineRule="auto"/>
                    <w:ind w:left="188" w:right="72" w:firstLine="0"/>
                  </w:pPr>
                  <w:r w:rsidRPr="00E60C06">
                    <w:t>8</w:t>
                  </w:r>
                  <w:r w:rsidR="007443C0" w:rsidRPr="00E60C06">
                    <w:t>7</w:t>
                  </w:r>
                  <w:r w:rsidRPr="00E60C06">
                    <w:t>.</w:t>
                  </w:r>
                  <w:r w:rsidR="007443C0" w:rsidRPr="00E60C06">
                    <w:t>56</w:t>
                  </w:r>
                </w:p>
              </w:tc>
            </w:tr>
            <w:tr w:rsidR="001160E6" w:rsidRPr="00E60C06" w14:paraId="5895CA5C" w14:textId="77777777">
              <w:trPr>
                <w:trHeight w:val="290"/>
              </w:trPr>
              <w:tc>
                <w:tcPr>
                  <w:tcW w:w="3086" w:type="dxa"/>
                  <w:tcBorders>
                    <w:top w:val="nil"/>
                    <w:left w:val="nil"/>
                    <w:bottom w:val="nil"/>
                    <w:right w:val="nil"/>
                  </w:tcBorders>
                </w:tcPr>
                <w:p w14:paraId="12D47954" w14:textId="77777777" w:rsidR="00354CB2" w:rsidRPr="00E60C06" w:rsidRDefault="00354CB2" w:rsidP="00F55F8D">
                  <w:pPr>
                    <w:spacing w:after="0" w:line="259" w:lineRule="auto"/>
                    <w:ind w:left="188" w:right="72" w:firstLine="0"/>
                    <w:rPr>
                      <w:sz w:val="20"/>
                      <w:szCs w:val="22"/>
                    </w:rPr>
                  </w:pPr>
                  <w:r w:rsidRPr="00E60C06">
                    <w:rPr>
                      <w:sz w:val="20"/>
                      <w:szCs w:val="22"/>
                    </w:rPr>
                    <w:t xml:space="preserve">Western Australia </w:t>
                  </w:r>
                </w:p>
              </w:tc>
              <w:tc>
                <w:tcPr>
                  <w:tcW w:w="1546" w:type="dxa"/>
                  <w:tcBorders>
                    <w:top w:val="nil"/>
                    <w:left w:val="nil"/>
                    <w:bottom w:val="nil"/>
                    <w:right w:val="nil"/>
                  </w:tcBorders>
                </w:tcPr>
                <w:p w14:paraId="7C3F3493" w14:textId="5205B11E" w:rsidR="00354CB2" w:rsidRPr="00E60C06" w:rsidRDefault="00354CB2" w:rsidP="00F55F8D">
                  <w:pPr>
                    <w:spacing w:after="0" w:line="259" w:lineRule="auto"/>
                    <w:ind w:left="188" w:right="72" w:firstLine="0"/>
                  </w:pPr>
                </w:p>
              </w:tc>
              <w:tc>
                <w:tcPr>
                  <w:tcW w:w="497" w:type="dxa"/>
                  <w:tcBorders>
                    <w:top w:val="nil"/>
                    <w:left w:val="nil"/>
                    <w:bottom w:val="nil"/>
                    <w:right w:val="nil"/>
                  </w:tcBorders>
                </w:tcPr>
                <w:p w14:paraId="1FD0D9ED" w14:textId="683124C6" w:rsidR="00354CB2" w:rsidRPr="00E60C06" w:rsidRDefault="00354CB2" w:rsidP="00F55F8D">
                  <w:pPr>
                    <w:spacing w:after="0" w:line="259" w:lineRule="auto"/>
                    <w:ind w:left="188" w:right="72" w:firstLine="0"/>
                  </w:pPr>
                  <w:r w:rsidRPr="00E60C06">
                    <w:t xml:space="preserve"> </w:t>
                  </w:r>
                </w:p>
              </w:tc>
              <w:tc>
                <w:tcPr>
                  <w:tcW w:w="1106" w:type="dxa"/>
                  <w:tcBorders>
                    <w:top w:val="nil"/>
                    <w:left w:val="nil"/>
                    <w:bottom w:val="nil"/>
                    <w:right w:val="nil"/>
                  </w:tcBorders>
                </w:tcPr>
                <w:p w14:paraId="2A450994" w14:textId="1630565D" w:rsidR="00354CB2" w:rsidRPr="00E60C06" w:rsidRDefault="007443C0" w:rsidP="00F55F8D">
                  <w:pPr>
                    <w:spacing w:after="0" w:line="259" w:lineRule="auto"/>
                    <w:ind w:left="188" w:right="72" w:firstLine="0"/>
                  </w:pPr>
                  <w:r w:rsidRPr="00E60C06">
                    <w:t>31.37</w:t>
                  </w:r>
                </w:p>
              </w:tc>
              <w:tc>
                <w:tcPr>
                  <w:tcW w:w="1066" w:type="dxa"/>
                  <w:tcBorders>
                    <w:top w:val="nil"/>
                    <w:left w:val="nil"/>
                    <w:bottom w:val="nil"/>
                    <w:right w:val="nil"/>
                  </w:tcBorders>
                </w:tcPr>
                <w:p w14:paraId="358D3A40" w14:textId="09530CC5" w:rsidR="00354CB2" w:rsidRPr="00E60C06" w:rsidRDefault="007443C0" w:rsidP="00F55F8D">
                  <w:pPr>
                    <w:spacing w:after="0" w:line="259" w:lineRule="auto"/>
                    <w:ind w:left="188" w:right="72" w:firstLine="0"/>
                  </w:pPr>
                  <w:r w:rsidRPr="00E60C06">
                    <w:t>13.44</w:t>
                  </w:r>
                  <w:r w:rsidR="00354CB2" w:rsidRPr="00E60C06">
                    <w:t xml:space="preserve"> </w:t>
                  </w:r>
                </w:p>
              </w:tc>
              <w:tc>
                <w:tcPr>
                  <w:tcW w:w="775" w:type="dxa"/>
                  <w:tcBorders>
                    <w:top w:val="nil"/>
                    <w:left w:val="nil"/>
                    <w:bottom w:val="nil"/>
                    <w:right w:val="nil"/>
                  </w:tcBorders>
                </w:tcPr>
                <w:p w14:paraId="060067AB" w14:textId="099C3D7B" w:rsidR="00354CB2" w:rsidRPr="00E60C06" w:rsidRDefault="00C2583F" w:rsidP="00F55F8D">
                  <w:pPr>
                    <w:spacing w:after="0" w:line="259" w:lineRule="auto"/>
                    <w:ind w:left="188" w:right="72" w:firstLine="0"/>
                  </w:pPr>
                  <w:r w:rsidRPr="00E60C06">
                    <w:t>44.81</w:t>
                  </w:r>
                </w:p>
              </w:tc>
            </w:tr>
            <w:tr w:rsidR="001160E6" w:rsidRPr="00E60C06" w14:paraId="2A2713E3" w14:textId="77777777">
              <w:trPr>
                <w:trHeight w:val="290"/>
              </w:trPr>
              <w:tc>
                <w:tcPr>
                  <w:tcW w:w="3086" w:type="dxa"/>
                  <w:tcBorders>
                    <w:top w:val="nil"/>
                    <w:left w:val="nil"/>
                    <w:bottom w:val="nil"/>
                    <w:right w:val="nil"/>
                  </w:tcBorders>
                </w:tcPr>
                <w:p w14:paraId="058110F4" w14:textId="77777777" w:rsidR="00354CB2" w:rsidRPr="00E60C06" w:rsidRDefault="00354CB2" w:rsidP="00F55F8D">
                  <w:pPr>
                    <w:spacing w:after="0" w:line="259" w:lineRule="auto"/>
                    <w:ind w:left="188" w:right="72" w:firstLine="0"/>
                    <w:rPr>
                      <w:sz w:val="20"/>
                      <w:szCs w:val="22"/>
                    </w:rPr>
                  </w:pPr>
                  <w:r w:rsidRPr="00E60C06">
                    <w:rPr>
                      <w:sz w:val="20"/>
                      <w:szCs w:val="22"/>
                    </w:rPr>
                    <w:t xml:space="preserve">South Australia </w:t>
                  </w:r>
                </w:p>
              </w:tc>
              <w:tc>
                <w:tcPr>
                  <w:tcW w:w="1546" w:type="dxa"/>
                  <w:tcBorders>
                    <w:top w:val="nil"/>
                    <w:left w:val="nil"/>
                    <w:bottom w:val="nil"/>
                    <w:right w:val="nil"/>
                  </w:tcBorders>
                </w:tcPr>
                <w:p w14:paraId="437418D6" w14:textId="3F68A118" w:rsidR="00354CB2" w:rsidRPr="00E60C06" w:rsidRDefault="00354CB2" w:rsidP="00F55F8D">
                  <w:pPr>
                    <w:spacing w:after="0" w:line="259" w:lineRule="auto"/>
                    <w:ind w:left="188" w:right="72" w:firstLine="0"/>
                  </w:pPr>
                </w:p>
              </w:tc>
              <w:tc>
                <w:tcPr>
                  <w:tcW w:w="497" w:type="dxa"/>
                  <w:tcBorders>
                    <w:top w:val="nil"/>
                    <w:left w:val="nil"/>
                    <w:bottom w:val="nil"/>
                    <w:right w:val="nil"/>
                  </w:tcBorders>
                </w:tcPr>
                <w:p w14:paraId="57E9AC6C" w14:textId="2573D7F9" w:rsidR="00354CB2" w:rsidRPr="00E60C06" w:rsidRDefault="00354CB2" w:rsidP="00F55F8D">
                  <w:pPr>
                    <w:spacing w:after="0" w:line="259" w:lineRule="auto"/>
                    <w:ind w:left="188" w:right="72" w:firstLine="0"/>
                  </w:pPr>
                  <w:r w:rsidRPr="00E60C06">
                    <w:t xml:space="preserve"> </w:t>
                  </w:r>
                </w:p>
              </w:tc>
              <w:tc>
                <w:tcPr>
                  <w:tcW w:w="1106" w:type="dxa"/>
                  <w:tcBorders>
                    <w:top w:val="nil"/>
                    <w:left w:val="nil"/>
                    <w:bottom w:val="nil"/>
                    <w:right w:val="nil"/>
                  </w:tcBorders>
                </w:tcPr>
                <w:p w14:paraId="3A888D8A" w14:textId="47502375" w:rsidR="00354CB2" w:rsidRPr="00E60C06" w:rsidRDefault="00C2583F" w:rsidP="00F55F8D">
                  <w:pPr>
                    <w:spacing w:after="0" w:line="259" w:lineRule="auto"/>
                    <w:ind w:left="188" w:right="72" w:firstLine="0"/>
                  </w:pPr>
                  <w:r w:rsidRPr="00E60C06">
                    <w:t>20.57</w:t>
                  </w:r>
                </w:p>
              </w:tc>
              <w:tc>
                <w:tcPr>
                  <w:tcW w:w="1066" w:type="dxa"/>
                  <w:tcBorders>
                    <w:top w:val="nil"/>
                    <w:left w:val="nil"/>
                    <w:bottom w:val="nil"/>
                    <w:right w:val="nil"/>
                  </w:tcBorders>
                </w:tcPr>
                <w:p w14:paraId="23AACCF6" w14:textId="161606C5" w:rsidR="00354CB2" w:rsidRPr="00E60C06" w:rsidRDefault="00354CB2" w:rsidP="00F55F8D">
                  <w:pPr>
                    <w:spacing w:after="0" w:line="259" w:lineRule="auto"/>
                    <w:ind w:left="188" w:right="72" w:firstLine="0"/>
                  </w:pPr>
                  <w:r w:rsidRPr="00E60C06">
                    <w:t>8.</w:t>
                  </w:r>
                  <w:r w:rsidR="00872A92" w:rsidRPr="00E60C06">
                    <w:t>82</w:t>
                  </w:r>
                  <w:r w:rsidRPr="00E60C06">
                    <w:t xml:space="preserve"> </w:t>
                  </w:r>
                </w:p>
              </w:tc>
              <w:tc>
                <w:tcPr>
                  <w:tcW w:w="775" w:type="dxa"/>
                  <w:tcBorders>
                    <w:top w:val="nil"/>
                    <w:left w:val="nil"/>
                    <w:bottom w:val="nil"/>
                    <w:right w:val="nil"/>
                  </w:tcBorders>
                </w:tcPr>
                <w:p w14:paraId="6A85CD6F" w14:textId="129CA48D" w:rsidR="00354CB2" w:rsidRPr="00E60C06" w:rsidRDefault="00872A92" w:rsidP="00F55F8D">
                  <w:pPr>
                    <w:spacing w:after="0" w:line="259" w:lineRule="auto"/>
                    <w:ind w:left="188" w:right="72" w:firstLine="0"/>
                  </w:pPr>
                  <w:r w:rsidRPr="00E60C06">
                    <w:t>29</w:t>
                  </w:r>
                  <w:r w:rsidR="00354CB2" w:rsidRPr="00E60C06">
                    <w:t>.</w:t>
                  </w:r>
                  <w:r w:rsidRPr="00E60C06">
                    <w:t>39</w:t>
                  </w:r>
                </w:p>
              </w:tc>
            </w:tr>
            <w:tr w:rsidR="001160E6" w:rsidRPr="00E60C06" w14:paraId="5AE53252" w14:textId="77777777">
              <w:trPr>
                <w:trHeight w:val="289"/>
              </w:trPr>
              <w:tc>
                <w:tcPr>
                  <w:tcW w:w="3086" w:type="dxa"/>
                  <w:tcBorders>
                    <w:top w:val="nil"/>
                    <w:left w:val="nil"/>
                    <w:bottom w:val="nil"/>
                    <w:right w:val="nil"/>
                  </w:tcBorders>
                </w:tcPr>
                <w:p w14:paraId="3832A8E8" w14:textId="77777777" w:rsidR="00354CB2" w:rsidRPr="00E60C06" w:rsidRDefault="00354CB2" w:rsidP="00F55F8D">
                  <w:pPr>
                    <w:spacing w:after="0" w:line="259" w:lineRule="auto"/>
                    <w:ind w:left="188" w:right="72" w:firstLine="0"/>
                    <w:rPr>
                      <w:sz w:val="20"/>
                      <w:szCs w:val="22"/>
                    </w:rPr>
                  </w:pPr>
                  <w:r w:rsidRPr="00E60C06">
                    <w:rPr>
                      <w:sz w:val="20"/>
                      <w:szCs w:val="22"/>
                    </w:rPr>
                    <w:t xml:space="preserve">Tasmania </w:t>
                  </w:r>
                </w:p>
              </w:tc>
              <w:tc>
                <w:tcPr>
                  <w:tcW w:w="1546" w:type="dxa"/>
                  <w:tcBorders>
                    <w:top w:val="nil"/>
                    <w:left w:val="nil"/>
                    <w:bottom w:val="nil"/>
                    <w:right w:val="nil"/>
                  </w:tcBorders>
                </w:tcPr>
                <w:p w14:paraId="0A86A407" w14:textId="0550920D" w:rsidR="00354CB2" w:rsidRPr="00E60C06" w:rsidRDefault="00354CB2" w:rsidP="00F55F8D">
                  <w:pPr>
                    <w:spacing w:after="0" w:line="259" w:lineRule="auto"/>
                    <w:ind w:left="188" w:right="72" w:firstLine="0"/>
                  </w:pPr>
                </w:p>
              </w:tc>
              <w:tc>
                <w:tcPr>
                  <w:tcW w:w="497" w:type="dxa"/>
                  <w:tcBorders>
                    <w:top w:val="nil"/>
                    <w:left w:val="nil"/>
                    <w:bottom w:val="nil"/>
                    <w:right w:val="nil"/>
                  </w:tcBorders>
                </w:tcPr>
                <w:p w14:paraId="6A4F488D" w14:textId="786DC036" w:rsidR="00354CB2" w:rsidRPr="00E60C06" w:rsidRDefault="00354CB2" w:rsidP="00F55F8D">
                  <w:pPr>
                    <w:spacing w:after="0" w:line="259" w:lineRule="auto"/>
                    <w:ind w:left="188" w:right="72" w:firstLine="0"/>
                  </w:pPr>
                  <w:r w:rsidRPr="00E60C06">
                    <w:t xml:space="preserve"> </w:t>
                  </w:r>
                </w:p>
              </w:tc>
              <w:tc>
                <w:tcPr>
                  <w:tcW w:w="1106" w:type="dxa"/>
                  <w:tcBorders>
                    <w:top w:val="nil"/>
                    <w:left w:val="nil"/>
                    <w:bottom w:val="nil"/>
                    <w:right w:val="nil"/>
                  </w:tcBorders>
                </w:tcPr>
                <w:p w14:paraId="7E9F4946" w14:textId="07145FF8" w:rsidR="00354CB2" w:rsidRPr="00E60C06" w:rsidRDefault="00872A92" w:rsidP="00F55F8D">
                  <w:pPr>
                    <w:spacing w:after="0" w:line="259" w:lineRule="auto"/>
                    <w:ind w:left="188" w:right="72" w:firstLine="0"/>
                  </w:pPr>
                  <w:r w:rsidRPr="00E60C06">
                    <w:t>6</w:t>
                  </w:r>
                  <w:r w:rsidR="00354CB2" w:rsidRPr="00E60C06">
                    <w:t>.</w:t>
                  </w:r>
                  <w:r w:rsidRPr="00E60C06">
                    <w:t>29</w:t>
                  </w:r>
                </w:p>
              </w:tc>
              <w:tc>
                <w:tcPr>
                  <w:tcW w:w="1066" w:type="dxa"/>
                  <w:tcBorders>
                    <w:top w:val="nil"/>
                    <w:left w:val="nil"/>
                    <w:bottom w:val="nil"/>
                    <w:right w:val="nil"/>
                  </w:tcBorders>
                </w:tcPr>
                <w:p w14:paraId="3FCAEC87" w14:textId="29CE7A65" w:rsidR="00354CB2" w:rsidRPr="00E60C06" w:rsidRDefault="00872A92" w:rsidP="00F55F8D">
                  <w:pPr>
                    <w:spacing w:after="0" w:line="259" w:lineRule="auto"/>
                    <w:ind w:left="188" w:right="72" w:firstLine="0"/>
                  </w:pPr>
                  <w:r w:rsidRPr="00E60C06">
                    <w:t>2</w:t>
                  </w:r>
                  <w:r w:rsidR="00354CB2" w:rsidRPr="00E60C06">
                    <w:t>.</w:t>
                  </w:r>
                  <w:r w:rsidRPr="00E60C06">
                    <w:t>70</w:t>
                  </w:r>
                  <w:r w:rsidR="00354CB2" w:rsidRPr="00E60C06">
                    <w:t xml:space="preserve"> </w:t>
                  </w:r>
                </w:p>
              </w:tc>
              <w:tc>
                <w:tcPr>
                  <w:tcW w:w="775" w:type="dxa"/>
                  <w:tcBorders>
                    <w:top w:val="nil"/>
                    <w:left w:val="nil"/>
                    <w:bottom w:val="nil"/>
                    <w:right w:val="nil"/>
                  </w:tcBorders>
                </w:tcPr>
                <w:p w14:paraId="66E0D8AC" w14:textId="713A3773" w:rsidR="00354CB2" w:rsidRPr="00E60C06" w:rsidRDefault="00354CB2" w:rsidP="00F55F8D">
                  <w:pPr>
                    <w:spacing w:after="0" w:line="259" w:lineRule="auto"/>
                    <w:ind w:left="188" w:right="72" w:firstLine="0"/>
                    <w:jc w:val="center"/>
                  </w:pPr>
                  <w:r w:rsidRPr="00E60C06">
                    <w:t>8.99</w:t>
                  </w:r>
                </w:p>
              </w:tc>
            </w:tr>
            <w:tr w:rsidR="001160E6" w:rsidRPr="00E60C06" w14:paraId="35B9B990" w14:textId="77777777">
              <w:trPr>
                <w:trHeight w:val="289"/>
              </w:trPr>
              <w:tc>
                <w:tcPr>
                  <w:tcW w:w="3086" w:type="dxa"/>
                  <w:tcBorders>
                    <w:top w:val="nil"/>
                    <w:left w:val="nil"/>
                    <w:bottom w:val="nil"/>
                    <w:right w:val="nil"/>
                  </w:tcBorders>
                </w:tcPr>
                <w:p w14:paraId="25C86CF3" w14:textId="77777777" w:rsidR="00354CB2" w:rsidRPr="00E60C06" w:rsidRDefault="00354CB2" w:rsidP="00F55F8D">
                  <w:pPr>
                    <w:spacing w:after="0" w:line="259" w:lineRule="auto"/>
                    <w:ind w:left="188" w:right="72" w:firstLine="0"/>
                    <w:rPr>
                      <w:sz w:val="20"/>
                      <w:szCs w:val="22"/>
                    </w:rPr>
                  </w:pPr>
                  <w:r w:rsidRPr="00E60C06">
                    <w:rPr>
                      <w:sz w:val="20"/>
                      <w:szCs w:val="22"/>
                    </w:rPr>
                    <w:t xml:space="preserve">Australian Capital Territory </w:t>
                  </w:r>
                </w:p>
              </w:tc>
              <w:tc>
                <w:tcPr>
                  <w:tcW w:w="1546" w:type="dxa"/>
                  <w:tcBorders>
                    <w:top w:val="nil"/>
                    <w:left w:val="nil"/>
                    <w:bottom w:val="nil"/>
                    <w:right w:val="nil"/>
                  </w:tcBorders>
                </w:tcPr>
                <w:p w14:paraId="1508751B" w14:textId="73079035" w:rsidR="00354CB2" w:rsidRPr="00E60C06" w:rsidRDefault="00354CB2" w:rsidP="00F55F8D">
                  <w:pPr>
                    <w:spacing w:after="0" w:line="259" w:lineRule="auto"/>
                    <w:ind w:left="188" w:right="72" w:firstLine="0"/>
                  </w:pPr>
                </w:p>
              </w:tc>
              <w:tc>
                <w:tcPr>
                  <w:tcW w:w="497" w:type="dxa"/>
                  <w:tcBorders>
                    <w:top w:val="nil"/>
                    <w:left w:val="nil"/>
                    <w:bottom w:val="nil"/>
                    <w:right w:val="nil"/>
                  </w:tcBorders>
                </w:tcPr>
                <w:p w14:paraId="00814396" w14:textId="5E2CD17E" w:rsidR="00354CB2" w:rsidRPr="00E60C06" w:rsidRDefault="00354CB2" w:rsidP="00F55F8D">
                  <w:pPr>
                    <w:spacing w:after="0" w:line="259" w:lineRule="auto"/>
                    <w:ind w:left="188" w:right="72" w:firstLine="0"/>
                  </w:pPr>
                </w:p>
              </w:tc>
              <w:tc>
                <w:tcPr>
                  <w:tcW w:w="1106" w:type="dxa"/>
                  <w:tcBorders>
                    <w:top w:val="nil"/>
                    <w:left w:val="nil"/>
                    <w:bottom w:val="nil"/>
                    <w:right w:val="nil"/>
                  </w:tcBorders>
                </w:tcPr>
                <w:p w14:paraId="7A0A7C7F" w14:textId="38B3F097" w:rsidR="00354CB2" w:rsidRPr="00E60C06" w:rsidRDefault="0049137E" w:rsidP="00F55F8D">
                  <w:pPr>
                    <w:spacing w:after="0" w:line="259" w:lineRule="auto"/>
                    <w:ind w:left="188" w:right="72" w:firstLine="0"/>
                  </w:pPr>
                  <w:r w:rsidRPr="00E60C06">
                    <w:t>5</w:t>
                  </w:r>
                  <w:r w:rsidR="00354CB2" w:rsidRPr="00E60C06">
                    <w:t>.</w:t>
                  </w:r>
                  <w:r w:rsidRPr="00E60C06">
                    <w:t>01</w:t>
                  </w:r>
                </w:p>
              </w:tc>
              <w:tc>
                <w:tcPr>
                  <w:tcW w:w="1066" w:type="dxa"/>
                  <w:tcBorders>
                    <w:top w:val="nil"/>
                    <w:left w:val="nil"/>
                    <w:bottom w:val="nil"/>
                    <w:right w:val="nil"/>
                  </w:tcBorders>
                </w:tcPr>
                <w:p w14:paraId="7F571E61" w14:textId="6C6C2446" w:rsidR="00354CB2" w:rsidRPr="00E60C06" w:rsidRDefault="00354CB2" w:rsidP="00F55F8D">
                  <w:pPr>
                    <w:spacing w:after="0" w:line="259" w:lineRule="auto"/>
                    <w:ind w:left="188" w:right="72" w:firstLine="0"/>
                  </w:pPr>
                  <w:r w:rsidRPr="00E60C06">
                    <w:t>2.</w:t>
                  </w:r>
                  <w:r w:rsidR="0049137E" w:rsidRPr="00E60C06">
                    <w:t>1</w:t>
                  </w:r>
                  <w:r w:rsidRPr="00E60C06">
                    <w:t xml:space="preserve">5 </w:t>
                  </w:r>
                </w:p>
              </w:tc>
              <w:tc>
                <w:tcPr>
                  <w:tcW w:w="775" w:type="dxa"/>
                  <w:tcBorders>
                    <w:top w:val="nil"/>
                    <w:left w:val="nil"/>
                    <w:bottom w:val="nil"/>
                    <w:right w:val="nil"/>
                  </w:tcBorders>
                </w:tcPr>
                <w:p w14:paraId="4C355990" w14:textId="5CAA4009" w:rsidR="00354CB2" w:rsidRPr="00E60C06" w:rsidRDefault="00354CB2" w:rsidP="00F55F8D">
                  <w:pPr>
                    <w:spacing w:after="0" w:line="259" w:lineRule="auto"/>
                    <w:ind w:left="188" w:right="72" w:firstLine="0"/>
                    <w:jc w:val="center"/>
                  </w:pPr>
                  <w:r w:rsidRPr="00E60C06">
                    <w:t>7.</w:t>
                  </w:r>
                  <w:r w:rsidR="0049137E" w:rsidRPr="00E60C06">
                    <w:t>1</w:t>
                  </w:r>
                  <w:r w:rsidRPr="00E60C06">
                    <w:t>6</w:t>
                  </w:r>
                </w:p>
              </w:tc>
            </w:tr>
            <w:tr w:rsidR="001160E6" w:rsidRPr="00E60C06" w14:paraId="600FC272" w14:textId="77777777">
              <w:trPr>
                <w:trHeight w:val="288"/>
              </w:trPr>
              <w:tc>
                <w:tcPr>
                  <w:tcW w:w="3086" w:type="dxa"/>
                  <w:tcBorders>
                    <w:top w:val="nil"/>
                    <w:left w:val="nil"/>
                    <w:bottom w:val="single" w:sz="8" w:space="0" w:color="000000"/>
                    <w:right w:val="nil"/>
                  </w:tcBorders>
                </w:tcPr>
                <w:p w14:paraId="74F6FCF1" w14:textId="77777777" w:rsidR="00354CB2" w:rsidRPr="00E60C06" w:rsidRDefault="00354CB2" w:rsidP="00F55F8D">
                  <w:pPr>
                    <w:spacing w:after="0" w:line="259" w:lineRule="auto"/>
                    <w:ind w:left="188" w:right="72" w:firstLine="0"/>
                    <w:rPr>
                      <w:sz w:val="20"/>
                      <w:szCs w:val="22"/>
                    </w:rPr>
                  </w:pPr>
                  <w:r w:rsidRPr="00E60C06">
                    <w:rPr>
                      <w:sz w:val="20"/>
                      <w:szCs w:val="22"/>
                    </w:rPr>
                    <w:t xml:space="preserve">Northern Territory  </w:t>
                  </w:r>
                </w:p>
                <w:p w14:paraId="31109165" w14:textId="74BBED92" w:rsidR="00702679" w:rsidRPr="00E60C06" w:rsidRDefault="00702679" w:rsidP="00F55F8D">
                  <w:pPr>
                    <w:spacing w:after="0" w:line="259" w:lineRule="auto"/>
                    <w:ind w:left="188" w:right="72" w:firstLine="0"/>
                    <w:rPr>
                      <w:sz w:val="20"/>
                      <w:szCs w:val="22"/>
                    </w:rPr>
                  </w:pPr>
                  <w:r w:rsidRPr="00E60C06">
                    <w:rPr>
                      <w:sz w:val="20"/>
                      <w:szCs w:val="22"/>
                    </w:rPr>
                    <w:t>Non-Commonwealth contributions</w:t>
                  </w:r>
                </w:p>
              </w:tc>
              <w:tc>
                <w:tcPr>
                  <w:tcW w:w="1546" w:type="dxa"/>
                  <w:tcBorders>
                    <w:top w:val="nil"/>
                    <w:left w:val="nil"/>
                    <w:bottom w:val="single" w:sz="8" w:space="0" w:color="000000"/>
                    <w:right w:val="nil"/>
                  </w:tcBorders>
                </w:tcPr>
                <w:p w14:paraId="63A69F7D" w14:textId="67D27F93" w:rsidR="00354CB2" w:rsidRPr="00E60C06" w:rsidRDefault="001160E6" w:rsidP="00F55F8D">
                  <w:pPr>
                    <w:spacing w:after="0" w:line="259" w:lineRule="auto"/>
                    <w:ind w:left="188" w:right="72" w:firstLine="0"/>
                  </w:pPr>
                  <w:r w:rsidRPr="00E60C06">
                    <w:rPr>
                      <w:noProof/>
                    </w:rPr>
                    <mc:AlternateContent>
                      <mc:Choice Requires="wpg">
                        <w:drawing>
                          <wp:anchor distT="0" distB="0" distL="114300" distR="114300" simplePos="0" relativeHeight="251658244" behindDoc="0" locked="0" layoutInCell="1" allowOverlap="1" wp14:anchorId="69045F51" wp14:editId="1856F2F8">
                            <wp:simplePos x="0" y="0"/>
                            <wp:positionH relativeFrom="column">
                              <wp:posOffset>805815</wp:posOffset>
                            </wp:positionH>
                            <wp:positionV relativeFrom="paragraph">
                              <wp:posOffset>168910</wp:posOffset>
                            </wp:positionV>
                            <wp:extent cx="2447290" cy="12065"/>
                            <wp:effectExtent l="0" t="0" r="0" b="0"/>
                            <wp:wrapNone/>
                            <wp:docPr id="36799" name="Group 36799"/>
                            <wp:cNvGraphicFramePr/>
                            <a:graphic xmlns:a="http://schemas.openxmlformats.org/drawingml/2006/main">
                              <a:graphicData uri="http://schemas.microsoft.com/office/word/2010/wordprocessingGroup">
                                <wpg:wgp>
                                  <wpg:cNvGrpSpPr/>
                                  <wpg:grpSpPr>
                                    <a:xfrm>
                                      <a:off x="0" y="0"/>
                                      <a:ext cx="2447290" cy="12065"/>
                                      <a:chOff x="0" y="0"/>
                                      <a:chExt cx="2447544" cy="12192"/>
                                    </a:xfrm>
                                  </wpg:grpSpPr>
                                  <wps:wsp>
                                    <wps:cNvPr id="38449" name="Shape 38449"/>
                                    <wps:cNvSpPr/>
                                    <wps:spPr>
                                      <a:xfrm>
                                        <a:off x="0" y="0"/>
                                        <a:ext cx="763524" cy="12192"/>
                                      </a:xfrm>
                                      <a:custGeom>
                                        <a:avLst/>
                                        <a:gdLst/>
                                        <a:ahLst/>
                                        <a:cxnLst/>
                                        <a:rect l="0" t="0" r="0" b="0"/>
                                        <a:pathLst>
                                          <a:path w="763524" h="12192">
                                            <a:moveTo>
                                              <a:pt x="0" y="0"/>
                                            </a:moveTo>
                                            <a:lnTo>
                                              <a:pt x="763524" y="0"/>
                                            </a:lnTo>
                                            <a:lnTo>
                                              <a:pt x="7635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50" name="Shape 38450"/>
                                    <wps:cNvSpPr/>
                                    <wps:spPr>
                                      <a:xfrm>
                                        <a:off x="763524"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51" name="Shape 38451"/>
                                    <wps:cNvSpPr/>
                                    <wps:spPr>
                                      <a:xfrm>
                                        <a:off x="775716" y="0"/>
                                        <a:ext cx="830580" cy="12192"/>
                                      </a:xfrm>
                                      <a:custGeom>
                                        <a:avLst/>
                                        <a:gdLst/>
                                        <a:ahLst/>
                                        <a:cxnLst/>
                                        <a:rect l="0" t="0" r="0" b="0"/>
                                        <a:pathLst>
                                          <a:path w="830580" h="12192">
                                            <a:moveTo>
                                              <a:pt x="0" y="0"/>
                                            </a:moveTo>
                                            <a:lnTo>
                                              <a:pt x="830580" y="0"/>
                                            </a:lnTo>
                                            <a:lnTo>
                                              <a:pt x="8305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52" name="Shape 38452"/>
                                    <wps:cNvSpPr/>
                                    <wps:spPr>
                                      <a:xfrm>
                                        <a:off x="160629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53" name="Shape 38453"/>
                                    <wps:cNvSpPr/>
                                    <wps:spPr>
                                      <a:xfrm>
                                        <a:off x="1618488" y="0"/>
                                        <a:ext cx="829056" cy="12192"/>
                                      </a:xfrm>
                                      <a:custGeom>
                                        <a:avLst/>
                                        <a:gdLst/>
                                        <a:ahLst/>
                                        <a:cxnLst/>
                                        <a:rect l="0" t="0" r="0" b="0"/>
                                        <a:pathLst>
                                          <a:path w="829056" h="12192">
                                            <a:moveTo>
                                              <a:pt x="0" y="0"/>
                                            </a:moveTo>
                                            <a:lnTo>
                                              <a:pt x="829056" y="0"/>
                                            </a:lnTo>
                                            <a:lnTo>
                                              <a:pt x="8290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47AAA59" id="Group 36799" o:spid="_x0000_s1026" style="position:absolute;margin-left:63.45pt;margin-top:13.3pt;width:192.7pt;height:.95pt;z-index:251658244" coordsize="2447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">
                            <v:shape id="Shape 38449" o:spid="_x0000_s1027" style="position:absolute;width:7635;height:121;visibility:visible;mso-wrap-style:square;v-text-anchor:top" coordsize="7635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" path="m,l763524,r,12192l,12192,,e" fillcolor="black" stroked="f" strokeweight="0">
                              <v:stroke miterlimit="83231f" joinstyle="miter"/>
                              <v:path arrowok="t" textboxrect="0,0,763524,12192"/>
                            </v:shape>
                            <v:shape id="Shape 38450" o:spid="_x0000_s1028" style="position:absolute;left:7635;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" path="m,l12179,r,12192l,12192,,e" fillcolor="black" stroked="f" strokeweight="0">
                              <v:stroke miterlimit="83231f" joinstyle="miter"/>
                              <v:path arrowok="t" textboxrect="0,0,12179,12192"/>
                            </v:shape>
                            <v:shape id="Shape 38451" o:spid="_x0000_s1029" style="position:absolute;left:7757;width:8305;height:121;visibility:visible;mso-wrap-style:square;v-text-anchor:top" coordsize="8305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" path="m,l830580,r,12192l,12192,,e" fillcolor="black" stroked="f" strokeweight="0">
                              <v:stroke miterlimit="83231f" joinstyle="miter"/>
                              <v:path arrowok="t" textboxrect="0,0,830580,12192"/>
                            </v:shape>
                            <v:shape id="Shape 38452" o:spid="_x0000_s1030" style="position:absolute;left:1606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" path="m,l12192,r,12192l,12192,,e" fillcolor="black" stroked="f" strokeweight="0">
                              <v:stroke miterlimit="83231f" joinstyle="miter"/>
                              <v:path arrowok="t" textboxrect="0,0,12192,12192"/>
                            </v:shape>
                            <v:shape id="Shape 38453" o:spid="_x0000_s1031" style="position:absolute;left:16184;width:8291;height:121;visibility:visible;mso-wrap-style:square;v-text-anchor:top" coordsize="8290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" path="m,l829056,r,12192l,12192,,e" fillcolor="black" stroked="f" strokeweight="0">
                              <v:stroke miterlimit="83231f" joinstyle="miter"/>
                              <v:path arrowok="t" textboxrect="0,0,829056,12192"/>
                            </v:shape>
                          </v:group>
                        </w:pict>
                      </mc:Fallback>
                    </mc:AlternateContent>
                  </w:r>
                </w:p>
              </w:tc>
              <w:tc>
                <w:tcPr>
                  <w:tcW w:w="497" w:type="dxa"/>
                  <w:tcBorders>
                    <w:top w:val="nil"/>
                    <w:left w:val="nil"/>
                    <w:bottom w:val="single" w:sz="8" w:space="0" w:color="000000"/>
                    <w:right w:val="nil"/>
                  </w:tcBorders>
                </w:tcPr>
                <w:p w14:paraId="0A416969" w14:textId="378B7558" w:rsidR="00354CB2" w:rsidRPr="00E60C06" w:rsidRDefault="00354CB2" w:rsidP="00F55F8D">
                  <w:pPr>
                    <w:spacing w:after="0" w:line="259" w:lineRule="auto"/>
                    <w:ind w:left="188" w:right="72" w:firstLine="0"/>
                  </w:pPr>
                </w:p>
              </w:tc>
              <w:tc>
                <w:tcPr>
                  <w:tcW w:w="1106" w:type="dxa"/>
                  <w:tcBorders>
                    <w:top w:val="nil"/>
                    <w:left w:val="nil"/>
                    <w:bottom w:val="single" w:sz="8" w:space="0" w:color="000000"/>
                    <w:right w:val="nil"/>
                  </w:tcBorders>
                </w:tcPr>
                <w:p w14:paraId="2390E3B3" w14:textId="422D0F7E" w:rsidR="00354CB2" w:rsidRPr="00E60C06" w:rsidRDefault="0049137E" w:rsidP="00F55F8D">
                  <w:pPr>
                    <w:spacing w:after="0" w:line="259" w:lineRule="auto"/>
                    <w:ind w:left="188" w:right="72" w:firstLine="0"/>
                  </w:pPr>
                  <w:r w:rsidRPr="00E60C06">
                    <w:t>2</w:t>
                  </w:r>
                  <w:r w:rsidR="00354CB2" w:rsidRPr="00E60C06">
                    <w:t>.</w:t>
                  </w:r>
                  <w:r w:rsidRPr="00E60C06">
                    <w:t>87</w:t>
                  </w:r>
                </w:p>
                <w:p w14:paraId="0A75A34F" w14:textId="2D946ABA" w:rsidR="00702679" w:rsidRPr="00E60C06" w:rsidRDefault="001160E6" w:rsidP="00F55F8D">
                  <w:pPr>
                    <w:spacing w:after="0" w:line="259" w:lineRule="auto"/>
                    <w:ind w:left="188" w:right="72" w:firstLine="0"/>
                  </w:pPr>
                  <w:r w:rsidRPr="00E60C06">
                    <w:t>298.88</w:t>
                  </w:r>
                </w:p>
              </w:tc>
              <w:tc>
                <w:tcPr>
                  <w:tcW w:w="1066" w:type="dxa"/>
                  <w:tcBorders>
                    <w:top w:val="nil"/>
                    <w:left w:val="nil"/>
                    <w:bottom w:val="single" w:sz="8" w:space="0" w:color="000000"/>
                    <w:right w:val="nil"/>
                  </w:tcBorders>
                </w:tcPr>
                <w:p w14:paraId="7ED1BF3F" w14:textId="49957C4D" w:rsidR="00354CB2" w:rsidRPr="00E60C06" w:rsidRDefault="00354CB2" w:rsidP="00F55F8D">
                  <w:pPr>
                    <w:spacing w:after="0" w:line="259" w:lineRule="auto"/>
                    <w:ind w:left="188" w:right="72" w:firstLine="0"/>
                  </w:pPr>
                  <w:r w:rsidRPr="00E60C06">
                    <w:t>1.</w:t>
                  </w:r>
                  <w:r w:rsidR="0049137E" w:rsidRPr="00E60C06">
                    <w:t>23</w:t>
                  </w:r>
                  <w:r w:rsidRPr="00E60C06">
                    <w:t xml:space="preserve"> </w:t>
                  </w:r>
                </w:p>
                <w:p w14:paraId="5E06D016" w14:textId="006F7CAB" w:rsidR="001160E6" w:rsidRPr="00E60C06" w:rsidRDefault="001160E6" w:rsidP="00F55F8D">
                  <w:pPr>
                    <w:spacing w:after="0" w:line="259" w:lineRule="auto"/>
                    <w:ind w:left="188" w:right="72" w:firstLine="0"/>
                  </w:pPr>
                  <w:r w:rsidRPr="00E60C06">
                    <w:t>128.11</w:t>
                  </w:r>
                </w:p>
              </w:tc>
              <w:tc>
                <w:tcPr>
                  <w:tcW w:w="775" w:type="dxa"/>
                  <w:tcBorders>
                    <w:top w:val="nil"/>
                    <w:left w:val="nil"/>
                    <w:bottom w:val="single" w:sz="4" w:space="0" w:color="000000"/>
                    <w:right w:val="nil"/>
                  </w:tcBorders>
                </w:tcPr>
                <w:p w14:paraId="488862CD" w14:textId="072FB7EC" w:rsidR="00354CB2" w:rsidRPr="00E60C06" w:rsidRDefault="0049137E" w:rsidP="00F55F8D">
                  <w:pPr>
                    <w:spacing w:after="0" w:line="259" w:lineRule="auto"/>
                    <w:ind w:left="188" w:right="72" w:firstLine="0"/>
                    <w:jc w:val="center"/>
                  </w:pPr>
                  <w:r w:rsidRPr="00E60C06">
                    <w:t>4</w:t>
                  </w:r>
                  <w:r w:rsidR="00354CB2" w:rsidRPr="00E60C06">
                    <w:t>.</w:t>
                  </w:r>
                  <w:r w:rsidRPr="00E60C06">
                    <w:t>10</w:t>
                  </w:r>
                </w:p>
                <w:p w14:paraId="4669B349" w14:textId="528D4138" w:rsidR="001160E6" w:rsidRPr="00E60C06" w:rsidRDefault="001160E6" w:rsidP="00F55F8D">
                  <w:pPr>
                    <w:spacing w:after="0" w:line="259" w:lineRule="auto"/>
                    <w:ind w:left="188" w:right="72" w:firstLine="0"/>
                  </w:pPr>
                  <w:r w:rsidRPr="00E60C06">
                    <w:t>426.99</w:t>
                  </w:r>
                </w:p>
              </w:tc>
            </w:tr>
          </w:tbl>
          <w:p w14:paraId="00988923" w14:textId="36CF5F85" w:rsidR="00354CB2" w:rsidRPr="00E60C06" w:rsidRDefault="00354CB2" w:rsidP="00F55F8D">
            <w:pPr>
              <w:tabs>
                <w:tab w:val="center" w:pos="1668"/>
                <w:tab w:val="center" w:pos="5035"/>
                <w:tab w:val="center" w:pos="6360"/>
                <w:tab w:val="center" w:pos="7684"/>
              </w:tabs>
              <w:spacing w:after="93" w:line="259" w:lineRule="auto"/>
              <w:ind w:left="188" w:right="72" w:firstLine="0"/>
            </w:pPr>
          </w:p>
          <w:p w14:paraId="222145BA" w14:textId="0B28FAE2" w:rsidR="006B6C81" w:rsidRPr="00E60C06" w:rsidRDefault="006B6C81" w:rsidP="00956552">
            <w:pPr>
              <w:tabs>
                <w:tab w:val="center" w:pos="1668"/>
                <w:tab w:val="center" w:pos="5035"/>
                <w:tab w:val="center" w:pos="6360"/>
                <w:tab w:val="center" w:pos="7684"/>
              </w:tabs>
              <w:spacing w:after="93" w:line="259" w:lineRule="auto"/>
              <w:ind w:left="76" w:right="72" w:firstLine="0"/>
            </w:pPr>
            <w:r w:rsidRPr="00E60C06">
              <w:t xml:space="preserve">The Commonwealth will provide an estimated total financial contribution to the States for Fee-Free TAFE Tranche 2 (FFTT2) of $414.11 million in respect of Appendix </w:t>
            </w:r>
            <w:r w:rsidR="00F816BF" w:rsidRPr="00E60C06">
              <w:t>F</w:t>
            </w:r>
            <w:r w:rsidRPr="00E60C06">
              <w:t xml:space="preserve"> and Table 1a</w:t>
            </w:r>
            <w:r w:rsidR="00AE35DC" w:rsidRPr="00E60C06">
              <w:rPr>
                <w:rFonts w:eastAsia="Corbel"/>
              </w:rPr>
              <w:t xml:space="preserve"> in accordance with the funding principles of the Agreement as described in Table 1a.</w:t>
            </w:r>
            <w:r w:rsidR="00AE35DC" w:rsidRPr="00E60C06">
              <w:t xml:space="preserve"> </w:t>
            </w:r>
            <w:r w:rsidRPr="00E60C06">
              <w:t xml:space="preserve">    </w:t>
            </w:r>
          </w:p>
          <w:p w14:paraId="65CA2AF0" w14:textId="722511AE" w:rsidR="0029427C" w:rsidRPr="00E60C06" w:rsidRDefault="00CD24A0" w:rsidP="00956552">
            <w:pPr>
              <w:spacing w:after="91" w:line="259" w:lineRule="auto"/>
              <w:ind w:left="76" w:right="72" w:firstLine="0"/>
            </w:pPr>
            <w:r w:rsidRPr="00E60C06">
              <w:rPr>
                <w:rFonts w:eastAsia="Corbel"/>
              </w:rPr>
              <w:t>Table 1a</w:t>
            </w:r>
            <w:r w:rsidR="00AB115E" w:rsidRPr="00E60C06">
              <w:rPr>
                <w:rFonts w:eastAsia="Corbel"/>
              </w:rPr>
              <w:t>:</w:t>
            </w:r>
            <w:r w:rsidRPr="00E60C06">
              <w:rPr>
                <w:rFonts w:eastAsia="Corbel"/>
              </w:rPr>
              <w:t xml:space="preserve"> Funding for FFTT2 by jurisdiction</w:t>
            </w:r>
            <w:r w:rsidR="00E04A6C" w:rsidRPr="00E60C06">
              <w:rPr>
                <w:rFonts w:eastAsia="Corbel"/>
              </w:rPr>
              <w:t xml:space="preserve"> (Appendix </w:t>
            </w:r>
            <w:r w:rsidR="00F816BF" w:rsidRPr="00E60C06">
              <w:rPr>
                <w:rFonts w:eastAsia="Corbel"/>
              </w:rPr>
              <w:t>F</w:t>
            </w:r>
            <w:r w:rsidR="00E04A6C" w:rsidRPr="00E60C06">
              <w:rPr>
                <w:rFonts w:eastAsia="Corbel"/>
              </w:rPr>
              <w:t xml:space="preserve"> refers)</w:t>
            </w:r>
            <w:r w:rsidRPr="00E60C06">
              <w:rPr>
                <w:rFonts w:eastAsia="Corbel"/>
              </w:rPr>
              <w:t>:</w:t>
            </w:r>
            <w:r w:rsidRPr="00E60C06">
              <w:rPr>
                <w:rFonts w:eastAsia="Arial"/>
              </w:rPr>
              <w:t>  </w:t>
            </w:r>
            <w:r w:rsidRPr="00E60C06">
              <w:rPr>
                <w:rFonts w:eastAsia="Corbel"/>
              </w:rPr>
              <w:t xml:space="preserve">  </w:t>
            </w:r>
          </w:p>
          <w:p w14:paraId="17DE332C" w14:textId="77777777" w:rsidR="0029427C" w:rsidRPr="00E60C06" w:rsidRDefault="00CD24A0" w:rsidP="00F55F8D">
            <w:pPr>
              <w:tabs>
                <w:tab w:val="center" w:pos="465"/>
                <w:tab w:val="center" w:pos="3444"/>
                <w:tab w:val="center" w:pos="4375"/>
                <w:tab w:val="center" w:pos="5486"/>
                <w:tab w:val="center" w:pos="6592"/>
                <w:tab w:val="center" w:pos="7802"/>
              </w:tabs>
              <w:spacing w:after="0" w:line="259" w:lineRule="auto"/>
              <w:ind w:left="188" w:right="72" w:firstLine="0"/>
            </w:pPr>
            <w:r w:rsidRPr="00E60C06">
              <w:tab/>
            </w:r>
            <w:r w:rsidRPr="00E60C06">
              <w:rPr>
                <w:b/>
              </w:rPr>
              <w:t>($ million)</w:t>
            </w:r>
            <w:r w:rsidRPr="00E60C06">
              <w:t xml:space="preserve"> </w:t>
            </w:r>
            <w:r w:rsidRPr="00E60C06">
              <w:tab/>
              <w:t>2023-24</w:t>
            </w:r>
            <w:r w:rsidRPr="00E60C06">
              <w:tab/>
              <w:t xml:space="preserve">2024-25 </w:t>
            </w:r>
            <w:r w:rsidRPr="00E60C06">
              <w:tab/>
              <w:t>2025-26</w:t>
            </w:r>
            <w:r w:rsidRPr="00E60C06">
              <w:tab/>
              <w:t xml:space="preserve">2026-27 </w:t>
            </w:r>
            <w:r w:rsidRPr="00E60C06">
              <w:tab/>
              <w:t xml:space="preserve">Total  </w:t>
            </w:r>
          </w:p>
          <w:tbl>
            <w:tblPr>
              <w:tblStyle w:val="TableGrid1"/>
              <w:tblW w:w="8076" w:type="dxa"/>
              <w:tblInd w:w="0" w:type="dxa"/>
              <w:tblCellMar>
                <w:top w:w="32" w:type="dxa"/>
              </w:tblCellMar>
              <w:tblLook w:val="04A0" w:firstRow="1" w:lastRow="0" w:firstColumn="1" w:lastColumn="0" w:noHBand="0" w:noVBand="1"/>
            </w:tblPr>
            <w:tblGrid>
              <w:gridCol w:w="2947"/>
              <w:gridCol w:w="1501"/>
              <w:gridCol w:w="487"/>
              <w:gridCol w:w="1096"/>
              <w:gridCol w:w="1060"/>
              <w:gridCol w:w="985"/>
            </w:tblGrid>
            <w:tr w:rsidR="0029427C" w:rsidRPr="00E60C06" w14:paraId="1ADEBB19" w14:textId="77777777">
              <w:trPr>
                <w:trHeight w:val="300"/>
              </w:trPr>
              <w:tc>
                <w:tcPr>
                  <w:tcW w:w="3086" w:type="dxa"/>
                  <w:vMerge w:val="restart"/>
                  <w:tcBorders>
                    <w:top w:val="single" w:sz="4" w:space="0" w:color="000000"/>
                    <w:left w:val="nil"/>
                    <w:bottom w:val="nil"/>
                    <w:right w:val="nil"/>
                  </w:tcBorders>
                </w:tcPr>
                <w:p w14:paraId="425DEDBC" w14:textId="77777777" w:rsidR="0029427C" w:rsidRPr="00E60C06" w:rsidRDefault="00CD24A0" w:rsidP="00F55F8D">
                  <w:pPr>
                    <w:spacing w:after="9" w:line="259" w:lineRule="auto"/>
                    <w:ind w:left="188" w:right="72" w:firstLine="0"/>
                  </w:pPr>
                  <w:r w:rsidRPr="00E60C06">
                    <w:rPr>
                      <w:b/>
                    </w:rPr>
                    <w:t>Estimated total budget</w:t>
                  </w:r>
                  <w:r w:rsidRPr="00E60C06">
                    <w:t xml:space="preserve"> </w:t>
                  </w:r>
                </w:p>
                <w:p w14:paraId="28761B77" w14:textId="77777777" w:rsidR="0029427C" w:rsidRPr="00E60C06" w:rsidRDefault="00CD24A0" w:rsidP="00F55F8D">
                  <w:pPr>
                    <w:spacing w:after="0" w:line="259" w:lineRule="auto"/>
                    <w:ind w:left="188" w:right="72" w:firstLine="0"/>
                  </w:pPr>
                  <w:r w:rsidRPr="00E60C06">
                    <w:t xml:space="preserve">New South Wales </w:t>
                  </w:r>
                </w:p>
              </w:tc>
              <w:tc>
                <w:tcPr>
                  <w:tcW w:w="1546" w:type="dxa"/>
                  <w:tcBorders>
                    <w:top w:val="single" w:sz="4" w:space="0" w:color="000000"/>
                    <w:left w:val="nil"/>
                    <w:bottom w:val="single" w:sz="4" w:space="0" w:color="000000"/>
                    <w:right w:val="nil"/>
                  </w:tcBorders>
                </w:tcPr>
                <w:p w14:paraId="560879B9" w14:textId="77777777" w:rsidR="0029427C" w:rsidRPr="00E60C06" w:rsidRDefault="00CD24A0" w:rsidP="00F55F8D">
                  <w:pPr>
                    <w:spacing w:after="0" w:line="259" w:lineRule="auto"/>
                    <w:ind w:left="188" w:right="72" w:firstLine="0"/>
                  </w:pPr>
                  <w:r w:rsidRPr="00E60C06">
                    <w:t>165.642</w:t>
                  </w:r>
                </w:p>
              </w:tc>
              <w:tc>
                <w:tcPr>
                  <w:tcW w:w="497" w:type="dxa"/>
                  <w:tcBorders>
                    <w:top w:val="single" w:sz="4" w:space="0" w:color="000000"/>
                    <w:left w:val="nil"/>
                    <w:bottom w:val="single" w:sz="4" w:space="0" w:color="000000"/>
                    <w:right w:val="nil"/>
                  </w:tcBorders>
                </w:tcPr>
                <w:p w14:paraId="1E3291B7" w14:textId="77777777" w:rsidR="0029427C" w:rsidRPr="00E60C06" w:rsidRDefault="00CD24A0" w:rsidP="00F55F8D">
                  <w:pPr>
                    <w:spacing w:after="0" w:line="259" w:lineRule="auto"/>
                    <w:ind w:left="188" w:right="72" w:firstLine="0"/>
                  </w:pPr>
                  <w:r w:rsidRPr="00E60C06">
                    <w:t xml:space="preserve">0 </w:t>
                  </w:r>
                </w:p>
              </w:tc>
              <w:tc>
                <w:tcPr>
                  <w:tcW w:w="1106" w:type="dxa"/>
                  <w:tcBorders>
                    <w:top w:val="single" w:sz="4" w:space="0" w:color="000000"/>
                    <w:left w:val="nil"/>
                    <w:bottom w:val="single" w:sz="4" w:space="0" w:color="000000"/>
                    <w:right w:val="nil"/>
                  </w:tcBorders>
                </w:tcPr>
                <w:p w14:paraId="150CD55A" w14:textId="77777777" w:rsidR="0029427C" w:rsidRPr="00E60C06" w:rsidRDefault="00CD24A0" w:rsidP="00F55F8D">
                  <w:pPr>
                    <w:spacing w:after="0" w:line="259" w:lineRule="auto"/>
                    <w:ind w:left="188" w:right="72" w:firstLine="0"/>
                  </w:pPr>
                  <w:r w:rsidRPr="00E60C06">
                    <w:t>124.231</w:t>
                  </w:r>
                </w:p>
              </w:tc>
              <w:tc>
                <w:tcPr>
                  <w:tcW w:w="1066" w:type="dxa"/>
                  <w:tcBorders>
                    <w:top w:val="single" w:sz="4" w:space="0" w:color="000000"/>
                    <w:left w:val="nil"/>
                    <w:bottom w:val="single" w:sz="4" w:space="0" w:color="000000"/>
                    <w:right w:val="nil"/>
                  </w:tcBorders>
                </w:tcPr>
                <w:p w14:paraId="28619631" w14:textId="77777777" w:rsidR="0029427C" w:rsidRPr="00E60C06" w:rsidRDefault="00CD24A0" w:rsidP="00F55F8D">
                  <w:pPr>
                    <w:spacing w:after="0" w:line="259" w:lineRule="auto"/>
                    <w:ind w:left="188" w:right="72" w:firstLine="0"/>
                  </w:pPr>
                  <w:r w:rsidRPr="00E60C06">
                    <w:t xml:space="preserve">124.231 </w:t>
                  </w:r>
                </w:p>
              </w:tc>
              <w:tc>
                <w:tcPr>
                  <w:tcW w:w="775" w:type="dxa"/>
                  <w:tcBorders>
                    <w:top w:val="single" w:sz="4" w:space="0" w:color="000000"/>
                    <w:left w:val="nil"/>
                    <w:bottom w:val="single" w:sz="4" w:space="0" w:color="000000"/>
                    <w:right w:val="nil"/>
                  </w:tcBorders>
                </w:tcPr>
                <w:p w14:paraId="42CBADFE" w14:textId="77777777" w:rsidR="0029427C" w:rsidRPr="00E60C06" w:rsidRDefault="00CD24A0" w:rsidP="00F55F8D">
                  <w:pPr>
                    <w:spacing w:after="0" w:line="259" w:lineRule="auto"/>
                    <w:ind w:left="188" w:right="72" w:firstLine="0"/>
                    <w:jc w:val="both"/>
                  </w:pPr>
                  <w:r w:rsidRPr="00E60C06">
                    <w:t>414.104</w:t>
                  </w:r>
                </w:p>
              </w:tc>
            </w:tr>
            <w:tr w:rsidR="0029427C" w:rsidRPr="00E60C06" w14:paraId="30ECD9F4" w14:textId="77777777">
              <w:trPr>
                <w:trHeight w:val="306"/>
              </w:trPr>
              <w:tc>
                <w:tcPr>
                  <w:tcW w:w="0" w:type="auto"/>
                  <w:vMerge/>
                  <w:tcBorders>
                    <w:top w:val="nil"/>
                    <w:left w:val="nil"/>
                    <w:bottom w:val="nil"/>
                    <w:right w:val="nil"/>
                  </w:tcBorders>
                </w:tcPr>
                <w:p w14:paraId="6DBC6F0B" w14:textId="77777777" w:rsidR="0029427C" w:rsidRPr="00E60C06" w:rsidRDefault="0029427C" w:rsidP="00F55F8D">
                  <w:pPr>
                    <w:spacing w:after="160" w:line="259" w:lineRule="auto"/>
                    <w:ind w:left="188" w:right="72" w:firstLine="0"/>
                  </w:pPr>
                </w:p>
              </w:tc>
              <w:tc>
                <w:tcPr>
                  <w:tcW w:w="1546" w:type="dxa"/>
                  <w:tcBorders>
                    <w:top w:val="single" w:sz="4" w:space="0" w:color="000000"/>
                    <w:left w:val="nil"/>
                    <w:bottom w:val="nil"/>
                    <w:right w:val="nil"/>
                  </w:tcBorders>
                </w:tcPr>
                <w:p w14:paraId="70FCE557" w14:textId="77777777" w:rsidR="0029427C" w:rsidRPr="00E60C06" w:rsidRDefault="00CD24A0" w:rsidP="00F55F8D">
                  <w:pPr>
                    <w:spacing w:after="0" w:line="259" w:lineRule="auto"/>
                    <w:ind w:left="188" w:right="72" w:firstLine="0"/>
                  </w:pPr>
                  <w:r w:rsidRPr="00E60C06">
                    <w:t>51.733</w:t>
                  </w:r>
                </w:p>
              </w:tc>
              <w:tc>
                <w:tcPr>
                  <w:tcW w:w="497" w:type="dxa"/>
                  <w:tcBorders>
                    <w:top w:val="single" w:sz="4" w:space="0" w:color="000000"/>
                    <w:left w:val="nil"/>
                    <w:bottom w:val="nil"/>
                    <w:right w:val="nil"/>
                  </w:tcBorders>
                </w:tcPr>
                <w:p w14:paraId="30F72D9F" w14:textId="77777777" w:rsidR="0029427C" w:rsidRPr="00E60C06" w:rsidRDefault="00CD24A0" w:rsidP="00F55F8D">
                  <w:pPr>
                    <w:spacing w:after="0" w:line="259" w:lineRule="auto"/>
                    <w:ind w:left="188" w:right="72" w:firstLine="0"/>
                  </w:pPr>
                  <w:r w:rsidRPr="00E60C06">
                    <w:t xml:space="preserve">0 </w:t>
                  </w:r>
                </w:p>
              </w:tc>
              <w:tc>
                <w:tcPr>
                  <w:tcW w:w="1106" w:type="dxa"/>
                  <w:tcBorders>
                    <w:top w:val="single" w:sz="4" w:space="0" w:color="000000"/>
                    <w:left w:val="nil"/>
                    <w:bottom w:val="nil"/>
                    <w:right w:val="nil"/>
                  </w:tcBorders>
                </w:tcPr>
                <w:p w14:paraId="159DFFB6" w14:textId="77777777" w:rsidR="0029427C" w:rsidRPr="00E60C06" w:rsidRDefault="00CD24A0" w:rsidP="00F55F8D">
                  <w:pPr>
                    <w:spacing w:after="0" w:line="259" w:lineRule="auto"/>
                    <w:ind w:left="188" w:right="72" w:firstLine="0"/>
                  </w:pPr>
                  <w:r w:rsidRPr="00E60C06">
                    <w:t>38.612</w:t>
                  </w:r>
                </w:p>
              </w:tc>
              <w:tc>
                <w:tcPr>
                  <w:tcW w:w="1066" w:type="dxa"/>
                  <w:tcBorders>
                    <w:top w:val="single" w:sz="4" w:space="0" w:color="000000"/>
                    <w:left w:val="nil"/>
                    <w:bottom w:val="nil"/>
                    <w:right w:val="nil"/>
                  </w:tcBorders>
                </w:tcPr>
                <w:p w14:paraId="69679F83" w14:textId="77777777" w:rsidR="0029427C" w:rsidRPr="00E60C06" w:rsidRDefault="00CD24A0" w:rsidP="00F55F8D">
                  <w:pPr>
                    <w:spacing w:after="0" w:line="259" w:lineRule="auto"/>
                    <w:ind w:left="188" w:right="72" w:firstLine="0"/>
                  </w:pPr>
                  <w:r w:rsidRPr="00E60C06">
                    <w:t xml:space="preserve">38.519 </w:t>
                  </w:r>
                </w:p>
              </w:tc>
              <w:tc>
                <w:tcPr>
                  <w:tcW w:w="775" w:type="dxa"/>
                  <w:tcBorders>
                    <w:top w:val="single" w:sz="4" w:space="0" w:color="000000"/>
                    <w:left w:val="nil"/>
                    <w:bottom w:val="nil"/>
                    <w:right w:val="nil"/>
                  </w:tcBorders>
                </w:tcPr>
                <w:p w14:paraId="475F5FD9" w14:textId="77777777" w:rsidR="0029427C" w:rsidRPr="00E60C06" w:rsidRDefault="00CD24A0" w:rsidP="00F55F8D">
                  <w:pPr>
                    <w:spacing w:after="0" w:line="259" w:lineRule="auto"/>
                    <w:ind w:left="188" w:right="72" w:firstLine="0"/>
                    <w:jc w:val="both"/>
                  </w:pPr>
                  <w:r w:rsidRPr="00E60C06">
                    <w:t xml:space="preserve">128.864 </w:t>
                  </w:r>
                </w:p>
              </w:tc>
            </w:tr>
            <w:tr w:rsidR="0029427C" w:rsidRPr="00E60C06" w14:paraId="290081A4" w14:textId="77777777">
              <w:trPr>
                <w:trHeight w:val="289"/>
              </w:trPr>
              <w:tc>
                <w:tcPr>
                  <w:tcW w:w="3086" w:type="dxa"/>
                  <w:tcBorders>
                    <w:top w:val="nil"/>
                    <w:left w:val="nil"/>
                    <w:bottom w:val="nil"/>
                    <w:right w:val="nil"/>
                  </w:tcBorders>
                </w:tcPr>
                <w:p w14:paraId="0972427B" w14:textId="77777777" w:rsidR="0029427C" w:rsidRPr="00E60C06" w:rsidRDefault="00CD24A0" w:rsidP="00F55F8D">
                  <w:pPr>
                    <w:spacing w:after="0" w:line="259" w:lineRule="auto"/>
                    <w:ind w:left="188" w:right="72" w:firstLine="0"/>
                  </w:pPr>
                  <w:r w:rsidRPr="00E60C06">
                    <w:t xml:space="preserve">Victoria </w:t>
                  </w:r>
                </w:p>
              </w:tc>
              <w:tc>
                <w:tcPr>
                  <w:tcW w:w="1546" w:type="dxa"/>
                  <w:tcBorders>
                    <w:top w:val="nil"/>
                    <w:left w:val="nil"/>
                    <w:bottom w:val="nil"/>
                    <w:right w:val="nil"/>
                  </w:tcBorders>
                </w:tcPr>
                <w:p w14:paraId="7F6D1E2E" w14:textId="77777777" w:rsidR="0029427C" w:rsidRPr="00E60C06" w:rsidRDefault="00CD24A0" w:rsidP="00F55F8D">
                  <w:pPr>
                    <w:spacing w:after="0" w:line="259" w:lineRule="auto"/>
                    <w:ind w:left="188" w:right="72" w:firstLine="0"/>
                  </w:pPr>
                  <w:r w:rsidRPr="00E60C06">
                    <w:t>42.555</w:t>
                  </w:r>
                </w:p>
              </w:tc>
              <w:tc>
                <w:tcPr>
                  <w:tcW w:w="497" w:type="dxa"/>
                  <w:tcBorders>
                    <w:top w:val="nil"/>
                    <w:left w:val="nil"/>
                    <w:bottom w:val="nil"/>
                    <w:right w:val="nil"/>
                  </w:tcBorders>
                </w:tcPr>
                <w:p w14:paraId="182BBF14" w14:textId="77777777" w:rsidR="0029427C" w:rsidRPr="00E60C06" w:rsidRDefault="00CD24A0" w:rsidP="00F55F8D">
                  <w:pPr>
                    <w:spacing w:after="0" w:line="259" w:lineRule="auto"/>
                    <w:ind w:left="188" w:right="72" w:firstLine="0"/>
                  </w:pPr>
                  <w:r w:rsidRPr="00E60C06">
                    <w:t xml:space="preserve">0 </w:t>
                  </w:r>
                </w:p>
              </w:tc>
              <w:tc>
                <w:tcPr>
                  <w:tcW w:w="1106" w:type="dxa"/>
                  <w:tcBorders>
                    <w:top w:val="nil"/>
                    <w:left w:val="nil"/>
                    <w:bottom w:val="nil"/>
                    <w:right w:val="nil"/>
                  </w:tcBorders>
                </w:tcPr>
                <w:p w14:paraId="614E1930" w14:textId="77777777" w:rsidR="0029427C" w:rsidRPr="00E60C06" w:rsidRDefault="00CD24A0" w:rsidP="00F55F8D">
                  <w:pPr>
                    <w:spacing w:after="0" w:line="259" w:lineRule="auto"/>
                    <w:ind w:left="188" w:right="72" w:firstLine="0"/>
                  </w:pPr>
                  <w:r w:rsidRPr="00E60C06">
                    <w:t>32.148</w:t>
                  </w:r>
                </w:p>
              </w:tc>
              <w:tc>
                <w:tcPr>
                  <w:tcW w:w="1066" w:type="dxa"/>
                  <w:tcBorders>
                    <w:top w:val="nil"/>
                    <w:left w:val="nil"/>
                    <w:bottom w:val="nil"/>
                    <w:right w:val="nil"/>
                  </w:tcBorders>
                </w:tcPr>
                <w:p w14:paraId="0C2925C0" w14:textId="77777777" w:rsidR="0029427C" w:rsidRPr="00E60C06" w:rsidRDefault="00CD24A0" w:rsidP="00F55F8D">
                  <w:pPr>
                    <w:spacing w:after="0" w:line="259" w:lineRule="auto"/>
                    <w:ind w:left="188" w:right="72" w:firstLine="0"/>
                  </w:pPr>
                  <w:r w:rsidRPr="00E60C06">
                    <w:t xml:space="preserve">32.260 </w:t>
                  </w:r>
                </w:p>
              </w:tc>
              <w:tc>
                <w:tcPr>
                  <w:tcW w:w="775" w:type="dxa"/>
                  <w:tcBorders>
                    <w:top w:val="nil"/>
                    <w:left w:val="nil"/>
                    <w:bottom w:val="nil"/>
                    <w:right w:val="nil"/>
                  </w:tcBorders>
                </w:tcPr>
                <w:p w14:paraId="2199EC07" w14:textId="77777777" w:rsidR="0029427C" w:rsidRPr="00E60C06" w:rsidRDefault="00CD24A0" w:rsidP="00F55F8D">
                  <w:pPr>
                    <w:spacing w:after="0" w:line="259" w:lineRule="auto"/>
                    <w:ind w:left="188" w:right="72" w:firstLine="0"/>
                    <w:jc w:val="both"/>
                  </w:pPr>
                  <w:r w:rsidRPr="00E60C06">
                    <w:t>106.963</w:t>
                  </w:r>
                </w:p>
              </w:tc>
            </w:tr>
            <w:tr w:rsidR="0029427C" w:rsidRPr="00E60C06" w14:paraId="06E461FC" w14:textId="77777777">
              <w:trPr>
                <w:trHeight w:val="289"/>
              </w:trPr>
              <w:tc>
                <w:tcPr>
                  <w:tcW w:w="3086" w:type="dxa"/>
                  <w:tcBorders>
                    <w:top w:val="nil"/>
                    <w:left w:val="nil"/>
                    <w:bottom w:val="nil"/>
                    <w:right w:val="nil"/>
                  </w:tcBorders>
                </w:tcPr>
                <w:p w14:paraId="137A33CB" w14:textId="77777777" w:rsidR="0029427C" w:rsidRPr="00E60C06" w:rsidRDefault="00CD24A0" w:rsidP="00F55F8D">
                  <w:pPr>
                    <w:spacing w:after="0" w:line="259" w:lineRule="auto"/>
                    <w:ind w:left="188" w:right="72" w:firstLine="0"/>
                  </w:pPr>
                  <w:r w:rsidRPr="00E60C06">
                    <w:t xml:space="preserve">Queensland </w:t>
                  </w:r>
                </w:p>
              </w:tc>
              <w:tc>
                <w:tcPr>
                  <w:tcW w:w="1546" w:type="dxa"/>
                  <w:tcBorders>
                    <w:top w:val="nil"/>
                    <w:left w:val="nil"/>
                    <w:bottom w:val="nil"/>
                    <w:right w:val="nil"/>
                  </w:tcBorders>
                </w:tcPr>
                <w:p w14:paraId="5221A399" w14:textId="77777777" w:rsidR="0029427C" w:rsidRPr="00E60C06" w:rsidRDefault="00CD24A0" w:rsidP="00F55F8D">
                  <w:pPr>
                    <w:spacing w:after="0" w:line="259" w:lineRule="auto"/>
                    <w:ind w:left="188" w:right="72" w:firstLine="0"/>
                  </w:pPr>
                  <w:r w:rsidRPr="00E60C06">
                    <w:t>33.975</w:t>
                  </w:r>
                </w:p>
              </w:tc>
              <w:tc>
                <w:tcPr>
                  <w:tcW w:w="497" w:type="dxa"/>
                  <w:tcBorders>
                    <w:top w:val="nil"/>
                    <w:left w:val="nil"/>
                    <w:bottom w:val="nil"/>
                    <w:right w:val="nil"/>
                  </w:tcBorders>
                </w:tcPr>
                <w:p w14:paraId="6F8E0EE7" w14:textId="77777777" w:rsidR="0029427C" w:rsidRPr="00E60C06" w:rsidRDefault="00CD24A0" w:rsidP="00F55F8D">
                  <w:pPr>
                    <w:spacing w:after="0" w:line="259" w:lineRule="auto"/>
                    <w:ind w:left="188" w:right="72" w:firstLine="0"/>
                  </w:pPr>
                  <w:r w:rsidRPr="00E60C06">
                    <w:t xml:space="preserve">0 </w:t>
                  </w:r>
                </w:p>
              </w:tc>
              <w:tc>
                <w:tcPr>
                  <w:tcW w:w="1106" w:type="dxa"/>
                  <w:tcBorders>
                    <w:top w:val="nil"/>
                    <w:left w:val="nil"/>
                    <w:bottom w:val="nil"/>
                    <w:right w:val="nil"/>
                  </w:tcBorders>
                </w:tcPr>
                <w:p w14:paraId="37DEAA75" w14:textId="77777777" w:rsidR="0029427C" w:rsidRPr="00E60C06" w:rsidRDefault="00CD24A0" w:rsidP="00F55F8D">
                  <w:pPr>
                    <w:spacing w:after="0" w:line="259" w:lineRule="auto"/>
                    <w:ind w:left="188" w:right="72" w:firstLine="0"/>
                  </w:pPr>
                  <w:r w:rsidRPr="00E60C06">
                    <w:t>25.494</w:t>
                  </w:r>
                </w:p>
              </w:tc>
              <w:tc>
                <w:tcPr>
                  <w:tcW w:w="1066" w:type="dxa"/>
                  <w:tcBorders>
                    <w:top w:val="nil"/>
                    <w:left w:val="nil"/>
                    <w:bottom w:val="nil"/>
                    <w:right w:val="nil"/>
                  </w:tcBorders>
                </w:tcPr>
                <w:p w14:paraId="743E0BC3" w14:textId="77777777" w:rsidR="0029427C" w:rsidRPr="00E60C06" w:rsidRDefault="00CD24A0" w:rsidP="00F55F8D">
                  <w:pPr>
                    <w:spacing w:after="0" w:line="259" w:lineRule="auto"/>
                    <w:ind w:left="188" w:right="72" w:firstLine="0"/>
                  </w:pPr>
                  <w:r w:rsidRPr="00E60C06">
                    <w:t xml:space="preserve">25.501 </w:t>
                  </w:r>
                </w:p>
              </w:tc>
              <w:tc>
                <w:tcPr>
                  <w:tcW w:w="775" w:type="dxa"/>
                  <w:tcBorders>
                    <w:top w:val="nil"/>
                    <w:left w:val="nil"/>
                    <w:bottom w:val="nil"/>
                    <w:right w:val="nil"/>
                  </w:tcBorders>
                </w:tcPr>
                <w:p w14:paraId="0B564010" w14:textId="47690219" w:rsidR="0029427C" w:rsidRPr="00E60C06" w:rsidRDefault="00E358BE" w:rsidP="00F55F8D">
                  <w:pPr>
                    <w:spacing w:after="0" w:line="259" w:lineRule="auto"/>
                    <w:ind w:left="188" w:right="72" w:firstLine="0"/>
                  </w:pPr>
                  <w:r w:rsidRPr="00E60C06">
                    <w:t xml:space="preserve"> </w:t>
                  </w:r>
                  <w:r w:rsidR="00CD24A0" w:rsidRPr="00E60C06">
                    <w:t>84.970</w:t>
                  </w:r>
                </w:p>
              </w:tc>
            </w:tr>
            <w:tr w:rsidR="0029427C" w:rsidRPr="00E60C06" w14:paraId="3564B396" w14:textId="77777777">
              <w:trPr>
                <w:trHeight w:val="290"/>
              </w:trPr>
              <w:tc>
                <w:tcPr>
                  <w:tcW w:w="3086" w:type="dxa"/>
                  <w:tcBorders>
                    <w:top w:val="nil"/>
                    <w:left w:val="nil"/>
                    <w:bottom w:val="nil"/>
                    <w:right w:val="nil"/>
                  </w:tcBorders>
                </w:tcPr>
                <w:p w14:paraId="028FAE8F" w14:textId="77777777" w:rsidR="0029427C" w:rsidRPr="00E60C06" w:rsidRDefault="00CD24A0" w:rsidP="00F55F8D">
                  <w:pPr>
                    <w:spacing w:after="0" w:line="259" w:lineRule="auto"/>
                    <w:ind w:left="188" w:right="72" w:firstLine="0"/>
                  </w:pPr>
                  <w:r w:rsidRPr="00E60C06">
                    <w:t xml:space="preserve">Western Australia </w:t>
                  </w:r>
                </w:p>
              </w:tc>
              <w:tc>
                <w:tcPr>
                  <w:tcW w:w="1546" w:type="dxa"/>
                  <w:tcBorders>
                    <w:top w:val="nil"/>
                    <w:left w:val="nil"/>
                    <w:bottom w:val="nil"/>
                    <w:right w:val="nil"/>
                  </w:tcBorders>
                </w:tcPr>
                <w:p w14:paraId="5D28454A" w14:textId="77777777" w:rsidR="0029427C" w:rsidRPr="00E60C06" w:rsidRDefault="00CD24A0" w:rsidP="00F55F8D">
                  <w:pPr>
                    <w:spacing w:after="0" w:line="259" w:lineRule="auto"/>
                    <w:ind w:left="188" w:right="72" w:firstLine="0"/>
                  </w:pPr>
                  <w:r w:rsidRPr="00E60C06">
                    <w:t>17.786</w:t>
                  </w:r>
                </w:p>
              </w:tc>
              <w:tc>
                <w:tcPr>
                  <w:tcW w:w="497" w:type="dxa"/>
                  <w:tcBorders>
                    <w:top w:val="nil"/>
                    <w:left w:val="nil"/>
                    <w:bottom w:val="nil"/>
                    <w:right w:val="nil"/>
                  </w:tcBorders>
                </w:tcPr>
                <w:p w14:paraId="6CF72191" w14:textId="77777777" w:rsidR="0029427C" w:rsidRPr="00E60C06" w:rsidRDefault="00CD24A0" w:rsidP="00F55F8D">
                  <w:pPr>
                    <w:spacing w:after="0" w:line="259" w:lineRule="auto"/>
                    <w:ind w:left="188" w:right="72" w:firstLine="0"/>
                  </w:pPr>
                  <w:r w:rsidRPr="00E60C06">
                    <w:t xml:space="preserve">0 </w:t>
                  </w:r>
                </w:p>
              </w:tc>
              <w:tc>
                <w:tcPr>
                  <w:tcW w:w="1106" w:type="dxa"/>
                  <w:tcBorders>
                    <w:top w:val="nil"/>
                    <w:left w:val="nil"/>
                    <w:bottom w:val="nil"/>
                    <w:right w:val="nil"/>
                  </w:tcBorders>
                </w:tcPr>
                <w:p w14:paraId="5FCFA7EB" w14:textId="77777777" w:rsidR="0029427C" w:rsidRPr="00E60C06" w:rsidRDefault="00CD24A0" w:rsidP="00F55F8D">
                  <w:pPr>
                    <w:spacing w:after="0" w:line="259" w:lineRule="auto"/>
                    <w:ind w:left="188" w:right="72" w:firstLine="0"/>
                  </w:pPr>
                  <w:r w:rsidRPr="00E60C06">
                    <w:t>13.356</w:t>
                  </w:r>
                </w:p>
              </w:tc>
              <w:tc>
                <w:tcPr>
                  <w:tcW w:w="1066" w:type="dxa"/>
                  <w:tcBorders>
                    <w:top w:val="nil"/>
                    <w:left w:val="nil"/>
                    <w:bottom w:val="nil"/>
                    <w:right w:val="nil"/>
                  </w:tcBorders>
                </w:tcPr>
                <w:p w14:paraId="3C69C01B" w14:textId="77777777" w:rsidR="0029427C" w:rsidRPr="00E60C06" w:rsidRDefault="00CD24A0" w:rsidP="00F55F8D">
                  <w:pPr>
                    <w:spacing w:after="0" w:line="259" w:lineRule="auto"/>
                    <w:ind w:left="188" w:right="72" w:firstLine="0"/>
                  </w:pPr>
                  <w:r w:rsidRPr="00E60C06">
                    <w:t xml:space="preserve">13.363 </w:t>
                  </w:r>
                </w:p>
              </w:tc>
              <w:tc>
                <w:tcPr>
                  <w:tcW w:w="775" w:type="dxa"/>
                  <w:tcBorders>
                    <w:top w:val="nil"/>
                    <w:left w:val="nil"/>
                    <w:bottom w:val="nil"/>
                    <w:right w:val="nil"/>
                  </w:tcBorders>
                </w:tcPr>
                <w:p w14:paraId="3FFBAE90" w14:textId="49380675" w:rsidR="0029427C" w:rsidRPr="00E60C06" w:rsidRDefault="00E358BE" w:rsidP="00F55F8D">
                  <w:pPr>
                    <w:spacing w:after="0" w:line="259" w:lineRule="auto"/>
                    <w:ind w:left="188" w:right="72" w:firstLine="0"/>
                  </w:pPr>
                  <w:r w:rsidRPr="00E60C06">
                    <w:t xml:space="preserve"> </w:t>
                  </w:r>
                  <w:r w:rsidR="00CD24A0" w:rsidRPr="00E60C06">
                    <w:t>44.505</w:t>
                  </w:r>
                </w:p>
              </w:tc>
            </w:tr>
            <w:tr w:rsidR="0029427C" w:rsidRPr="00E60C06" w14:paraId="0997AB23" w14:textId="77777777">
              <w:trPr>
                <w:trHeight w:val="290"/>
              </w:trPr>
              <w:tc>
                <w:tcPr>
                  <w:tcW w:w="3086" w:type="dxa"/>
                  <w:tcBorders>
                    <w:top w:val="nil"/>
                    <w:left w:val="nil"/>
                    <w:bottom w:val="nil"/>
                    <w:right w:val="nil"/>
                  </w:tcBorders>
                </w:tcPr>
                <w:p w14:paraId="734A6332" w14:textId="77777777" w:rsidR="0029427C" w:rsidRPr="00E60C06" w:rsidRDefault="00CD24A0" w:rsidP="00F55F8D">
                  <w:pPr>
                    <w:spacing w:after="0" w:line="259" w:lineRule="auto"/>
                    <w:ind w:left="188" w:right="72" w:firstLine="0"/>
                  </w:pPr>
                  <w:r w:rsidRPr="00E60C06">
                    <w:t xml:space="preserve">South Australia </w:t>
                  </w:r>
                </w:p>
              </w:tc>
              <w:tc>
                <w:tcPr>
                  <w:tcW w:w="1546" w:type="dxa"/>
                  <w:tcBorders>
                    <w:top w:val="nil"/>
                    <w:left w:val="nil"/>
                    <w:bottom w:val="nil"/>
                    <w:right w:val="nil"/>
                  </w:tcBorders>
                </w:tcPr>
                <w:p w14:paraId="07CC6FFA" w14:textId="77777777" w:rsidR="0029427C" w:rsidRPr="00E60C06" w:rsidRDefault="00CD24A0" w:rsidP="00F55F8D">
                  <w:pPr>
                    <w:spacing w:after="0" w:line="259" w:lineRule="auto"/>
                    <w:ind w:left="188" w:right="72" w:firstLine="0"/>
                  </w:pPr>
                  <w:r w:rsidRPr="00E60C06">
                    <w:t>11.493</w:t>
                  </w:r>
                </w:p>
              </w:tc>
              <w:tc>
                <w:tcPr>
                  <w:tcW w:w="497" w:type="dxa"/>
                  <w:tcBorders>
                    <w:top w:val="nil"/>
                    <w:left w:val="nil"/>
                    <w:bottom w:val="nil"/>
                    <w:right w:val="nil"/>
                  </w:tcBorders>
                </w:tcPr>
                <w:p w14:paraId="48F07235" w14:textId="77777777" w:rsidR="0029427C" w:rsidRPr="00E60C06" w:rsidRDefault="00CD24A0" w:rsidP="00F55F8D">
                  <w:pPr>
                    <w:spacing w:after="0" w:line="259" w:lineRule="auto"/>
                    <w:ind w:left="188" w:right="72" w:firstLine="0"/>
                  </w:pPr>
                  <w:r w:rsidRPr="00E60C06">
                    <w:t xml:space="preserve">0 </w:t>
                  </w:r>
                </w:p>
              </w:tc>
              <w:tc>
                <w:tcPr>
                  <w:tcW w:w="1106" w:type="dxa"/>
                  <w:tcBorders>
                    <w:top w:val="nil"/>
                    <w:left w:val="nil"/>
                    <w:bottom w:val="nil"/>
                    <w:right w:val="nil"/>
                  </w:tcBorders>
                </w:tcPr>
                <w:p w14:paraId="4B5A316C" w14:textId="77777777" w:rsidR="0029427C" w:rsidRPr="00E60C06" w:rsidRDefault="00CD24A0" w:rsidP="00F55F8D">
                  <w:pPr>
                    <w:spacing w:after="0" w:line="259" w:lineRule="auto"/>
                    <w:ind w:left="188" w:right="72" w:firstLine="0"/>
                  </w:pPr>
                  <w:r w:rsidRPr="00E60C06">
                    <w:t>8.536</w:t>
                  </w:r>
                </w:p>
              </w:tc>
              <w:tc>
                <w:tcPr>
                  <w:tcW w:w="1066" w:type="dxa"/>
                  <w:tcBorders>
                    <w:top w:val="nil"/>
                    <w:left w:val="nil"/>
                    <w:bottom w:val="nil"/>
                    <w:right w:val="nil"/>
                  </w:tcBorders>
                </w:tcPr>
                <w:p w14:paraId="5E26D1BA" w14:textId="77777777" w:rsidR="0029427C" w:rsidRPr="00E60C06" w:rsidRDefault="00CD24A0" w:rsidP="00F55F8D">
                  <w:pPr>
                    <w:spacing w:after="0" w:line="259" w:lineRule="auto"/>
                    <w:ind w:left="188" w:right="72" w:firstLine="0"/>
                  </w:pPr>
                  <w:r w:rsidRPr="00E60C06">
                    <w:t xml:space="preserve">8.498 </w:t>
                  </w:r>
                </w:p>
              </w:tc>
              <w:tc>
                <w:tcPr>
                  <w:tcW w:w="775" w:type="dxa"/>
                  <w:tcBorders>
                    <w:top w:val="nil"/>
                    <w:left w:val="nil"/>
                    <w:bottom w:val="nil"/>
                    <w:right w:val="nil"/>
                  </w:tcBorders>
                </w:tcPr>
                <w:p w14:paraId="1248B014" w14:textId="50C3A24A" w:rsidR="0029427C" w:rsidRPr="00E60C06" w:rsidRDefault="00E358BE" w:rsidP="00F55F8D">
                  <w:pPr>
                    <w:spacing w:after="0" w:line="259" w:lineRule="auto"/>
                    <w:ind w:left="188" w:right="72" w:firstLine="0"/>
                  </w:pPr>
                  <w:r w:rsidRPr="00E60C06">
                    <w:t xml:space="preserve"> </w:t>
                  </w:r>
                  <w:r w:rsidR="00CD24A0" w:rsidRPr="00E60C06">
                    <w:t>28.527</w:t>
                  </w:r>
                </w:p>
              </w:tc>
            </w:tr>
            <w:tr w:rsidR="0029427C" w:rsidRPr="00E60C06" w14:paraId="00BB3A46" w14:textId="77777777">
              <w:trPr>
                <w:trHeight w:val="289"/>
              </w:trPr>
              <w:tc>
                <w:tcPr>
                  <w:tcW w:w="3086" w:type="dxa"/>
                  <w:tcBorders>
                    <w:top w:val="nil"/>
                    <w:left w:val="nil"/>
                    <w:bottom w:val="nil"/>
                    <w:right w:val="nil"/>
                  </w:tcBorders>
                </w:tcPr>
                <w:p w14:paraId="1A8D1637" w14:textId="77777777" w:rsidR="0029427C" w:rsidRPr="00E60C06" w:rsidRDefault="00CD24A0" w:rsidP="00F55F8D">
                  <w:pPr>
                    <w:spacing w:after="0" w:line="259" w:lineRule="auto"/>
                    <w:ind w:left="188" w:right="72" w:firstLine="0"/>
                  </w:pPr>
                  <w:r w:rsidRPr="00E60C06">
                    <w:t xml:space="preserve">Tasmania </w:t>
                  </w:r>
                </w:p>
              </w:tc>
              <w:tc>
                <w:tcPr>
                  <w:tcW w:w="1546" w:type="dxa"/>
                  <w:tcBorders>
                    <w:top w:val="nil"/>
                    <w:left w:val="nil"/>
                    <w:bottom w:val="nil"/>
                    <w:right w:val="nil"/>
                  </w:tcBorders>
                </w:tcPr>
                <w:p w14:paraId="3199EDCF" w14:textId="77777777" w:rsidR="0029427C" w:rsidRPr="00E60C06" w:rsidRDefault="00CD24A0" w:rsidP="00F55F8D">
                  <w:pPr>
                    <w:spacing w:after="0" w:line="259" w:lineRule="auto"/>
                    <w:ind w:left="188" w:right="72" w:firstLine="0"/>
                  </w:pPr>
                  <w:r w:rsidRPr="00E60C06">
                    <w:t>3.593</w:t>
                  </w:r>
                </w:p>
              </w:tc>
              <w:tc>
                <w:tcPr>
                  <w:tcW w:w="497" w:type="dxa"/>
                  <w:tcBorders>
                    <w:top w:val="nil"/>
                    <w:left w:val="nil"/>
                    <w:bottom w:val="nil"/>
                    <w:right w:val="nil"/>
                  </w:tcBorders>
                </w:tcPr>
                <w:p w14:paraId="7944F005" w14:textId="77777777" w:rsidR="0029427C" w:rsidRPr="00E60C06" w:rsidRDefault="00CD24A0" w:rsidP="00F55F8D">
                  <w:pPr>
                    <w:spacing w:after="0" w:line="259" w:lineRule="auto"/>
                    <w:ind w:left="188" w:right="72" w:firstLine="0"/>
                  </w:pPr>
                  <w:r w:rsidRPr="00E60C06">
                    <w:t xml:space="preserve">0 </w:t>
                  </w:r>
                </w:p>
              </w:tc>
              <w:tc>
                <w:tcPr>
                  <w:tcW w:w="1106" w:type="dxa"/>
                  <w:tcBorders>
                    <w:top w:val="nil"/>
                    <w:left w:val="nil"/>
                    <w:bottom w:val="nil"/>
                    <w:right w:val="nil"/>
                  </w:tcBorders>
                </w:tcPr>
                <w:p w14:paraId="64B8D724" w14:textId="77777777" w:rsidR="0029427C" w:rsidRPr="00E60C06" w:rsidRDefault="00CD24A0" w:rsidP="00F55F8D">
                  <w:pPr>
                    <w:spacing w:after="0" w:line="259" w:lineRule="auto"/>
                    <w:ind w:left="188" w:right="72" w:firstLine="0"/>
                  </w:pPr>
                  <w:r w:rsidRPr="00E60C06">
                    <w:t>2.681</w:t>
                  </w:r>
                </w:p>
              </w:tc>
              <w:tc>
                <w:tcPr>
                  <w:tcW w:w="1066" w:type="dxa"/>
                  <w:tcBorders>
                    <w:top w:val="nil"/>
                    <w:left w:val="nil"/>
                    <w:bottom w:val="nil"/>
                    <w:right w:val="nil"/>
                  </w:tcBorders>
                </w:tcPr>
                <w:p w14:paraId="22226C80" w14:textId="77777777" w:rsidR="0029427C" w:rsidRPr="00E60C06" w:rsidRDefault="00CD24A0" w:rsidP="00F55F8D">
                  <w:pPr>
                    <w:spacing w:after="0" w:line="259" w:lineRule="auto"/>
                    <w:ind w:left="188" w:right="72" w:firstLine="0"/>
                  </w:pPr>
                  <w:r w:rsidRPr="00E60C06">
                    <w:t xml:space="preserve">2.675 </w:t>
                  </w:r>
                </w:p>
              </w:tc>
              <w:tc>
                <w:tcPr>
                  <w:tcW w:w="775" w:type="dxa"/>
                  <w:tcBorders>
                    <w:top w:val="nil"/>
                    <w:left w:val="nil"/>
                    <w:bottom w:val="nil"/>
                    <w:right w:val="nil"/>
                  </w:tcBorders>
                </w:tcPr>
                <w:p w14:paraId="1DA93DF9" w14:textId="77777777" w:rsidR="0029427C" w:rsidRPr="00E60C06" w:rsidRDefault="00CD24A0" w:rsidP="00363D95">
                  <w:pPr>
                    <w:spacing w:after="0" w:line="259" w:lineRule="auto"/>
                    <w:ind w:left="188" w:right="72" w:firstLine="0"/>
                    <w:jc w:val="center"/>
                  </w:pPr>
                  <w:r w:rsidRPr="00E60C06">
                    <w:t>8.949</w:t>
                  </w:r>
                </w:p>
              </w:tc>
            </w:tr>
            <w:tr w:rsidR="0029427C" w:rsidRPr="00E60C06" w14:paraId="56A62591" w14:textId="77777777">
              <w:trPr>
                <w:trHeight w:val="289"/>
              </w:trPr>
              <w:tc>
                <w:tcPr>
                  <w:tcW w:w="3086" w:type="dxa"/>
                  <w:tcBorders>
                    <w:top w:val="nil"/>
                    <w:left w:val="nil"/>
                    <w:bottom w:val="nil"/>
                    <w:right w:val="nil"/>
                  </w:tcBorders>
                </w:tcPr>
                <w:p w14:paraId="29B7477A" w14:textId="77777777" w:rsidR="0029427C" w:rsidRPr="00E60C06" w:rsidRDefault="00CD24A0" w:rsidP="00F55F8D">
                  <w:pPr>
                    <w:spacing w:after="0" w:line="259" w:lineRule="auto"/>
                    <w:ind w:left="188" w:right="72" w:firstLine="0"/>
                  </w:pPr>
                  <w:r w:rsidRPr="00E60C06">
                    <w:t xml:space="preserve">Australian Capital Territory </w:t>
                  </w:r>
                </w:p>
              </w:tc>
              <w:tc>
                <w:tcPr>
                  <w:tcW w:w="1546" w:type="dxa"/>
                  <w:tcBorders>
                    <w:top w:val="nil"/>
                    <w:left w:val="nil"/>
                    <w:bottom w:val="nil"/>
                    <w:right w:val="nil"/>
                  </w:tcBorders>
                </w:tcPr>
                <w:p w14:paraId="773DE810" w14:textId="77777777" w:rsidR="0029427C" w:rsidRPr="00E60C06" w:rsidRDefault="00CD24A0" w:rsidP="00F55F8D">
                  <w:pPr>
                    <w:spacing w:after="0" w:line="259" w:lineRule="auto"/>
                    <w:ind w:left="188" w:right="72" w:firstLine="0"/>
                  </w:pPr>
                  <w:r w:rsidRPr="00E60C06">
                    <w:t>2.921</w:t>
                  </w:r>
                </w:p>
              </w:tc>
              <w:tc>
                <w:tcPr>
                  <w:tcW w:w="497" w:type="dxa"/>
                  <w:tcBorders>
                    <w:top w:val="nil"/>
                    <w:left w:val="nil"/>
                    <w:bottom w:val="nil"/>
                    <w:right w:val="nil"/>
                  </w:tcBorders>
                </w:tcPr>
                <w:p w14:paraId="1CFCA3DD" w14:textId="77777777" w:rsidR="0029427C" w:rsidRPr="00E60C06" w:rsidRDefault="00CD24A0" w:rsidP="00F55F8D">
                  <w:pPr>
                    <w:spacing w:after="0" w:line="259" w:lineRule="auto"/>
                    <w:ind w:left="188" w:right="72" w:firstLine="0"/>
                  </w:pPr>
                  <w:r w:rsidRPr="00E60C06">
                    <w:t xml:space="preserve">0 </w:t>
                  </w:r>
                </w:p>
              </w:tc>
              <w:tc>
                <w:tcPr>
                  <w:tcW w:w="1106" w:type="dxa"/>
                  <w:tcBorders>
                    <w:top w:val="nil"/>
                    <w:left w:val="nil"/>
                    <w:bottom w:val="nil"/>
                    <w:right w:val="nil"/>
                  </w:tcBorders>
                </w:tcPr>
                <w:p w14:paraId="232722B0" w14:textId="77777777" w:rsidR="0029427C" w:rsidRPr="00E60C06" w:rsidRDefault="00CD24A0" w:rsidP="00F55F8D">
                  <w:pPr>
                    <w:spacing w:after="0" w:line="259" w:lineRule="auto"/>
                    <w:ind w:left="188" w:right="72" w:firstLine="0"/>
                  </w:pPr>
                  <w:r w:rsidRPr="00E60C06">
                    <w:t>2.214</w:t>
                  </w:r>
                </w:p>
              </w:tc>
              <w:tc>
                <w:tcPr>
                  <w:tcW w:w="1066" w:type="dxa"/>
                  <w:tcBorders>
                    <w:top w:val="nil"/>
                    <w:left w:val="nil"/>
                    <w:bottom w:val="nil"/>
                    <w:right w:val="nil"/>
                  </w:tcBorders>
                </w:tcPr>
                <w:p w14:paraId="2F6A85C4" w14:textId="77777777" w:rsidR="0029427C" w:rsidRPr="00E60C06" w:rsidRDefault="00CD24A0" w:rsidP="00F55F8D">
                  <w:pPr>
                    <w:spacing w:after="0" w:line="259" w:lineRule="auto"/>
                    <w:ind w:left="188" w:right="72" w:firstLine="0"/>
                  </w:pPr>
                  <w:r w:rsidRPr="00E60C06">
                    <w:t xml:space="preserve">2.225 </w:t>
                  </w:r>
                </w:p>
              </w:tc>
              <w:tc>
                <w:tcPr>
                  <w:tcW w:w="775" w:type="dxa"/>
                  <w:tcBorders>
                    <w:top w:val="nil"/>
                    <w:left w:val="nil"/>
                    <w:bottom w:val="nil"/>
                    <w:right w:val="nil"/>
                  </w:tcBorders>
                </w:tcPr>
                <w:p w14:paraId="249A8327" w14:textId="77777777" w:rsidR="0029427C" w:rsidRPr="00E60C06" w:rsidRDefault="00CD24A0" w:rsidP="00363D95">
                  <w:pPr>
                    <w:spacing w:after="0" w:line="259" w:lineRule="auto"/>
                    <w:ind w:left="188" w:right="72" w:firstLine="0"/>
                    <w:jc w:val="center"/>
                  </w:pPr>
                  <w:r w:rsidRPr="00E60C06">
                    <w:t>7.360</w:t>
                  </w:r>
                </w:p>
              </w:tc>
            </w:tr>
            <w:tr w:rsidR="0029427C" w:rsidRPr="00E60C06" w14:paraId="692547F1" w14:textId="77777777">
              <w:trPr>
                <w:trHeight w:val="288"/>
              </w:trPr>
              <w:tc>
                <w:tcPr>
                  <w:tcW w:w="3086" w:type="dxa"/>
                  <w:tcBorders>
                    <w:top w:val="nil"/>
                    <w:left w:val="nil"/>
                    <w:bottom w:val="single" w:sz="8" w:space="0" w:color="000000"/>
                    <w:right w:val="nil"/>
                  </w:tcBorders>
                </w:tcPr>
                <w:p w14:paraId="3EFC0092" w14:textId="77777777" w:rsidR="0029427C" w:rsidRPr="00E60C06" w:rsidRDefault="00CD24A0" w:rsidP="00F55F8D">
                  <w:pPr>
                    <w:spacing w:after="0" w:line="259" w:lineRule="auto"/>
                    <w:ind w:left="188" w:right="72" w:firstLine="0"/>
                  </w:pPr>
                  <w:r w:rsidRPr="00E60C06">
                    <w:t xml:space="preserve">Northern Territory  </w:t>
                  </w:r>
                </w:p>
              </w:tc>
              <w:tc>
                <w:tcPr>
                  <w:tcW w:w="1546" w:type="dxa"/>
                  <w:tcBorders>
                    <w:top w:val="nil"/>
                    <w:left w:val="nil"/>
                    <w:bottom w:val="single" w:sz="8" w:space="0" w:color="000000"/>
                    <w:right w:val="nil"/>
                  </w:tcBorders>
                </w:tcPr>
                <w:p w14:paraId="64AEB329" w14:textId="77777777" w:rsidR="0029427C" w:rsidRPr="00E60C06" w:rsidRDefault="00CD24A0" w:rsidP="00F55F8D">
                  <w:pPr>
                    <w:spacing w:after="0" w:line="259" w:lineRule="auto"/>
                    <w:ind w:left="188" w:right="72" w:firstLine="0"/>
                  </w:pPr>
                  <w:r w:rsidRPr="00E60C06">
                    <w:t>1.586</w:t>
                  </w:r>
                </w:p>
              </w:tc>
              <w:tc>
                <w:tcPr>
                  <w:tcW w:w="497" w:type="dxa"/>
                  <w:tcBorders>
                    <w:top w:val="nil"/>
                    <w:left w:val="nil"/>
                    <w:bottom w:val="single" w:sz="8" w:space="0" w:color="000000"/>
                    <w:right w:val="nil"/>
                  </w:tcBorders>
                </w:tcPr>
                <w:p w14:paraId="1D1C08BC" w14:textId="77777777" w:rsidR="0029427C" w:rsidRPr="00E60C06" w:rsidRDefault="00CD24A0" w:rsidP="00F55F8D">
                  <w:pPr>
                    <w:spacing w:after="0" w:line="259" w:lineRule="auto"/>
                    <w:ind w:left="188" w:right="72" w:firstLine="0"/>
                  </w:pPr>
                  <w:r w:rsidRPr="00E60C06">
                    <w:t xml:space="preserve">0 </w:t>
                  </w:r>
                </w:p>
              </w:tc>
              <w:tc>
                <w:tcPr>
                  <w:tcW w:w="1106" w:type="dxa"/>
                  <w:tcBorders>
                    <w:top w:val="nil"/>
                    <w:left w:val="nil"/>
                    <w:bottom w:val="single" w:sz="8" w:space="0" w:color="000000"/>
                    <w:right w:val="nil"/>
                  </w:tcBorders>
                </w:tcPr>
                <w:p w14:paraId="5787C9CB" w14:textId="77777777" w:rsidR="0029427C" w:rsidRPr="00E60C06" w:rsidRDefault="00CD24A0" w:rsidP="00F55F8D">
                  <w:pPr>
                    <w:spacing w:after="0" w:line="259" w:lineRule="auto"/>
                    <w:ind w:left="188" w:right="72" w:firstLine="0"/>
                  </w:pPr>
                  <w:r w:rsidRPr="00E60C06">
                    <w:t>1.190</w:t>
                  </w:r>
                </w:p>
              </w:tc>
              <w:tc>
                <w:tcPr>
                  <w:tcW w:w="1066" w:type="dxa"/>
                  <w:tcBorders>
                    <w:top w:val="nil"/>
                    <w:left w:val="nil"/>
                    <w:bottom w:val="single" w:sz="8" w:space="0" w:color="000000"/>
                    <w:right w:val="nil"/>
                  </w:tcBorders>
                </w:tcPr>
                <w:p w14:paraId="0F55651D" w14:textId="77777777" w:rsidR="0029427C" w:rsidRPr="00E60C06" w:rsidRDefault="00CD24A0" w:rsidP="00F55F8D">
                  <w:pPr>
                    <w:spacing w:after="0" w:line="259" w:lineRule="auto"/>
                    <w:ind w:left="188" w:right="72" w:firstLine="0"/>
                  </w:pPr>
                  <w:r w:rsidRPr="00E60C06">
                    <w:t xml:space="preserve">1.190 </w:t>
                  </w:r>
                </w:p>
              </w:tc>
              <w:tc>
                <w:tcPr>
                  <w:tcW w:w="775" w:type="dxa"/>
                  <w:tcBorders>
                    <w:top w:val="nil"/>
                    <w:left w:val="nil"/>
                    <w:bottom w:val="single" w:sz="4" w:space="0" w:color="000000"/>
                    <w:right w:val="nil"/>
                  </w:tcBorders>
                </w:tcPr>
                <w:p w14:paraId="5A14C062" w14:textId="77777777" w:rsidR="0029427C" w:rsidRPr="00E60C06" w:rsidRDefault="00CD24A0" w:rsidP="00F55F8D">
                  <w:pPr>
                    <w:spacing w:after="0" w:line="259" w:lineRule="auto"/>
                    <w:ind w:left="188" w:right="72" w:firstLine="0"/>
                    <w:jc w:val="right"/>
                  </w:pPr>
                  <w:r w:rsidRPr="00E60C06">
                    <w:t>3.966</w:t>
                  </w:r>
                </w:p>
              </w:tc>
            </w:tr>
          </w:tbl>
          <w:p w14:paraId="5645C84F" w14:textId="77777777" w:rsidR="0029427C" w:rsidRPr="00E60C06" w:rsidRDefault="00CD24A0" w:rsidP="00F55F8D">
            <w:pPr>
              <w:spacing w:after="0" w:line="259" w:lineRule="auto"/>
              <w:ind w:left="188" w:right="72" w:firstLine="0"/>
            </w:pPr>
            <w:r w:rsidRPr="00E60C06">
              <w:rPr>
                <w:sz w:val="16"/>
              </w:rPr>
              <w:t>Source: Calculation based on state population projections of 2023-24 Commonwealth Budget.</w:t>
            </w:r>
            <w:r w:rsidRPr="00E60C06">
              <w:t xml:space="preserve"> </w:t>
            </w:r>
          </w:p>
          <w:p w14:paraId="4E225DC8" w14:textId="77777777" w:rsidR="0029427C" w:rsidRPr="00E60C06" w:rsidRDefault="00CD24A0" w:rsidP="00F55F8D">
            <w:pPr>
              <w:spacing w:after="0" w:line="259" w:lineRule="auto"/>
              <w:ind w:left="188" w:right="72" w:firstLine="0"/>
              <w:jc w:val="right"/>
            </w:pPr>
            <w:r w:rsidRPr="00E60C06">
              <w:rPr>
                <w:sz w:val="18"/>
              </w:rPr>
              <w:lastRenderedPageBreak/>
              <w:t xml:space="preserve"> </w:t>
            </w:r>
          </w:p>
          <w:p w14:paraId="7260E792" w14:textId="1380C294" w:rsidR="0029427C" w:rsidRPr="00E60C06" w:rsidRDefault="00CD24A0" w:rsidP="00956552">
            <w:pPr>
              <w:tabs>
                <w:tab w:val="center" w:pos="1668"/>
                <w:tab w:val="center" w:pos="5035"/>
                <w:tab w:val="center" w:pos="6360"/>
                <w:tab w:val="center" w:pos="7684"/>
              </w:tabs>
              <w:spacing w:after="93" w:line="259" w:lineRule="auto"/>
              <w:ind w:left="76" w:right="72" w:firstLine="0"/>
              <w:rPr>
                <w:rFonts w:eastAsia="Corbel"/>
              </w:rPr>
            </w:pPr>
            <w:r w:rsidRPr="00E60C06">
              <w:rPr>
                <w:rFonts w:eastAsia="Corbel"/>
                <w:sz w:val="4"/>
              </w:rPr>
              <w:t xml:space="preserve"> </w:t>
            </w:r>
            <w:r w:rsidRPr="00E60C06">
              <w:t>Payments are to be made in accordance with Part 2: Performance Milestones and Payment Summary for FFTT2.</w:t>
            </w:r>
            <w:r w:rsidRPr="00E60C06">
              <w:rPr>
                <w:rFonts w:eastAsia="Corbel"/>
              </w:rPr>
              <w:t xml:space="preserve">  </w:t>
            </w:r>
          </w:p>
          <w:p w14:paraId="4D4613F3" w14:textId="32CBA3A3" w:rsidR="007E2CA3" w:rsidRPr="00E60C06" w:rsidRDefault="5B448640" w:rsidP="00956552">
            <w:pPr>
              <w:spacing w:after="79" w:line="239" w:lineRule="auto"/>
              <w:ind w:left="76" w:right="72" w:firstLine="0"/>
            </w:pPr>
            <w:r w:rsidRPr="00E60C06">
              <w:t>The Commonwealth will provide an estimated total financial contribution to the States for Fee-Free Construction of $</w:t>
            </w:r>
            <w:r w:rsidR="3ABBFFCB" w:rsidRPr="00E60C06">
              <w:t>86.4</w:t>
            </w:r>
            <w:r w:rsidRPr="00E60C06">
              <w:t xml:space="preserve"> million in respect of Table 1b and Appendix </w:t>
            </w:r>
            <w:r w:rsidR="001066BD" w:rsidRPr="00E60C06">
              <w:t>G</w:t>
            </w:r>
            <w:r w:rsidR="30E54FE5" w:rsidRPr="00E60C06">
              <w:t xml:space="preserve"> for delivery across </w:t>
            </w:r>
            <w:r w:rsidR="5DC2D36A" w:rsidRPr="00E60C06">
              <w:t xml:space="preserve">the </w:t>
            </w:r>
            <w:r w:rsidR="30E54FE5" w:rsidRPr="00E60C06">
              <w:t>2025 and 2026</w:t>
            </w:r>
            <w:r w:rsidR="00883D02" w:rsidRPr="00E60C06">
              <w:t xml:space="preserve"> calendar years</w:t>
            </w:r>
            <w:r w:rsidRPr="00E60C06">
              <w:t>.</w:t>
            </w:r>
          </w:p>
          <w:p w14:paraId="0A2450BF" w14:textId="07F4EA31" w:rsidR="406DD646" w:rsidRPr="00E60C06" w:rsidRDefault="006414F9" w:rsidP="00956552">
            <w:pPr>
              <w:widowControl w:val="0"/>
              <w:adjustRightInd w:val="0"/>
              <w:spacing w:line="260" w:lineRule="exact"/>
              <w:ind w:left="76" w:right="72" w:firstLine="0"/>
              <w:textAlignment w:val="baseline"/>
              <w:rPr>
                <w:rFonts w:eastAsia="Corbel"/>
              </w:rPr>
            </w:pPr>
            <w:r w:rsidRPr="00E60C06">
              <w:rPr>
                <w:rFonts w:eastAsia="Corbel"/>
              </w:rPr>
              <w:t>Table 1b</w:t>
            </w:r>
            <w:r w:rsidR="00AB115E" w:rsidRPr="00E60C06">
              <w:rPr>
                <w:rFonts w:eastAsia="Corbel"/>
              </w:rPr>
              <w:t>:</w:t>
            </w:r>
            <w:r w:rsidRPr="00E60C06">
              <w:rPr>
                <w:rFonts w:eastAsia="Corbel"/>
              </w:rPr>
              <w:t xml:space="preserve"> Funding for </w:t>
            </w:r>
            <w:r w:rsidR="00F80A2A" w:rsidRPr="00E60C06">
              <w:rPr>
                <w:rFonts w:eastAsia="Corbel"/>
              </w:rPr>
              <w:t>20</w:t>
            </w:r>
            <w:r w:rsidRPr="00E60C06">
              <w:rPr>
                <w:rFonts w:eastAsia="Corbel"/>
              </w:rPr>
              <w:t>,000 Fee-Free places in construction</w:t>
            </w:r>
            <w:r w:rsidR="00F80A2A" w:rsidRPr="00E60C06">
              <w:rPr>
                <w:rFonts w:eastAsia="Corbel"/>
              </w:rPr>
              <w:t>, including up to 5,000 pre-apprenticeships</w:t>
            </w:r>
            <w:r w:rsidR="00BD5E8D" w:rsidRPr="00E60C06">
              <w:rPr>
                <w:rFonts w:eastAsia="Corbel"/>
              </w:rPr>
              <w:t xml:space="preserve"> (Appendix </w:t>
            </w:r>
            <w:r w:rsidR="001066BD" w:rsidRPr="00E60C06">
              <w:rPr>
                <w:rFonts w:eastAsia="Corbel"/>
              </w:rPr>
              <w:t>G</w:t>
            </w:r>
            <w:r w:rsidR="00BD5E8D" w:rsidRPr="00E60C06">
              <w:rPr>
                <w:rFonts w:eastAsia="Corbel"/>
              </w:rPr>
              <w:t xml:space="preserve"> refers)</w:t>
            </w:r>
          </w:p>
          <w:p w14:paraId="36FDC3D5" w14:textId="63F67BD8" w:rsidR="006C6E77" w:rsidRPr="00E60C06" w:rsidRDefault="006C6E77" w:rsidP="464B8A14">
            <w:pPr>
              <w:widowControl w:val="0"/>
              <w:adjustRightInd w:val="0"/>
              <w:spacing w:line="260" w:lineRule="exact"/>
              <w:ind w:left="76" w:right="72" w:firstLine="0"/>
              <w:textAlignment w:val="baseline"/>
              <w:rPr>
                <w:rFonts w:eastAsia="Corbel"/>
                <w:i/>
                <w:iCs/>
                <w:color w:val="FF0000"/>
              </w:rPr>
            </w:pPr>
          </w:p>
          <w:tbl>
            <w:tblPr>
              <w:tblW w:w="6827" w:type="dxa"/>
              <w:tblCellMar>
                <w:top w:w="15" w:type="dxa"/>
                <w:bottom w:w="15" w:type="dxa"/>
              </w:tblCellMar>
              <w:tblLook w:val="04A0" w:firstRow="1" w:lastRow="0" w:firstColumn="1" w:lastColumn="0" w:noHBand="0" w:noVBand="1"/>
            </w:tblPr>
            <w:tblGrid>
              <w:gridCol w:w="2835"/>
              <w:gridCol w:w="1248"/>
              <w:gridCol w:w="1372"/>
              <w:gridCol w:w="1372"/>
            </w:tblGrid>
            <w:tr w:rsidR="006104BB" w:rsidRPr="00E60C06" w14:paraId="2B460277" w14:textId="77777777" w:rsidTr="52D74309">
              <w:trPr>
                <w:trHeight w:val="270"/>
              </w:trPr>
              <w:tc>
                <w:tcPr>
                  <w:tcW w:w="2835" w:type="dxa"/>
                  <w:tcBorders>
                    <w:bottom w:val="single" w:sz="4" w:space="0" w:color="auto"/>
                  </w:tcBorders>
                  <w:shd w:val="clear" w:color="auto" w:fill="auto"/>
                  <w:noWrap/>
                  <w:vAlign w:val="center"/>
                  <w:hideMark/>
                </w:tcPr>
                <w:p w14:paraId="7F48124B" w14:textId="77777777" w:rsidR="006104BB" w:rsidRPr="00E60C06" w:rsidRDefault="006104BB" w:rsidP="00F55F8D">
                  <w:pPr>
                    <w:spacing w:after="0" w:line="240" w:lineRule="auto"/>
                    <w:ind w:left="188" w:right="72" w:hanging="101"/>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 million)</w:t>
                  </w:r>
                </w:p>
              </w:tc>
              <w:tc>
                <w:tcPr>
                  <w:tcW w:w="1248" w:type="dxa"/>
                  <w:tcBorders>
                    <w:bottom w:val="single" w:sz="4" w:space="0" w:color="auto"/>
                  </w:tcBorders>
                  <w:shd w:val="clear" w:color="auto" w:fill="auto"/>
                  <w:vAlign w:val="bottom"/>
                  <w:hideMark/>
                </w:tcPr>
                <w:p w14:paraId="0AF2BBD7" w14:textId="4D45D1BF" w:rsidR="006104BB" w:rsidRPr="00E60C06" w:rsidRDefault="006104BB" w:rsidP="00F55F8D">
                  <w:pPr>
                    <w:spacing w:after="0" w:line="240" w:lineRule="auto"/>
                    <w:ind w:left="188" w:right="72"/>
                    <w:jc w:val="center"/>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2024-25</w:t>
                  </w:r>
                </w:p>
              </w:tc>
              <w:tc>
                <w:tcPr>
                  <w:tcW w:w="1372" w:type="dxa"/>
                  <w:tcBorders>
                    <w:bottom w:val="single" w:sz="4" w:space="0" w:color="auto"/>
                  </w:tcBorders>
                  <w:shd w:val="clear" w:color="auto" w:fill="auto"/>
                  <w:vAlign w:val="bottom"/>
                  <w:hideMark/>
                </w:tcPr>
                <w:p w14:paraId="1D1CCC7F" w14:textId="77777777" w:rsidR="006104BB" w:rsidRPr="00E60C06" w:rsidRDefault="006104BB" w:rsidP="00F55F8D">
                  <w:pPr>
                    <w:spacing w:after="0" w:line="240" w:lineRule="auto"/>
                    <w:ind w:left="188" w:right="72"/>
                    <w:jc w:val="center"/>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2025-26</w:t>
                  </w:r>
                </w:p>
              </w:tc>
              <w:tc>
                <w:tcPr>
                  <w:tcW w:w="1372" w:type="dxa"/>
                  <w:tcBorders>
                    <w:bottom w:val="single" w:sz="4" w:space="0" w:color="auto"/>
                  </w:tcBorders>
                  <w:shd w:val="clear" w:color="auto" w:fill="auto"/>
                  <w:vAlign w:val="bottom"/>
                  <w:hideMark/>
                </w:tcPr>
                <w:p w14:paraId="0151696C" w14:textId="77777777" w:rsidR="006104BB" w:rsidRPr="00E60C06" w:rsidRDefault="006104BB" w:rsidP="00F55F8D">
                  <w:pPr>
                    <w:spacing w:after="0" w:line="240" w:lineRule="auto"/>
                    <w:ind w:left="188" w:right="72"/>
                    <w:jc w:val="center"/>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Total</w:t>
                  </w:r>
                </w:p>
              </w:tc>
            </w:tr>
            <w:tr w:rsidR="006104BB" w:rsidRPr="00E60C06" w14:paraId="68E66972" w14:textId="77777777" w:rsidTr="52D74309">
              <w:trPr>
                <w:trHeight w:val="255"/>
              </w:trPr>
              <w:tc>
                <w:tcPr>
                  <w:tcW w:w="2835" w:type="dxa"/>
                  <w:tcBorders>
                    <w:top w:val="single" w:sz="4" w:space="0" w:color="auto"/>
                  </w:tcBorders>
                  <w:shd w:val="clear" w:color="auto" w:fill="FFFFFF" w:themeFill="background1"/>
                  <w:noWrap/>
                  <w:vAlign w:val="center"/>
                  <w:hideMark/>
                </w:tcPr>
                <w:p w14:paraId="37D96BD8" w14:textId="77777777" w:rsidR="006104BB" w:rsidRPr="00E60C06" w:rsidRDefault="006104BB" w:rsidP="00F55F8D">
                  <w:pPr>
                    <w:spacing w:after="0" w:line="240" w:lineRule="auto"/>
                    <w:ind w:left="188" w:right="72" w:hanging="101"/>
                    <w:rPr>
                      <w:rFonts w:eastAsia="Times New Roman"/>
                      <w:b/>
                      <w:kern w:val="0"/>
                      <w:szCs w:val="22"/>
                      <w14:ligatures w14:val="none"/>
                    </w:rPr>
                  </w:pPr>
                  <w:r w:rsidRPr="00E60C06">
                    <w:rPr>
                      <w:rFonts w:eastAsia="Times New Roman"/>
                      <w:b/>
                      <w:kern w:val="0"/>
                      <w:szCs w:val="22"/>
                      <w14:ligatures w14:val="none"/>
                    </w:rPr>
                    <w:t>Estimated Total Budget</w:t>
                  </w:r>
                </w:p>
              </w:tc>
              <w:tc>
                <w:tcPr>
                  <w:tcW w:w="1248" w:type="dxa"/>
                  <w:tcBorders>
                    <w:top w:val="single" w:sz="4" w:space="0" w:color="auto"/>
                    <w:bottom w:val="single" w:sz="4" w:space="0" w:color="auto"/>
                  </w:tcBorders>
                  <w:noWrap/>
                  <w:vAlign w:val="bottom"/>
                  <w:hideMark/>
                </w:tcPr>
                <w:p w14:paraId="2B0B0FEE" w14:textId="77777777" w:rsidR="006104BB" w:rsidRPr="00E60C06" w:rsidRDefault="006104BB" w:rsidP="00F55F8D">
                  <w:pPr>
                    <w:spacing w:after="0" w:line="240" w:lineRule="auto"/>
                    <w:ind w:left="188" w:right="72"/>
                    <w:jc w:val="center"/>
                    <w:rPr>
                      <w:rFonts w:eastAsia="Times New Roman"/>
                      <w:b/>
                      <w:kern w:val="0"/>
                      <w:szCs w:val="22"/>
                      <w14:ligatures w14:val="none"/>
                    </w:rPr>
                  </w:pPr>
                  <w:r w:rsidRPr="00E60C06">
                    <w:rPr>
                      <w:rFonts w:eastAsia="Times New Roman"/>
                      <w:b/>
                      <w:kern w:val="0"/>
                      <w:szCs w:val="22"/>
                      <w14:ligatures w14:val="none"/>
                    </w:rPr>
                    <w:t>39.404</w:t>
                  </w:r>
                </w:p>
              </w:tc>
              <w:tc>
                <w:tcPr>
                  <w:tcW w:w="1372" w:type="dxa"/>
                  <w:tcBorders>
                    <w:top w:val="single" w:sz="4" w:space="0" w:color="auto"/>
                    <w:bottom w:val="single" w:sz="4" w:space="0" w:color="auto"/>
                  </w:tcBorders>
                  <w:noWrap/>
                  <w:vAlign w:val="bottom"/>
                  <w:hideMark/>
                </w:tcPr>
                <w:p w14:paraId="626EE025" w14:textId="77777777" w:rsidR="006104BB" w:rsidRPr="00E60C06" w:rsidRDefault="006104BB" w:rsidP="00F55F8D">
                  <w:pPr>
                    <w:spacing w:after="0" w:line="240" w:lineRule="auto"/>
                    <w:ind w:left="188" w:right="72"/>
                    <w:jc w:val="center"/>
                    <w:rPr>
                      <w:rFonts w:eastAsia="Times New Roman"/>
                      <w:b/>
                      <w:kern w:val="0"/>
                      <w:szCs w:val="22"/>
                      <w14:ligatures w14:val="none"/>
                    </w:rPr>
                  </w:pPr>
                  <w:r w:rsidRPr="00E60C06">
                    <w:rPr>
                      <w:rFonts w:eastAsia="Times New Roman"/>
                      <w:b/>
                      <w:kern w:val="0"/>
                      <w:szCs w:val="22"/>
                      <w14:ligatures w14:val="none"/>
                    </w:rPr>
                    <w:t>39.404</w:t>
                  </w:r>
                </w:p>
              </w:tc>
              <w:tc>
                <w:tcPr>
                  <w:tcW w:w="1372" w:type="dxa"/>
                  <w:tcBorders>
                    <w:top w:val="single" w:sz="4" w:space="0" w:color="auto"/>
                    <w:bottom w:val="single" w:sz="4" w:space="0" w:color="auto"/>
                  </w:tcBorders>
                  <w:noWrap/>
                  <w:vAlign w:val="bottom"/>
                  <w:hideMark/>
                </w:tcPr>
                <w:p w14:paraId="73FDC11D" w14:textId="77777777" w:rsidR="006104BB" w:rsidRPr="00E60C06" w:rsidRDefault="006104BB" w:rsidP="00F55F8D">
                  <w:pPr>
                    <w:spacing w:after="0" w:line="240" w:lineRule="auto"/>
                    <w:ind w:left="188" w:right="72"/>
                    <w:jc w:val="center"/>
                    <w:rPr>
                      <w:rFonts w:eastAsia="Times New Roman"/>
                      <w:b/>
                      <w:kern w:val="0"/>
                      <w:szCs w:val="22"/>
                      <w14:ligatures w14:val="none"/>
                    </w:rPr>
                  </w:pPr>
                  <w:r w:rsidRPr="00E60C06">
                    <w:rPr>
                      <w:rFonts w:eastAsia="Times New Roman"/>
                      <w:b/>
                      <w:kern w:val="0"/>
                      <w:szCs w:val="22"/>
                      <w14:ligatures w14:val="none"/>
                    </w:rPr>
                    <w:t>78.808</w:t>
                  </w:r>
                </w:p>
              </w:tc>
            </w:tr>
            <w:tr w:rsidR="006104BB" w:rsidRPr="00E60C06" w14:paraId="604A4147" w14:textId="77777777" w:rsidTr="52D74309">
              <w:trPr>
                <w:trHeight w:val="255"/>
              </w:trPr>
              <w:tc>
                <w:tcPr>
                  <w:tcW w:w="2835" w:type="dxa"/>
                  <w:noWrap/>
                  <w:vAlign w:val="bottom"/>
                  <w:hideMark/>
                </w:tcPr>
                <w:p w14:paraId="6A683A9D"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New South Wales</w:t>
                  </w:r>
                </w:p>
              </w:tc>
              <w:tc>
                <w:tcPr>
                  <w:tcW w:w="1248" w:type="dxa"/>
                  <w:tcBorders>
                    <w:top w:val="single" w:sz="4" w:space="0" w:color="auto"/>
                  </w:tcBorders>
                  <w:noWrap/>
                  <w:vAlign w:val="bottom"/>
                  <w:hideMark/>
                </w:tcPr>
                <w:p w14:paraId="3B9D9112"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12.312</w:t>
                  </w:r>
                </w:p>
              </w:tc>
              <w:tc>
                <w:tcPr>
                  <w:tcW w:w="1372" w:type="dxa"/>
                  <w:tcBorders>
                    <w:top w:val="single" w:sz="4" w:space="0" w:color="auto"/>
                  </w:tcBorders>
                  <w:noWrap/>
                  <w:vAlign w:val="bottom"/>
                  <w:hideMark/>
                </w:tcPr>
                <w:p w14:paraId="26D338EE"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12.305</w:t>
                  </w:r>
                </w:p>
              </w:tc>
              <w:tc>
                <w:tcPr>
                  <w:tcW w:w="1372" w:type="dxa"/>
                  <w:tcBorders>
                    <w:top w:val="single" w:sz="4" w:space="0" w:color="auto"/>
                  </w:tcBorders>
                  <w:noWrap/>
                  <w:vAlign w:val="bottom"/>
                  <w:hideMark/>
                </w:tcPr>
                <w:p w14:paraId="61C1BBB0"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24.616</w:t>
                  </w:r>
                </w:p>
              </w:tc>
            </w:tr>
            <w:tr w:rsidR="006104BB" w:rsidRPr="00E60C06" w14:paraId="4F172630" w14:textId="77777777" w:rsidTr="52D74309">
              <w:trPr>
                <w:trHeight w:val="255"/>
              </w:trPr>
              <w:tc>
                <w:tcPr>
                  <w:tcW w:w="2835" w:type="dxa"/>
                  <w:noWrap/>
                  <w:vAlign w:val="bottom"/>
                  <w:hideMark/>
                </w:tcPr>
                <w:p w14:paraId="1BB721AE"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Victoria</w:t>
                  </w:r>
                </w:p>
              </w:tc>
              <w:tc>
                <w:tcPr>
                  <w:tcW w:w="1248" w:type="dxa"/>
                  <w:noWrap/>
                  <w:vAlign w:val="bottom"/>
                  <w:hideMark/>
                </w:tcPr>
                <w:p w14:paraId="5B93BE5E"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10.126</w:t>
                  </w:r>
                </w:p>
              </w:tc>
              <w:tc>
                <w:tcPr>
                  <w:tcW w:w="1372" w:type="dxa"/>
                  <w:noWrap/>
                  <w:vAlign w:val="bottom"/>
                  <w:hideMark/>
                </w:tcPr>
                <w:p w14:paraId="4DFAF1CA"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10.161</w:t>
                  </w:r>
                </w:p>
              </w:tc>
              <w:tc>
                <w:tcPr>
                  <w:tcW w:w="1372" w:type="dxa"/>
                  <w:noWrap/>
                  <w:vAlign w:val="bottom"/>
                  <w:hideMark/>
                </w:tcPr>
                <w:p w14:paraId="30D74FA4"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20.287</w:t>
                  </w:r>
                </w:p>
              </w:tc>
            </w:tr>
            <w:tr w:rsidR="006104BB" w:rsidRPr="00E60C06" w14:paraId="3E87587B" w14:textId="77777777" w:rsidTr="52D74309">
              <w:trPr>
                <w:trHeight w:val="255"/>
              </w:trPr>
              <w:tc>
                <w:tcPr>
                  <w:tcW w:w="2835" w:type="dxa"/>
                  <w:noWrap/>
                  <w:vAlign w:val="bottom"/>
                  <w:hideMark/>
                </w:tcPr>
                <w:p w14:paraId="4620D096"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Queensland</w:t>
                  </w:r>
                </w:p>
              </w:tc>
              <w:tc>
                <w:tcPr>
                  <w:tcW w:w="1248" w:type="dxa"/>
                  <w:noWrap/>
                  <w:vAlign w:val="bottom"/>
                  <w:hideMark/>
                </w:tcPr>
                <w:p w14:paraId="73EED977"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8.093</w:t>
                  </w:r>
                </w:p>
              </w:tc>
              <w:tc>
                <w:tcPr>
                  <w:tcW w:w="1372" w:type="dxa"/>
                  <w:noWrap/>
                  <w:vAlign w:val="bottom"/>
                  <w:hideMark/>
                </w:tcPr>
                <w:p w14:paraId="2D19954E"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8.098</w:t>
                  </w:r>
                </w:p>
              </w:tc>
              <w:tc>
                <w:tcPr>
                  <w:tcW w:w="1372" w:type="dxa"/>
                  <w:noWrap/>
                  <w:vAlign w:val="bottom"/>
                  <w:hideMark/>
                </w:tcPr>
                <w:p w14:paraId="0C128BBC"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16.191</w:t>
                  </w:r>
                </w:p>
              </w:tc>
            </w:tr>
            <w:tr w:rsidR="006104BB" w:rsidRPr="00E60C06" w14:paraId="661B1C9B" w14:textId="77777777" w:rsidTr="52D74309">
              <w:trPr>
                <w:trHeight w:val="255"/>
              </w:trPr>
              <w:tc>
                <w:tcPr>
                  <w:tcW w:w="2835" w:type="dxa"/>
                  <w:noWrap/>
                  <w:vAlign w:val="bottom"/>
                  <w:hideMark/>
                </w:tcPr>
                <w:p w14:paraId="695A2E76"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Western Australia</w:t>
                  </w:r>
                </w:p>
              </w:tc>
              <w:tc>
                <w:tcPr>
                  <w:tcW w:w="1248" w:type="dxa"/>
                  <w:noWrap/>
                  <w:vAlign w:val="bottom"/>
                  <w:hideMark/>
                </w:tcPr>
                <w:p w14:paraId="43B56585"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4.282</w:t>
                  </w:r>
                </w:p>
              </w:tc>
              <w:tc>
                <w:tcPr>
                  <w:tcW w:w="1372" w:type="dxa"/>
                  <w:noWrap/>
                  <w:vAlign w:val="bottom"/>
                  <w:hideMark/>
                </w:tcPr>
                <w:p w14:paraId="21047470"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4.277</w:t>
                  </w:r>
                </w:p>
              </w:tc>
              <w:tc>
                <w:tcPr>
                  <w:tcW w:w="1372" w:type="dxa"/>
                  <w:noWrap/>
                  <w:vAlign w:val="bottom"/>
                  <w:hideMark/>
                </w:tcPr>
                <w:p w14:paraId="194E262C"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8.559</w:t>
                  </w:r>
                </w:p>
              </w:tc>
            </w:tr>
            <w:tr w:rsidR="006104BB" w:rsidRPr="00E60C06" w14:paraId="1CDDEB42" w14:textId="77777777" w:rsidTr="52D74309">
              <w:trPr>
                <w:trHeight w:val="255"/>
              </w:trPr>
              <w:tc>
                <w:tcPr>
                  <w:tcW w:w="2835" w:type="dxa"/>
                  <w:noWrap/>
                  <w:vAlign w:val="bottom"/>
                  <w:hideMark/>
                </w:tcPr>
                <w:p w14:paraId="3925501C"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South Australia</w:t>
                  </w:r>
                </w:p>
              </w:tc>
              <w:tc>
                <w:tcPr>
                  <w:tcW w:w="1248" w:type="dxa"/>
                  <w:noWrap/>
                  <w:vAlign w:val="bottom"/>
                  <w:hideMark/>
                </w:tcPr>
                <w:p w14:paraId="677F07EE"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2.710</w:t>
                  </w:r>
                </w:p>
              </w:tc>
              <w:tc>
                <w:tcPr>
                  <w:tcW w:w="1372" w:type="dxa"/>
                  <w:noWrap/>
                  <w:vAlign w:val="bottom"/>
                  <w:hideMark/>
                </w:tcPr>
                <w:p w14:paraId="0F60136D"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2.692</w:t>
                  </w:r>
                </w:p>
              </w:tc>
              <w:tc>
                <w:tcPr>
                  <w:tcW w:w="1372" w:type="dxa"/>
                  <w:noWrap/>
                  <w:vAlign w:val="bottom"/>
                  <w:hideMark/>
                </w:tcPr>
                <w:p w14:paraId="70202951"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5.402</w:t>
                  </w:r>
                </w:p>
              </w:tc>
            </w:tr>
            <w:tr w:rsidR="006104BB" w:rsidRPr="00E60C06" w14:paraId="7CC9B653" w14:textId="77777777" w:rsidTr="52D74309">
              <w:trPr>
                <w:trHeight w:val="255"/>
              </w:trPr>
              <w:tc>
                <w:tcPr>
                  <w:tcW w:w="2835" w:type="dxa"/>
                  <w:noWrap/>
                  <w:vAlign w:val="bottom"/>
                  <w:hideMark/>
                </w:tcPr>
                <w:p w14:paraId="08970CEF"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Tasmania</w:t>
                  </w:r>
                </w:p>
              </w:tc>
              <w:tc>
                <w:tcPr>
                  <w:tcW w:w="1248" w:type="dxa"/>
                  <w:noWrap/>
                  <w:vAlign w:val="bottom"/>
                  <w:hideMark/>
                </w:tcPr>
                <w:p w14:paraId="25D7EB04"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0.828</w:t>
                  </w:r>
                </w:p>
              </w:tc>
              <w:tc>
                <w:tcPr>
                  <w:tcW w:w="1372" w:type="dxa"/>
                  <w:noWrap/>
                  <w:vAlign w:val="bottom"/>
                  <w:hideMark/>
                </w:tcPr>
                <w:p w14:paraId="675FC926"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0.820</w:t>
                  </w:r>
                </w:p>
              </w:tc>
              <w:tc>
                <w:tcPr>
                  <w:tcW w:w="1372" w:type="dxa"/>
                  <w:noWrap/>
                  <w:vAlign w:val="bottom"/>
                  <w:hideMark/>
                </w:tcPr>
                <w:p w14:paraId="0DB8921A"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1.647</w:t>
                  </w:r>
                </w:p>
              </w:tc>
            </w:tr>
            <w:tr w:rsidR="006104BB" w:rsidRPr="00E60C06" w14:paraId="7121D089" w14:textId="77777777" w:rsidTr="52D74309">
              <w:trPr>
                <w:trHeight w:val="255"/>
              </w:trPr>
              <w:tc>
                <w:tcPr>
                  <w:tcW w:w="2835" w:type="dxa"/>
                  <w:noWrap/>
                  <w:vAlign w:val="bottom"/>
                  <w:hideMark/>
                </w:tcPr>
                <w:p w14:paraId="616487E9"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Australian Capital Territory</w:t>
                  </w:r>
                </w:p>
              </w:tc>
              <w:tc>
                <w:tcPr>
                  <w:tcW w:w="1248" w:type="dxa"/>
                  <w:noWrap/>
                  <w:vAlign w:val="bottom"/>
                  <w:hideMark/>
                </w:tcPr>
                <w:p w14:paraId="68BED5ED"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0.688</w:t>
                  </w:r>
                </w:p>
              </w:tc>
              <w:tc>
                <w:tcPr>
                  <w:tcW w:w="1372" w:type="dxa"/>
                  <w:noWrap/>
                  <w:vAlign w:val="bottom"/>
                  <w:hideMark/>
                </w:tcPr>
                <w:p w14:paraId="7C21CE98"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0.689</w:t>
                  </w:r>
                </w:p>
              </w:tc>
              <w:tc>
                <w:tcPr>
                  <w:tcW w:w="1372" w:type="dxa"/>
                  <w:noWrap/>
                  <w:vAlign w:val="bottom"/>
                  <w:hideMark/>
                </w:tcPr>
                <w:p w14:paraId="62D71A88"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1.376</w:t>
                  </w:r>
                </w:p>
              </w:tc>
            </w:tr>
            <w:tr w:rsidR="006104BB" w:rsidRPr="00E60C06" w14:paraId="44698384" w14:textId="77777777" w:rsidTr="52D74309">
              <w:trPr>
                <w:trHeight w:val="255"/>
              </w:trPr>
              <w:tc>
                <w:tcPr>
                  <w:tcW w:w="2835" w:type="dxa"/>
                  <w:tcBorders>
                    <w:bottom w:val="single" w:sz="4" w:space="0" w:color="auto"/>
                  </w:tcBorders>
                  <w:noWrap/>
                  <w:vAlign w:val="bottom"/>
                  <w:hideMark/>
                </w:tcPr>
                <w:p w14:paraId="3949FEA6" w14:textId="77777777" w:rsidR="006104BB" w:rsidRPr="00E60C06" w:rsidRDefault="006104BB" w:rsidP="00F55F8D">
                  <w:pPr>
                    <w:spacing w:after="0" w:line="240" w:lineRule="auto"/>
                    <w:ind w:left="188" w:right="72" w:hanging="101"/>
                    <w:rPr>
                      <w:rFonts w:eastAsia="Times New Roman"/>
                      <w:kern w:val="0"/>
                      <w:szCs w:val="22"/>
                      <w14:ligatures w14:val="none"/>
                    </w:rPr>
                  </w:pPr>
                  <w:r w:rsidRPr="00E60C06">
                    <w:rPr>
                      <w:rFonts w:eastAsia="Times New Roman"/>
                      <w:kern w:val="0"/>
                      <w:szCs w:val="22"/>
                      <w14:ligatures w14:val="none"/>
                    </w:rPr>
                    <w:t>Northern Territory</w:t>
                  </w:r>
                </w:p>
              </w:tc>
              <w:tc>
                <w:tcPr>
                  <w:tcW w:w="1248" w:type="dxa"/>
                  <w:tcBorders>
                    <w:bottom w:val="single" w:sz="4" w:space="0" w:color="auto"/>
                  </w:tcBorders>
                  <w:noWrap/>
                  <w:vAlign w:val="bottom"/>
                  <w:hideMark/>
                </w:tcPr>
                <w:p w14:paraId="66BAE8EA"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0.366</w:t>
                  </w:r>
                </w:p>
              </w:tc>
              <w:tc>
                <w:tcPr>
                  <w:tcW w:w="1372" w:type="dxa"/>
                  <w:tcBorders>
                    <w:bottom w:val="single" w:sz="4" w:space="0" w:color="auto"/>
                  </w:tcBorders>
                  <w:noWrap/>
                  <w:vAlign w:val="bottom"/>
                  <w:hideMark/>
                </w:tcPr>
                <w:p w14:paraId="2B864535"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0.363</w:t>
                  </w:r>
                </w:p>
              </w:tc>
              <w:tc>
                <w:tcPr>
                  <w:tcW w:w="1372" w:type="dxa"/>
                  <w:tcBorders>
                    <w:bottom w:val="single" w:sz="4" w:space="0" w:color="auto"/>
                  </w:tcBorders>
                  <w:noWrap/>
                  <w:vAlign w:val="bottom"/>
                  <w:hideMark/>
                </w:tcPr>
                <w:p w14:paraId="4C070577" w14:textId="77777777" w:rsidR="006104BB" w:rsidRPr="00E60C06" w:rsidRDefault="006104BB"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0.729</w:t>
                  </w:r>
                </w:p>
              </w:tc>
            </w:tr>
          </w:tbl>
          <w:p w14:paraId="7171D169" w14:textId="05D1CDC4" w:rsidR="00DB22E4" w:rsidRPr="00E60C06" w:rsidRDefault="00DB22E4" w:rsidP="00F55F8D">
            <w:pPr>
              <w:ind w:left="188" w:right="72" w:firstLine="0"/>
              <w:rPr>
                <w:rStyle w:val="normaltextrun"/>
                <w:rFonts w:cstheme="minorBidi"/>
                <w:sz w:val="16"/>
                <w:szCs w:val="16"/>
              </w:rPr>
            </w:pPr>
            <w:r w:rsidRPr="00E60C06">
              <w:rPr>
                <w:rStyle w:val="normaltextrun"/>
                <w:rFonts w:cstheme="minorBidi"/>
                <w:sz w:val="16"/>
                <w:szCs w:val="16"/>
              </w:rPr>
              <w:t xml:space="preserve">Source: Calculation based on state population projections from </w:t>
            </w:r>
            <w:r w:rsidR="0009005A" w:rsidRPr="00E60C06">
              <w:rPr>
                <w:rStyle w:val="normaltextrun"/>
                <w:rFonts w:cstheme="minorBidi"/>
                <w:sz w:val="16"/>
                <w:szCs w:val="16"/>
              </w:rPr>
              <w:t xml:space="preserve">the </w:t>
            </w:r>
            <w:r w:rsidRPr="00E60C06">
              <w:rPr>
                <w:rStyle w:val="normaltextrun"/>
                <w:rFonts w:cstheme="minorBidi"/>
                <w:sz w:val="16"/>
                <w:szCs w:val="16"/>
              </w:rPr>
              <w:t>2024-25 Commonwealth Budget</w:t>
            </w:r>
            <w:r w:rsidR="63CDF475" w:rsidRPr="00E60C06">
              <w:rPr>
                <w:rStyle w:val="normaltextrun"/>
                <w:rFonts w:cstheme="minorBidi"/>
                <w:sz w:val="16"/>
                <w:szCs w:val="16"/>
              </w:rPr>
              <w:t xml:space="preserve">. Discrepancies in tables between totals and sums of components are due to rounding. </w:t>
            </w:r>
          </w:p>
          <w:p w14:paraId="1C2BA76D" w14:textId="31BA0ED5" w:rsidR="005F6D6F" w:rsidRPr="00E60C06" w:rsidRDefault="005F6D6F" w:rsidP="00F55F8D">
            <w:pPr>
              <w:spacing w:after="57" w:line="259" w:lineRule="auto"/>
              <w:ind w:left="188" w:right="72" w:firstLine="0"/>
              <w:rPr>
                <w:rStyle w:val="normaltextrun"/>
                <w:sz w:val="16"/>
              </w:rPr>
            </w:pPr>
          </w:p>
          <w:p w14:paraId="1320E638" w14:textId="77777777" w:rsidR="007356F9" w:rsidRPr="00E60C06" w:rsidRDefault="007356F9" w:rsidP="00191BD9">
            <w:pPr>
              <w:spacing w:after="80" w:line="255" w:lineRule="auto"/>
              <w:ind w:left="76" w:right="72" w:firstLine="0"/>
              <w:rPr>
                <w:rFonts w:eastAsia="Corbel"/>
              </w:rPr>
            </w:pPr>
            <w:r w:rsidRPr="00E60C06">
              <w:rPr>
                <w:rFonts w:eastAsia="Corbel"/>
              </w:rPr>
              <w:t xml:space="preserve">Payments are to be made in accordance with Part 2: Performance Milestones and Payment Summary for Fee-Free Construction. </w:t>
            </w:r>
          </w:p>
          <w:p w14:paraId="35EC918E" w14:textId="77777777" w:rsidR="005F6D6F" w:rsidRPr="00E60C06" w:rsidRDefault="005F6D6F" w:rsidP="00191BD9">
            <w:pPr>
              <w:spacing w:after="57" w:line="259" w:lineRule="auto"/>
              <w:ind w:left="76" w:right="72" w:firstLine="0"/>
            </w:pPr>
          </w:p>
          <w:p w14:paraId="52390157" w14:textId="3B43F0EC" w:rsidR="0029427C" w:rsidRPr="00E60C06" w:rsidRDefault="00CD24A0" w:rsidP="00191BD9">
            <w:pPr>
              <w:spacing w:after="0" w:line="259" w:lineRule="auto"/>
              <w:ind w:left="76" w:right="72" w:firstLine="0"/>
            </w:pPr>
            <w:r w:rsidRPr="00E60C06">
              <w:rPr>
                <w:rFonts w:eastAsia="Corbel"/>
              </w:rPr>
              <w:t>Table 2</w:t>
            </w:r>
            <w:r w:rsidR="00AB115E" w:rsidRPr="00E60C06">
              <w:rPr>
                <w:rFonts w:eastAsia="Corbel"/>
              </w:rPr>
              <w:t>:</w:t>
            </w:r>
            <w:r w:rsidRPr="00E60C06">
              <w:rPr>
                <w:rFonts w:eastAsia="Corbel"/>
              </w:rPr>
              <w:t xml:space="preserve"> Estimated financial contributions for ancillary funding</w:t>
            </w:r>
            <w:r w:rsidRPr="00E60C06">
              <w:rPr>
                <w:rFonts w:eastAsia="Corbel"/>
                <w:color w:val="FF0000"/>
              </w:rPr>
              <w:t xml:space="preserve"> </w:t>
            </w:r>
            <w:r w:rsidR="00C654C6" w:rsidRPr="00E60C06">
              <w:rPr>
                <w:rFonts w:eastAsia="Corbel"/>
                <w:color w:val="auto"/>
              </w:rPr>
              <w:t xml:space="preserve">for Fee-Free TAFE </w:t>
            </w:r>
            <w:r w:rsidR="007D5D51" w:rsidRPr="00E60C06">
              <w:rPr>
                <w:rFonts w:eastAsia="Corbel"/>
                <w:color w:val="auto"/>
              </w:rPr>
              <w:t>Tranche 1</w:t>
            </w:r>
            <w:r w:rsidR="00A75D14" w:rsidRPr="00E60C06">
              <w:rPr>
                <w:rFonts w:eastAsia="Corbel"/>
                <w:color w:val="auto"/>
              </w:rPr>
              <w:t xml:space="preserve"> (Appendix A refers)</w:t>
            </w:r>
          </w:p>
          <w:tbl>
            <w:tblPr>
              <w:tblStyle w:val="TableGrid1"/>
              <w:tblW w:w="7973" w:type="dxa"/>
              <w:tblInd w:w="0" w:type="dxa"/>
              <w:tblCellMar>
                <w:right w:w="115" w:type="dxa"/>
              </w:tblCellMar>
              <w:tblLook w:val="04A0" w:firstRow="1" w:lastRow="0" w:firstColumn="1" w:lastColumn="0" w:noHBand="0" w:noVBand="1"/>
            </w:tblPr>
            <w:tblGrid>
              <w:gridCol w:w="5116"/>
              <w:gridCol w:w="990"/>
              <w:gridCol w:w="990"/>
              <w:gridCol w:w="877"/>
            </w:tblGrid>
            <w:tr w:rsidR="0029427C" w:rsidRPr="00E60C06" w14:paraId="7610590A" w14:textId="77777777">
              <w:trPr>
                <w:trHeight w:val="377"/>
              </w:trPr>
              <w:tc>
                <w:tcPr>
                  <w:tcW w:w="5244" w:type="dxa"/>
                  <w:tcBorders>
                    <w:top w:val="nil"/>
                    <w:left w:val="nil"/>
                    <w:bottom w:val="single" w:sz="8" w:space="0" w:color="000080"/>
                    <w:right w:val="nil"/>
                  </w:tcBorders>
                </w:tcPr>
                <w:p w14:paraId="6FF54FF4" w14:textId="77777777" w:rsidR="0029427C" w:rsidRPr="00E60C06" w:rsidRDefault="00CD24A0" w:rsidP="00F55F8D">
                  <w:pPr>
                    <w:spacing w:after="0" w:line="259" w:lineRule="auto"/>
                    <w:ind w:left="188" w:right="72" w:firstLine="0"/>
                  </w:pPr>
                  <w:r w:rsidRPr="00E60C06">
                    <w:rPr>
                      <w:b/>
                    </w:rPr>
                    <w:t xml:space="preserve">($ million) </w:t>
                  </w:r>
                </w:p>
              </w:tc>
              <w:tc>
                <w:tcPr>
                  <w:tcW w:w="994" w:type="dxa"/>
                  <w:tcBorders>
                    <w:top w:val="nil"/>
                    <w:left w:val="nil"/>
                    <w:bottom w:val="single" w:sz="8" w:space="0" w:color="000080"/>
                    <w:right w:val="nil"/>
                  </w:tcBorders>
                </w:tcPr>
                <w:p w14:paraId="31092C51" w14:textId="77777777" w:rsidR="0029427C" w:rsidRPr="00E60C06" w:rsidRDefault="00CD24A0" w:rsidP="00F55F8D">
                  <w:pPr>
                    <w:spacing w:after="0" w:line="259" w:lineRule="auto"/>
                    <w:ind w:left="188" w:right="72" w:firstLine="0"/>
                  </w:pPr>
                  <w:r w:rsidRPr="00E60C06">
                    <w:t xml:space="preserve">2022-23 </w:t>
                  </w:r>
                </w:p>
              </w:tc>
              <w:tc>
                <w:tcPr>
                  <w:tcW w:w="994" w:type="dxa"/>
                  <w:tcBorders>
                    <w:top w:val="nil"/>
                    <w:left w:val="nil"/>
                    <w:bottom w:val="single" w:sz="8" w:space="0" w:color="000080"/>
                    <w:right w:val="nil"/>
                  </w:tcBorders>
                </w:tcPr>
                <w:p w14:paraId="47F5EFD3" w14:textId="77777777" w:rsidR="0029427C" w:rsidRPr="00E60C06" w:rsidRDefault="00CD24A0" w:rsidP="00F55F8D">
                  <w:pPr>
                    <w:spacing w:after="0" w:line="259" w:lineRule="auto"/>
                    <w:ind w:left="188" w:right="72" w:firstLine="0"/>
                  </w:pPr>
                  <w:r w:rsidRPr="00E60C06">
                    <w:t xml:space="preserve">2023-24 </w:t>
                  </w:r>
                </w:p>
              </w:tc>
              <w:tc>
                <w:tcPr>
                  <w:tcW w:w="742" w:type="dxa"/>
                  <w:tcBorders>
                    <w:top w:val="nil"/>
                    <w:left w:val="nil"/>
                    <w:bottom w:val="single" w:sz="8" w:space="0" w:color="000080"/>
                    <w:right w:val="nil"/>
                  </w:tcBorders>
                </w:tcPr>
                <w:p w14:paraId="40FE47AC" w14:textId="77777777" w:rsidR="0029427C" w:rsidRPr="00E60C06" w:rsidRDefault="00CD24A0" w:rsidP="00F55F8D">
                  <w:pPr>
                    <w:spacing w:after="0" w:line="259" w:lineRule="auto"/>
                    <w:ind w:left="188" w:right="72" w:firstLine="0"/>
                  </w:pPr>
                  <w:r w:rsidRPr="00E60C06">
                    <w:t xml:space="preserve">Total </w:t>
                  </w:r>
                </w:p>
              </w:tc>
            </w:tr>
            <w:tr w:rsidR="0029427C" w:rsidRPr="00E60C06" w14:paraId="3186CC9B" w14:textId="77777777">
              <w:trPr>
                <w:trHeight w:val="295"/>
              </w:trPr>
              <w:tc>
                <w:tcPr>
                  <w:tcW w:w="5244" w:type="dxa"/>
                  <w:vMerge w:val="restart"/>
                  <w:tcBorders>
                    <w:top w:val="single" w:sz="8" w:space="0" w:color="000080"/>
                    <w:left w:val="nil"/>
                    <w:bottom w:val="nil"/>
                    <w:right w:val="nil"/>
                  </w:tcBorders>
                </w:tcPr>
                <w:p w14:paraId="6C34C061" w14:textId="77777777" w:rsidR="0029427C" w:rsidRPr="00E60C06" w:rsidRDefault="00CD24A0" w:rsidP="00F55F8D">
                  <w:pPr>
                    <w:spacing w:after="0" w:line="259" w:lineRule="auto"/>
                    <w:ind w:left="188" w:right="72" w:firstLine="0"/>
                  </w:pPr>
                  <w:r w:rsidRPr="00E60C06">
                    <w:rPr>
                      <w:b/>
                    </w:rPr>
                    <w:t xml:space="preserve">Estimated total budget </w:t>
                  </w:r>
                </w:p>
                <w:p w14:paraId="3EC52ADF" w14:textId="77777777" w:rsidR="0029427C" w:rsidRPr="00E60C06" w:rsidRDefault="00CD24A0" w:rsidP="00F55F8D">
                  <w:pPr>
                    <w:spacing w:after="0" w:line="259" w:lineRule="auto"/>
                    <w:ind w:left="188" w:right="72" w:firstLine="0"/>
                  </w:pPr>
                  <w:r w:rsidRPr="00E60C06">
                    <w:rPr>
                      <w:b/>
                    </w:rPr>
                    <w:t xml:space="preserve">Less estimated National Partnership payments </w:t>
                  </w:r>
                </w:p>
              </w:tc>
              <w:tc>
                <w:tcPr>
                  <w:tcW w:w="994" w:type="dxa"/>
                  <w:tcBorders>
                    <w:top w:val="single" w:sz="8" w:space="0" w:color="000080"/>
                    <w:left w:val="nil"/>
                    <w:bottom w:val="single" w:sz="8" w:space="0" w:color="000080"/>
                    <w:right w:val="nil"/>
                  </w:tcBorders>
                </w:tcPr>
                <w:p w14:paraId="2D0A7A90" w14:textId="77777777" w:rsidR="0029427C" w:rsidRPr="00E60C06" w:rsidRDefault="00CD24A0" w:rsidP="00F55F8D">
                  <w:pPr>
                    <w:spacing w:after="0" w:line="259" w:lineRule="auto"/>
                    <w:ind w:left="188" w:right="72" w:firstLine="0"/>
                  </w:pPr>
                  <w:r w:rsidRPr="00E60C06">
                    <w:t xml:space="preserve">59.80 </w:t>
                  </w:r>
                </w:p>
              </w:tc>
              <w:tc>
                <w:tcPr>
                  <w:tcW w:w="994" w:type="dxa"/>
                  <w:tcBorders>
                    <w:top w:val="single" w:sz="8" w:space="0" w:color="000080"/>
                    <w:left w:val="nil"/>
                    <w:bottom w:val="single" w:sz="8" w:space="0" w:color="000080"/>
                    <w:right w:val="nil"/>
                  </w:tcBorders>
                </w:tcPr>
                <w:p w14:paraId="060CC015" w14:textId="77777777" w:rsidR="0029427C" w:rsidRPr="00E60C06" w:rsidRDefault="00CD24A0" w:rsidP="00F55F8D">
                  <w:pPr>
                    <w:spacing w:after="0" w:line="259" w:lineRule="auto"/>
                    <w:ind w:left="188" w:right="72" w:firstLine="0"/>
                  </w:pPr>
                  <w:r w:rsidRPr="00E60C06">
                    <w:t xml:space="preserve">25.60 </w:t>
                  </w:r>
                </w:p>
              </w:tc>
              <w:tc>
                <w:tcPr>
                  <w:tcW w:w="742" w:type="dxa"/>
                  <w:tcBorders>
                    <w:top w:val="single" w:sz="8" w:space="0" w:color="000080"/>
                    <w:left w:val="nil"/>
                    <w:bottom w:val="single" w:sz="8" w:space="0" w:color="000080"/>
                    <w:right w:val="nil"/>
                  </w:tcBorders>
                </w:tcPr>
                <w:p w14:paraId="323189F8" w14:textId="77777777" w:rsidR="0029427C" w:rsidRPr="00E60C06" w:rsidRDefault="00CD24A0" w:rsidP="00F55F8D">
                  <w:pPr>
                    <w:spacing w:after="0" w:line="259" w:lineRule="auto"/>
                    <w:ind w:left="188" w:right="72" w:firstLine="0"/>
                  </w:pPr>
                  <w:r w:rsidRPr="00E60C06">
                    <w:t xml:space="preserve">85.40 </w:t>
                  </w:r>
                </w:p>
              </w:tc>
            </w:tr>
            <w:tr w:rsidR="0029427C" w:rsidRPr="00E60C06" w14:paraId="4FBB2C8D" w14:textId="77777777">
              <w:trPr>
                <w:trHeight w:val="300"/>
              </w:trPr>
              <w:tc>
                <w:tcPr>
                  <w:tcW w:w="0" w:type="auto"/>
                  <w:vMerge/>
                  <w:tcBorders>
                    <w:top w:val="nil"/>
                    <w:left w:val="nil"/>
                    <w:bottom w:val="nil"/>
                    <w:right w:val="nil"/>
                  </w:tcBorders>
                </w:tcPr>
                <w:p w14:paraId="1B642429" w14:textId="77777777" w:rsidR="0029427C" w:rsidRPr="00E60C06" w:rsidRDefault="0029427C" w:rsidP="00F55F8D">
                  <w:pPr>
                    <w:spacing w:after="160" w:line="259" w:lineRule="auto"/>
                    <w:ind w:left="188" w:right="72" w:firstLine="0"/>
                  </w:pPr>
                </w:p>
              </w:tc>
              <w:tc>
                <w:tcPr>
                  <w:tcW w:w="994" w:type="dxa"/>
                  <w:tcBorders>
                    <w:top w:val="single" w:sz="8" w:space="0" w:color="000080"/>
                    <w:left w:val="nil"/>
                    <w:bottom w:val="nil"/>
                    <w:right w:val="nil"/>
                  </w:tcBorders>
                </w:tcPr>
                <w:p w14:paraId="6BCC082B" w14:textId="77777777" w:rsidR="0029427C" w:rsidRPr="00E60C06" w:rsidRDefault="00CD24A0" w:rsidP="00F55F8D">
                  <w:pPr>
                    <w:spacing w:after="0" w:line="259" w:lineRule="auto"/>
                    <w:ind w:left="188" w:right="72" w:firstLine="0"/>
                  </w:pPr>
                  <w:r w:rsidRPr="00E60C06">
                    <w:t xml:space="preserve">29.90 </w:t>
                  </w:r>
                </w:p>
              </w:tc>
              <w:tc>
                <w:tcPr>
                  <w:tcW w:w="994" w:type="dxa"/>
                  <w:tcBorders>
                    <w:top w:val="single" w:sz="8" w:space="0" w:color="000080"/>
                    <w:left w:val="nil"/>
                    <w:bottom w:val="nil"/>
                    <w:right w:val="nil"/>
                  </w:tcBorders>
                </w:tcPr>
                <w:p w14:paraId="0D623A35" w14:textId="77777777" w:rsidR="0029427C" w:rsidRPr="00E60C06" w:rsidRDefault="00CD24A0" w:rsidP="00F55F8D">
                  <w:pPr>
                    <w:spacing w:after="0" w:line="259" w:lineRule="auto"/>
                    <w:ind w:left="188" w:right="72" w:firstLine="0"/>
                  </w:pPr>
                  <w:r w:rsidRPr="00E60C06">
                    <w:t xml:space="preserve">12.80 </w:t>
                  </w:r>
                </w:p>
              </w:tc>
              <w:tc>
                <w:tcPr>
                  <w:tcW w:w="742" w:type="dxa"/>
                  <w:tcBorders>
                    <w:top w:val="single" w:sz="8" w:space="0" w:color="000080"/>
                    <w:left w:val="nil"/>
                    <w:bottom w:val="nil"/>
                    <w:right w:val="nil"/>
                  </w:tcBorders>
                </w:tcPr>
                <w:p w14:paraId="0C5FBBFA" w14:textId="77777777" w:rsidR="0029427C" w:rsidRPr="00E60C06" w:rsidRDefault="00CD24A0" w:rsidP="00F55F8D">
                  <w:pPr>
                    <w:spacing w:after="0" w:line="259" w:lineRule="auto"/>
                    <w:ind w:left="188" w:right="72" w:firstLine="0"/>
                  </w:pPr>
                  <w:r w:rsidRPr="00E60C06">
                    <w:t xml:space="preserve">42.70 </w:t>
                  </w:r>
                </w:p>
              </w:tc>
            </w:tr>
            <w:tr w:rsidR="0029427C" w:rsidRPr="00E60C06" w14:paraId="40775B52" w14:textId="77777777">
              <w:trPr>
                <w:trHeight w:val="269"/>
              </w:trPr>
              <w:tc>
                <w:tcPr>
                  <w:tcW w:w="5244" w:type="dxa"/>
                  <w:tcBorders>
                    <w:top w:val="nil"/>
                    <w:left w:val="nil"/>
                    <w:bottom w:val="nil"/>
                    <w:right w:val="nil"/>
                  </w:tcBorders>
                </w:tcPr>
                <w:p w14:paraId="5AA9090B" w14:textId="77777777" w:rsidR="0029427C" w:rsidRPr="00E60C06" w:rsidRDefault="00CD24A0" w:rsidP="00F55F8D">
                  <w:pPr>
                    <w:spacing w:after="0" w:line="259" w:lineRule="auto"/>
                    <w:ind w:left="188" w:right="72" w:firstLine="0"/>
                  </w:pPr>
                  <w:r w:rsidRPr="00E60C06">
                    <w:t xml:space="preserve">New South Wales </w:t>
                  </w:r>
                </w:p>
              </w:tc>
              <w:tc>
                <w:tcPr>
                  <w:tcW w:w="994" w:type="dxa"/>
                  <w:tcBorders>
                    <w:top w:val="nil"/>
                    <w:left w:val="nil"/>
                    <w:bottom w:val="nil"/>
                    <w:right w:val="nil"/>
                  </w:tcBorders>
                </w:tcPr>
                <w:p w14:paraId="21CCD373" w14:textId="77777777" w:rsidR="0029427C" w:rsidRPr="00E60C06" w:rsidRDefault="00CD24A0" w:rsidP="00F55F8D">
                  <w:pPr>
                    <w:spacing w:after="0" w:line="259" w:lineRule="auto"/>
                    <w:ind w:left="188" w:right="72" w:firstLine="0"/>
                  </w:pPr>
                  <w:r w:rsidRPr="00E60C06">
                    <w:t xml:space="preserve">9.40 </w:t>
                  </w:r>
                </w:p>
              </w:tc>
              <w:tc>
                <w:tcPr>
                  <w:tcW w:w="994" w:type="dxa"/>
                  <w:tcBorders>
                    <w:top w:val="nil"/>
                    <w:left w:val="nil"/>
                    <w:bottom w:val="nil"/>
                    <w:right w:val="nil"/>
                  </w:tcBorders>
                </w:tcPr>
                <w:p w14:paraId="49D89E32" w14:textId="77777777" w:rsidR="0029427C" w:rsidRPr="00E60C06" w:rsidRDefault="00CD24A0" w:rsidP="00F55F8D">
                  <w:pPr>
                    <w:spacing w:after="0" w:line="259" w:lineRule="auto"/>
                    <w:ind w:left="188" w:right="72" w:firstLine="0"/>
                  </w:pPr>
                  <w:r w:rsidRPr="00E60C06">
                    <w:t xml:space="preserve">4.03 </w:t>
                  </w:r>
                </w:p>
              </w:tc>
              <w:tc>
                <w:tcPr>
                  <w:tcW w:w="742" w:type="dxa"/>
                  <w:tcBorders>
                    <w:top w:val="nil"/>
                    <w:left w:val="nil"/>
                    <w:bottom w:val="nil"/>
                    <w:right w:val="nil"/>
                  </w:tcBorders>
                </w:tcPr>
                <w:p w14:paraId="1639BF94" w14:textId="77777777" w:rsidR="0029427C" w:rsidRPr="00E60C06" w:rsidRDefault="00CD24A0" w:rsidP="00F55F8D">
                  <w:pPr>
                    <w:spacing w:after="0" w:line="259" w:lineRule="auto"/>
                    <w:ind w:left="188" w:right="72" w:firstLine="0"/>
                  </w:pPr>
                  <w:r w:rsidRPr="00E60C06">
                    <w:t xml:space="preserve">13.43 </w:t>
                  </w:r>
                </w:p>
              </w:tc>
            </w:tr>
            <w:tr w:rsidR="0029427C" w:rsidRPr="00E60C06" w14:paraId="5D102996" w14:textId="77777777">
              <w:trPr>
                <w:trHeight w:val="288"/>
              </w:trPr>
              <w:tc>
                <w:tcPr>
                  <w:tcW w:w="5244" w:type="dxa"/>
                  <w:tcBorders>
                    <w:top w:val="nil"/>
                    <w:left w:val="nil"/>
                    <w:bottom w:val="nil"/>
                    <w:right w:val="nil"/>
                  </w:tcBorders>
                </w:tcPr>
                <w:p w14:paraId="3DF7285D" w14:textId="77777777" w:rsidR="0029427C" w:rsidRPr="00E60C06" w:rsidRDefault="00CD24A0" w:rsidP="00F55F8D">
                  <w:pPr>
                    <w:spacing w:after="0" w:line="259" w:lineRule="auto"/>
                    <w:ind w:left="188" w:right="72" w:firstLine="0"/>
                  </w:pPr>
                  <w:r w:rsidRPr="00E60C06">
                    <w:t xml:space="preserve">Victoria </w:t>
                  </w:r>
                </w:p>
              </w:tc>
              <w:tc>
                <w:tcPr>
                  <w:tcW w:w="994" w:type="dxa"/>
                  <w:tcBorders>
                    <w:top w:val="nil"/>
                    <w:left w:val="nil"/>
                    <w:bottom w:val="nil"/>
                    <w:right w:val="nil"/>
                  </w:tcBorders>
                </w:tcPr>
                <w:p w14:paraId="4DD44DE1" w14:textId="77777777" w:rsidR="0029427C" w:rsidRPr="00E60C06" w:rsidRDefault="00CD24A0" w:rsidP="00F55F8D">
                  <w:pPr>
                    <w:spacing w:after="0" w:line="259" w:lineRule="auto"/>
                    <w:ind w:left="188" w:right="72" w:firstLine="0"/>
                  </w:pPr>
                  <w:r w:rsidRPr="00E60C06">
                    <w:t xml:space="preserve">7.75 </w:t>
                  </w:r>
                </w:p>
              </w:tc>
              <w:tc>
                <w:tcPr>
                  <w:tcW w:w="994" w:type="dxa"/>
                  <w:tcBorders>
                    <w:top w:val="nil"/>
                    <w:left w:val="nil"/>
                    <w:bottom w:val="nil"/>
                    <w:right w:val="nil"/>
                  </w:tcBorders>
                </w:tcPr>
                <w:p w14:paraId="64BC7F43" w14:textId="77777777" w:rsidR="0029427C" w:rsidRPr="00E60C06" w:rsidRDefault="00CD24A0" w:rsidP="00F55F8D">
                  <w:pPr>
                    <w:spacing w:after="0" w:line="259" w:lineRule="auto"/>
                    <w:ind w:left="188" w:right="72" w:firstLine="0"/>
                  </w:pPr>
                  <w:r w:rsidRPr="00E60C06">
                    <w:t xml:space="preserve">3.32 </w:t>
                  </w:r>
                </w:p>
              </w:tc>
              <w:tc>
                <w:tcPr>
                  <w:tcW w:w="742" w:type="dxa"/>
                  <w:tcBorders>
                    <w:top w:val="nil"/>
                    <w:left w:val="nil"/>
                    <w:bottom w:val="nil"/>
                    <w:right w:val="nil"/>
                  </w:tcBorders>
                </w:tcPr>
                <w:p w14:paraId="2E6B14F8" w14:textId="77777777" w:rsidR="0029427C" w:rsidRPr="00E60C06" w:rsidRDefault="00CD24A0" w:rsidP="00F55F8D">
                  <w:pPr>
                    <w:spacing w:after="0" w:line="259" w:lineRule="auto"/>
                    <w:ind w:left="188" w:right="72" w:firstLine="0"/>
                  </w:pPr>
                  <w:r w:rsidRPr="00E60C06">
                    <w:t xml:space="preserve">11.07 </w:t>
                  </w:r>
                </w:p>
              </w:tc>
            </w:tr>
            <w:tr w:rsidR="0029427C" w:rsidRPr="00E60C06" w14:paraId="03EC3829" w14:textId="77777777">
              <w:trPr>
                <w:trHeight w:val="288"/>
              </w:trPr>
              <w:tc>
                <w:tcPr>
                  <w:tcW w:w="5244" w:type="dxa"/>
                  <w:tcBorders>
                    <w:top w:val="nil"/>
                    <w:left w:val="nil"/>
                    <w:bottom w:val="nil"/>
                    <w:right w:val="nil"/>
                  </w:tcBorders>
                </w:tcPr>
                <w:p w14:paraId="501841DF" w14:textId="77777777" w:rsidR="0029427C" w:rsidRPr="00E60C06" w:rsidRDefault="00CD24A0" w:rsidP="00F55F8D">
                  <w:pPr>
                    <w:spacing w:after="0" w:line="259" w:lineRule="auto"/>
                    <w:ind w:left="188" w:right="72" w:firstLine="0"/>
                  </w:pPr>
                  <w:r w:rsidRPr="00E60C06">
                    <w:t xml:space="preserve">Queensland </w:t>
                  </w:r>
                </w:p>
              </w:tc>
              <w:tc>
                <w:tcPr>
                  <w:tcW w:w="994" w:type="dxa"/>
                  <w:tcBorders>
                    <w:top w:val="nil"/>
                    <w:left w:val="nil"/>
                    <w:bottom w:val="nil"/>
                    <w:right w:val="nil"/>
                  </w:tcBorders>
                </w:tcPr>
                <w:p w14:paraId="4DA3F4CF" w14:textId="77777777" w:rsidR="0029427C" w:rsidRPr="00E60C06" w:rsidRDefault="00CD24A0" w:rsidP="00F55F8D">
                  <w:pPr>
                    <w:spacing w:after="0" w:line="259" w:lineRule="auto"/>
                    <w:ind w:left="188" w:right="72" w:firstLine="0"/>
                  </w:pPr>
                  <w:r w:rsidRPr="00E60C06">
                    <w:t xml:space="preserve">6.13 </w:t>
                  </w:r>
                </w:p>
              </w:tc>
              <w:tc>
                <w:tcPr>
                  <w:tcW w:w="994" w:type="dxa"/>
                  <w:tcBorders>
                    <w:top w:val="nil"/>
                    <w:left w:val="nil"/>
                    <w:bottom w:val="nil"/>
                    <w:right w:val="nil"/>
                  </w:tcBorders>
                </w:tcPr>
                <w:p w14:paraId="25F37926" w14:textId="77777777" w:rsidR="0029427C" w:rsidRPr="00E60C06" w:rsidRDefault="00CD24A0" w:rsidP="00F55F8D">
                  <w:pPr>
                    <w:spacing w:after="0" w:line="259" w:lineRule="auto"/>
                    <w:ind w:left="188" w:right="72" w:firstLine="0"/>
                  </w:pPr>
                  <w:r w:rsidRPr="00E60C06">
                    <w:t xml:space="preserve">2.63 </w:t>
                  </w:r>
                </w:p>
              </w:tc>
              <w:tc>
                <w:tcPr>
                  <w:tcW w:w="742" w:type="dxa"/>
                  <w:tcBorders>
                    <w:top w:val="nil"/>
                    <w:left w:val="nil"/>
                    <w:bottom w:val="nil"/>
                    <w:right w:val="nil"/>
                  </w:tcBorders>
                </w:tcPr>
                <w:p w14:paraId="087B7961" w14:textId="77777777" w:rsidR="0029427C" w:rsidRPr="00E60C06" w:rsidRDefault="00CD24A0" w:rsidP="00F55F8D">
                  <w:pPr>
                    <w:spacing w:after="0" w:line="259" w:lineRule="auto"/>
                    <w:ind w:left="188" w:right="72" w:firstLine="0"/>
                  </w:pPr>
                  <w:r w:rsidRPr="00E60C06">
                    <w:t xml:space="preserve">8.76 </w:t>
                  </w:r>
                </w:p>
              </w:tc>
            </w:tr>
            <w:tr w:rsidR="0029427C" w:rsidRPr="00E60C06" w14:paraId="0744E4E2" w14:textId="77777777">
              <w:trPr>
                <w:trHeight w:val="280"/>
              </w:trPr>
              <w:tc>
                <w:tcPr>
                  <w:tcW w:w="5244" w:type="dxa"/>
                  <w:tcBorders>
                    <w:top w:val="nil"/>
                    <w:left w:val="nil"/>
                    <w:bottom w:val="nil"/>
                    <w:right w:val="nil"/>
                  </w:tcBorders>
                </w:tcPr>
                <w:p w14:paraId="18334008" w14:textId="77777777" w:rsidR="0029427C" w:rsidRPr="00E60C06" w:rsidRDefault="00CD24A0" w:rsidP="00F55F8D">
                  <w:pPr>
                    <w:spacing w:after="0" w:line="259" w:lineRule="auto"/>
                    <w:ind w:left="188" w:right="72" w:firstLine="0"/>
                  </w:pPr>
                  <w:r w:rsidRPr="00E60C06">
                    <w:t xml:space="preserve">Western Australia </w:t>
                  </w:r>
                </w:p>
              </w:tc>
              <w:tc>
                <w:tcPr>
                  <w:tcW w:w="994" w:type="dxa"/>
                  <w:tcBorders>
                    <w:top w:val="nil"/>
                    <w:left w:val="nil"/>
                    <w:bottom w:val="nil"/>
                    <w:right w:val="nil"/>
                  </w:tcBorders>
                </w:tcPr>
                <w:p w14:paraId="012C4329" w14:textId="77777777" w:rsidR="0029427C" w:rsidRPr="00E60C06" w:rsidRDefault="00CD24A0" w:rsidP="00F55F8D">
                  <w:pPr>
                    <w:spacing w:after="0" w:line="259" w:lineRule="auto"/>
                    <w:ind w:left="188" w:right="72" w:firstLine="0"/>
                  </w:pPr>
                  <w:r w:rsidRPr="00E60C06">
                    <w:t xml:space="preserve">3.14 </w:t>
                  </w:r>
                </w:p>
              </w:tc>
              <w:tc>
                <w:tcPr>
                  <w:tcW w:w="994" w:type="dxa"/>
                  <w:tcBorders>
                    <w:top w:val="nil"/>
                    <w:left w:val="nil"/>
                    <w:bottom w:val="nil"/>
                    <w:right w:val="nil"/>
                  </w:tcBorders>
                </w:tcPr>
                <w:p w14:paraId="1A191D9D" w14:textId="77777777" w:rsidR="0029427C" w:rsidRPr="00E60C06" w:rsidRDefault="00CD24A0" w:rsidP="00F55F8D">
                  <w:pPr>
                    <w:spacing w:after="0" w:line="259" w:lineRule="auto"/>
                    <w:ind w:left="188" w:right="72" w:firstLine="0"/>
                  </w:pPr>
                  <w:r w:rsidRPr="00E60C06">
                    <w:t xml:space="preserve">1.34 </w:t>
                  </w:r>
                </w:p>
              </w:tc>
              <w:tc>
                <w:tcPr>
                  <w:tcW w:w="742" w:type="dxa"/>
                  <w:tcBorders>
                    <w:top w:val="nil"/>
                    <w:left w:val="nil"/>
                    <w:bottom w:val="nil"/>
                    <w:right w:val="nil"/>
                  </w:tcBorders>
                </w:tcPr>
                <w:p w14:paraId="5091DFD6" w14:textId="77777777" w:rsidR="0029427C" w:rsidRPr="00E60C06" w:rsidRDefault="00CD24A0" w:rsidP="00F55F8D">
                  <w:pPr>
                    <w:spacing w:after="0" w:line="259" w:lineRule="auto"/>
                    <w:ind w:left="188" w:right="72" w:firstLine="0"/>
                  </w:pPr>
                  <w:r w:rsidRPr="00E60C06">
                    <w:t xml:space="preserve">4.48 </w:t>
                  </w:r>
                </w:p>
              </w:tc>
            </w:tr>
            <w:tr w:rsidR="0029427C" w:rsidRPr="00E60C06" w14:paraId="00E366C6" w14:textId="77777777">
              <w:trPr>
                <w:trHeight w:val="280"/>
              </w:trPr>
              <w:tc>
                <w:tcPr>
                  <w:tcW w:w="5244" w:type="dxa"/>
                  <w:tcBorders>
                    <w:top w:val="nil"/>
                    <w:left w:val="nil"/>
                    <w:bottom w:val="nil"/>
                    <w:right w:val="nil"/>
                  </w:tcBorders>
                </w:tcPr>
                <w:p w14:paraId="790D5C82" w14:textId="77777777" w:rsidR="0029427C" w:rsidRPr="00E60C06" w:rsidRDefault="00CD24A0" w:rsidP="00F55F8D">
                  <w:pPr>
                    <w:spacing w:after="0" w:line="259" w:lineRule="auto"/>
                    <w:ind w:left="188" w:right="72" w:firstLine="0"/>
                  </w:pPr>
                  <w:r w:rsidRPr="00E60C06">
                    <w:t xml:space="preserve">South Australia </w:t>
                  </w:r>
                </w:p>
              </w:tc>
              <w:tc>
                <w:tcPr>
                  <w:tcW w:w="994" w:type="dxa"/>
                  <w:tcBorders>
                    <w:top w:val="nil"/>
                    <w:left w:val="nil"/>
                    <w:bottom w:val="nil"/>
                    <w:right w:val="nil"/>
                  </w:tcBorders>
                </w:tcPr>
                <w:p w14:paraId="10A2E017" w14:textId="77777777" w:rsidR="0029427C" w:rsidRPr="00E60C06" w:rsidRDefault="00CD24A0" w:rsidP="00F55F8D">
                  <w:pPr>
                    <w:spacing w:after="0" w:line="259" w:lineRule="auto"/>
                    <w:ind w:left="188" w:right="72" w:firstLine="0"/>
                  </w:pPr>
                  <w:r w:rsidRPr="00E60C06">
                    <w:t xml:space="preserve">2.06 </w:t>
                  </w:r>
                </w:p>
              </w:tc>
              <w:tc>
                <w:tcPr>
                  <w:tcW w:w="994" w:type="dxa"/>
                  <w:tcBorders>
                    <w:top w:val="nil"/>
                    <w:left w:val="nil"/>
                    <w:bottom w:val="nil"/>
                    <w:right w:val="nil"/>
                  </w:tcBorders>
                </w:tcPr>
                <w:p w14:paraId="537B8561" w14:textId="77777777" w:rsidR="0029427C" w:rsidRPr="00E60C06" w:rsidRDefault="00CD24A0" w:rsidP="00F55F8D">
                  <w:pPr>
                    <w:spacing w:after="0" w:line="259" w:lineRule="auto"/>
                    <w:ind w:left="188" w:right="72" w:firstLine="0"/>
                  </w:pPr>
                  <w:r w:rsidRPr="00E60C06">
                    <w:t xml:space="preserve">0.88 </w:t>
                  </w:r>
                </w:p>
              </w:tc>
              <w:tc>
                <w:tcPr>
                  <w:tcW w:w="742" w:type="dxa"/>
                  <w:tcBorders>
                    <w:top w:val="nil"/>
                    <w:left w:val="nil"/>
                    <w:bottom w:val="nil"/>
                    <w:right w:val="nil"/>
                  </w:tcBorders>
                </w:tcPr>
                <w:p w14:paraId="44B8CED4" w14:textId="77777777" w:rsidR="0029427C" w:rsidRPr="00E60C06" w:rsidRDefault="00CD24A0" w:rsidP="00F55F8D">
                  <w:pPr>
                    <w:spacing w:after="0" w:line="259" w:lineRule="auto"/>
                    <w:ind w:left="188" w:right="72" w:firstLine="0"/>
                  </w:pPr>
                  <w:r w:rsidRPr="00E60C06">
                    <w:t xml:space="preserve">2.94 </w:t>
                  </w:r>
                </w:p>
              </w:tc>
            </w:tr>
            <w:tr w:rsidR="0029427C" w:rsidRPr="00E60C06" w14:paraId="35BAC37E" w14:textId="77777777">
              <w:trPr>
                <w:trHeight w:val="269"/>
              </w:trPr>
              <w:tc>
                <w:tcPr>
                  <w:tcW w:w="5244" w:type="dxa"/>
                  <w:tcBorders>
                    <w:top w:val="nil"/>
                    <w:left w:val="nil"/>
                    <w:bottom w:val="nil"/>
                    <w:right w:val="nil"/>
                  </w:tcBorders>
                </w:tcPr>
                <w:p w14:paraId="2EEA5F8C" w14:textId="77777777" w:rsidR="0029427C" w:rsidRPr="00E60C06" w:rsidRDefault="00CD24A0" w:rsidP="00F55F8D">
                  <w:pPr>
                    <w:spacing w:after="0" w:line="259" w:lineRule="auto"/>
                    <w:ind w:left="188" w:right="72" w:firstLine="0"/>
                  </w:pPr>
                  <w:r w:rsidRPr="00E60C06">
                    <w:t xml:space="preserve">Tasmania </w:t>
                  </w:r>
                </w:p>
              </w:tc>
              <w:tc>
                <w:tcPr>
                  <w:tcW w:w="994" w:type="dxa"/>
                  <w:tcBorders>
                    <w:top w:val="nil"/>
                    <w:left w:val="nil"/>
                    <w:bottom w:val="nil"/>
                    <w:right w:val="nil"/>
                  </w:tcBorders>
                </w:tcPr>
                <w:p w14:paraId="70603860" w14:textId="77777777" w:rsidR="0029427C" w:rsidRPr="00E60C06" w:rsidRDefault="00CD24A0" w:rsidP="00F55F8D">
                  <w:pPr>
                    <w:spacing w:after="0" w:line="259" w:lineRule="auto"/>
                    <w:ind w:left="188" w:right="72" w:firstLine="0"/>
                  </w:pPr>
                  <w:r w:rsidRPr="00E60C06">
                    <w:t xml:space="preserve">0.63 </w:t>
                  </w:r>
                </w:p>
              </w:tc>
              <w:tc>
                <w:tcPr>
                  <w:tcW w:w="994" w:type="dxa"/>
                  <w:tcBorders>
                    <w:top w:val="nil"/>
                    <w:left w:val="nil"/>
                    <w:bottom w:val="nil"/>
                    <w:right w:val="nil"/>
                  </w:tcBorders>
                </w:tcPr>
                <w:p w14:paraId="365FC143" w14:textId="77777777" w:rsidR="0029427C" w:rsidRPr="00E60C06" w:rsidRDefault="00CD24A0" w:rsidP="00F55F8D">
                  <w:pPr>
                    <w:spacing w:after="0" w:line="259" w:lineRule="auto"/>
                    <w:ind w:left="188" w:right="72" w:firstLine="0"/>
                  </w:pPr>
                  <w:r w:rsidRPr="00E60C06">
                    <w:t xml:space="preserve">0.27 </w:t>
                  </w:r>
                </w:p>
              </w:tc>
              <w:tc>
                <w:tcPr>
                  <w:tcW w:w="742" w:type="dxa"/>
                  <w:tcBorders>
                    <w:top w:val="nil"/>
                    <w:left w:val="nil"/>
                    <w:bottom w:val="nil"/>
                    <w:right w:val="nil"/>
                  </w:tcBorders>
                </w:tcPr>
                <w:p w14:paraId="1285E54F" w14:textId="77777777" w:rsidR="0029427C" w:rsidRPr="00E60C06" w:rsidRDefault="00CD24A0" w:rsidP="00F55F8D">
                  <w:pPr>
                    <w:spacing w:after="0" w:line="259" w:lineRule="auto"/>
                    <w:ind w:left="188" w:right="72" w:firstLine="0"/>
                  </w:pPr>
                  <w:r w:rsidRPr="00E60C06">
                    <w:t xml:space="preserve">0.90 </w:t>
                  </w:r>
                </w:p>
              </w:tc>
            </w:tr>
            <w:tr w:rsidR="0029427C" w:rsidRPr="00E60C06" w14:paraId="469D4C48" w14:textId="77777777">
              <w:trPr>
                <w:trHeight w:val="269"/>
              </w:trPr>
              <w:tc>
                <w:tcPr>
                  <w:tcW w:w="5244" w:type="dxa"/>
                  <w:tcBorders>
                    <w:top w:val="nil"/>
                    <w:left w:val="nil"/>
                    <w:bottom w:val="nil"/>
                    <w:right w:val="nil"/>
                  </w:tcBorders>
                </w:tcPr>
                <w:p w14:paraId="58EA90AA" w14:textId="77777777" w:rsidR="0029427C" w:rsidRPr="00E60C06" w:rsidRDefault="00CD24A0" w:rsidP="00F55F8D">
                  <w:pPr>
                    <w:spacing w:after="0" w:line="259" w:lineRule="auto"/>
                    <w:ind w:left="188" w:right="72" w:firstLine="0"/>
                  </w:pPr>
                  <w:r w:rsidRPr="00E60C06">
                    <w:t xml:space="preserve">Australian Capital Territory </w:t>
                  </w:r>
                </w:p>
              </w:tc>
              <w:tc>
                <w:tcPr>
                  <w:tcW w:w="994" w:type="dxa"/>
                  <w:tcBorders>
                    <w:top w:val="nil"/>
                    <w:left w:val="nil"/>
                    <w:bottom w:val="nil"/>
                    <w:right w:val="nil"/>
                  </w:tcBorders>
                </w:tcPr>
                <w:p w14:paraId="39BCA612" w14:textId="77777777" w:rsidR="0029427C" w:rsidRPr="00E60C06" w:rsidRDefault="00CD24A0" w:rsidP="00F55F8D">
                  <w:pPr>
                    <w:spacing w:after="0" w:line="259" w:lineRule="auto"/>
                    <w:ind w:left="188" w:right="72" w:firstLine="0"/>
                  </w:pPr>
                  <w:r w:rsidRPr="00E60C06">
                    <w:t xml:space="preserve">0.50 </w:t>
                  </w:r>
                </w:p>
              </w:tc>
              <w:tc>
                <w:tcPr>
                  <w:tcW w:w="994" w:type="dxa"/>
                  <w:tcBorders>
                    <w:top w:val="nil"/>
                    <w:left w:val="nil"/>
                    <w:bottom w:val="nil"/>
                    <w:right w:val="nil"/>
                  </w:tcBorders>
                </w:tcPr>
                <w:p w14:paraId="153BD1FD" w14:textId="77777777" w:rsidR="0029427C" w:rsidRPr="00E60C06" w:rsidRDefault="00CD24A0" w:rsidP="00F55F8D">
                  <w:pPr>
                    <w:spacing w:after="0" w:line="259" w:lineRule="auto"/>
                    <w:ind w:left="188" w:right="72" w:firstLine="0"/>
                  </w:pPr>
                  <w:r w:rsidRPr="00E60C06">
                    <w:t xml:space="preserve">0.21 </w:t>
                  </w:r>
                </w:p>
              </w:tc>
              <w:tc>
                <w:tcPr>
                  <w:tcW w:w="742" w:type="dxa"/>
                  <w:tcBorders>
                    <w:top w:val="nil"/>
                    <w:left w:val="nil"/>
                    <w:bottom w:val="nil"/>
                    <w:right w:val="nil"/>
                  </w:tcBorders>
                </w:tcPr>
                <w:p w14:paraId="32F39B65" w14:textId="77777777" w:rsidR="0029427C" w:rsidRPr="00E60C06" w:rsidRDefault="00CD24A0" w:rsidP="00F55F8D">
                  <w:pPr>
                    <w:spacing w:after="0" w:line="259" w:lineRule="auto"/>
                    <w:ind w:left="188" w:right="72" w:firstLine="0"/>
                  </w:pPr>
                  <w:r w:rsidRPr="00E60C06">
                    <w:t xml:space="preserve">0.72 </w:t>
                  </w:r>
                </w:p>
              </w:tc>
            </w:tr>
            <w:tr w:rsidR="0029427C" w:rsidRPr="00E60C06" w14:paraId="72E15EF9" w14:textId="77777777">
              <w:trPr>
                <w:trHeight w:val="257"/>
              </w:trPr>
              <w:tc>
                <w:tcPr>
                  <w:tcW w:w="5244" w:type="dxa"/>
                  <w:tcBorders>
                    <w:top w:val="nil"/>
                    <w:left w:val="nil"/>
                    <w:bottom w:val="nil"/>
                    <w:right w:val="nil"/>
                  </w:tcBorders>
                </w:tcPr>
                <w:p w14:paraId="1B8430CA" w14:textId="77777777" w:rsidR="0029427C" w:rsidRPr="00E60C06" w:rsidRDefault="00CD24A0" w:rsidP="00F55F8D">
                  <w:pPr>
                    <w:spacing w:after="0" w:line="259" w:lineRule="auto"/>
                    <w:ind w:left="188" w:right="72" w:firstLine="0"/>
                  </w:pPr>
                  <w:r w:rsidRPr="00E60C06">
                    <w:t xml:space="preserve">Northern Territory </w:t>
                  </w:r>
                </w:p>
              </w:tc>
              <w:tc>
                <w:tcPr>
                  <w:tcW w:w="994" w:type="dxa"/>
                  <w:tcBorders>
                    <w:top w:val="nil"/>
                    <w:left w:val="nil"/>
                    <w:bottom w:val="single" w:sz="8" w:space="0" w:color="000000"/>
                    <w:right w:val="nil"/>
                  </w:tcBorders>
                </w:tcPr>
                <w:p w14:paraId="39506590" w14:textId="77777777" w:rsidR="0029427C" w:rsidRPr="00E60C06" w:rsidRDefault="00CD24A0" w:rsidP="00F55F8D">
                  <w:pPr>
                    <w:spacing w:after="0" w:line="259" w:lineRule="auto"/>
                    <w:ind w:left="188" w:right="72" w:firstLine="0"/>
                  </w:pPr>
                  <w:r w:rsidRPr="00E60C06">
                    <w:t xml:space="preserve">0.29 </w:t>
                  </w:r>
                </w:p>
              </w:tc>
              <w:tc>
                <w:tcPr>
                  <w:tcW w:w="994" w:type="dxa"/>
                  <w:tcBorders>
                    <w:top w:val="nil"/>
                    <w:left w:val="nil"/>
                    <w:bottom w:val="single" w:sz="8" w:space="0" w:color="000000"/>
                    <w:right w:val="nil"/>
                  </w:tcBorders>
                </w:tcPr>
                <w:p w14:paraId="5C551748" w14:textId="77777777" w:rsidR="0029427C" w:rsidRPr="00E60C06" w:rsidRDefault="00CD24A0" w:rsidP="00F55F8D">
                  <w:pPr>
                    <w:spacing w:after="0" w:line="259" w:lineRule="auto"/>
                    <w:ind w:left="188" w:right="72" w:firstLine="0"/>
                  </w:pPr>
                  <w:r w:rsidRPr="00E60C06">
                    <w:t xml:space="preserve">0.12 </w:t>
                  </w:r>
                </w:p>
              </w:tc>
              <w:tc>
                <w:tcPr>
                  <w:tcW w:w="742" w:type="dxa"/>
                  <w:tcBorders>
                    <w:top w:val="nil"/>
                    <w:left w:val="nil"/>
                    <w:bottom w:val="single" w:sz="8" w:space="0" w:color="000000"/>
                    <w:right w:val="nil"/>
                  </w:tcBorders>
                </w:tcPr>
                <w:p w14:paraId="476B1A6B" w14:textId="77777777" w:rsidR="0029427C" w:rsidRPr="00E60C06" w:rsidRDefault="00CD24A0" w:rsidP="00F55F8D">
                  <w:pPr>
                    <w:spacing w:after="0" w:line="259" w:lineRule="auto"/>
                    <w:ind w:left="188" w:right="72" w:firstLine="0"/>
                  </w:pPr>
                  <w:r w:rsidRPr="00E60C06">
                    <w:t xml:space="preserve">0.41 </w:t>
                  </w:r>
                </w:p>
              </w:tc>
            </w:tr>
          </w:tbl>
          <w:p w14:paraId="4B056A12" w14:textId="77777777" w:rsidR="0029427C" w:rsidRPr="00E60C06" w:rsidRDefault="00CD24A0" w:rsidP="00F55F8D">
            <w:pPr>
              <w:tabs>
                <w:tab w:val="center" w:pos="1668"/>
                <w:tab w:val="center" w:pos="5496"/>
                <w:tab w:val="center" w:pos="6489"/>
                <w:tab w:val="center" w:pos="7483"/>
              </w:tabs>
              <w:spacing w:after="0" w:line="259" w:lineRule="auto"/>
              <w:ind w:left="188" w:right="72" w:firstLine="0"/>
            </w:pPr>
            <w:r w:rsidRPr="00E60C06">
              <w:t xml:space="preserve">Non-Commonwealth contributions </w:t>
            </w:r>
            <w:r w:rsidRPr="00E60C06">
              <w:tab/>
              <w:t xml:space="preserve">29.90 </w:t>
            </w:r>
            <w:r w:rsidRPr="00E60C06">
              <w:tab/>
              <w:t xml:space="preserve">12.80 </w:t>
            </w:r>
            <w:r w:rsidRPr="00E60C06">
              <w:tab/>
              <w:t xml:space="preserve">42.70 </w:t>
            </w:r>
          </w:p>
          <w:p w14:paraId="3C9DDECE" w14:textId="26FCDCEE" w:rsidR="0029427C" w:rsidRPr="00E60C06" w:rsidRDefault="00CD24A0" w:rsidP="00F55F8D">
            <w:pPr>
              <w:spacing w:after="78" w:line="259" w:lineRule="auto"/>
              <w:ind w:left="188" w:right="72" w:firstLine="0"/>
            </w:pPr>
            <w:r w:rsidRPr="00E60C06">
              <w:rPr>
                <w:rFonts w:eastAsia="Corbel"/>
                <w:color w:val="FF0000"/>
                <w:sz w:val="4"/>
              </w:rPr>
              <w:t xml:space="preserve"> </w:t>
            </w:r>
          </w:p>
          <w:p w14:paraId="189282F1" w14:textId="77777777" w:rsidR="00E60C06" w:rsidRDefault="00E60C06" w:rsidP="0D7AA1FC">
            <w:pPr>
              <w:spacing w:after="57" w:line="259" w:lineRule="auto"/>
              <w:ind w:left="76" w:right="72" w:firstLine="0"/>
              <w:rPr>
                <w:rFonts w:eastAsia="Corbel"/>
              </w:rPr>
            </w:pPr>
          </w:p>
          <w:p w14:paraId="318392AB" w14:textId="77777777" w:rsidR="00E60C06" w:rsidRDefault="00E60C06" w:rsidP="0D7AA1FC">
            <w:pPr>
              <w:spacing w:after="57" w:line="259" w:lineRule="auto"/>
              <w:ind w:left="76" w:right="72" w:firstLine="0"/>
              <w:rPr>
                <w:rFonts w:eastAsia="Corbel"/>
              </w:rPr>
            </w:pPr>
          </w:p>
          <w:p w14:paraId="1D30FD73" w14:textId="77777777" w:rsidR="00E60C06" w:rsidRDefault="00E60C06" w:rsidP="0D7AA1FC">
            <w:pPr>
              <w:spacing w:after="57" w:line="259" w:lineRule="auto"/>
              <w:ind w:left="76" w:right="72" w:firstLine="0"/>
              <w:rPr>
                <w:rFonts w:eastAsia="Corbel"/>
              </w:rPr>
            </w:pPr>
          </w:p>
          <w:p w14:paraId="746949F5" w14:textId="55F51537" w:rsidR="00E60C06" w:rsidRPr="007476C1" w:rsidRDefault="00082CBF" w:rsidP="007476C1">
            <w:pPr>
              <w:spacing w:after="57" w:line="259" w:lineRule="auto"/>
              <w:ind w:left="76" w:right="72" w:firstLine="0"/>
              <w:rPr>
                <w:rFonts w:cstheme="minorBidi"/>
              </w:rPr>
            </w:pPr>
            <w:r w:rsidRPr="00E60C06">
              <w:rPr>
                <w:rFonts w:eastAsia="Corbel"/>
              </w:rPr>
              <w:lastRenderedPageBreak/>
              <w:t>Table 2</w:t>
            </w:r>
            <w:r w:rsidR="4B6C1149" w:rsidRPr="00E60C06">
              <w:rPr>
                <w:rFonts w:eastAsia="Corbel"/>
              </w:rPr>
              <w:t>a</w:t>
            </w:r>
            <w:r w:rsidR="00AB115E" w:rsidRPr="00E60C06">
              <w:rPr>
                <w:rFonts w:eastAsia="Corbel"/>
              </w:rPr>
              <w:t>:</w:t>
            </w:r>
            <w:r w:rsidRPr="00E60C06">
              <w:rPr>
                <w:rFonts w:eastAsia="Corbel"/>
              </w:rPr>
              <w:t xml:space="preserve"> Estimated financial contributions for </w:t>
            </w:r>
            <w:r w:rsidR="00F06C68" w:rsidRPr="00E60C06">
              <w:rPr>
                <w:rFonts w:eastAsia="Corbel"/>
              </w:rPr>
              <w:t xml:space="preserve">student support and </w:t>
            </w:r>
            <w:r w:rsidRPr="00E60C06">
              <w:rPr>
                <w:rFonts w:eastAsia="Corbel"/>
              </w:rPr>
              <w:t xml:space="preserve">ancillary funding </w:t>
            </w:r>
            <w:r w:rsidR="001D16B8" w:rsidRPr="00E60C06">
              <w:rPr>
                <w:rFonts w:eastAsia="Corbel"/>
              </w:rPr>
              <w:t xml:space="preserve">for Fee-Free </w:t>
            </w:r>
            <w:r w:rsidR="007A6F82" w:rsidRPr="00E60C06">
              <w:rPr>
                <w:rFonts w:eastAsia="Corbel"/>
              </w:rPr>
              <w:t>Const</w:t>
            </w:r>
            <w:r w:rsidR="00C3438A" w:rsidRPr="00E60C06">
              <w:rPr>
                <w:rFonts w:eastAsia="Corbel"/>
              </w:rPr>
              <w:t>r</w:t>
            </w:r>
            <w:r w:rsidR="007A6F82" w:rsidRPr="00E60C06">
              <w:rPr>
                <w:rFonts w:eastAsia="Corbel"/>
              </w:rPr>
              <w:t xml:space="preserve">uction </w:t>
            </w:r>
            <w:r w:rsidR="001D16B8" w:rsidRPr="00E60C06">
              <w:rPr>
                <w:rFonts w:eastAsia="Corbel"/>
              </w:rPr>
              <w:t>places</w:t>
            </w:r>
            <w:r w:rsidR="0C96B112" w:rsidRPr="00E60C06">
              <w:rPr>
                <w:rFonts w:eastAsia="Corbel"/>
              </w:rPr>
              <w:t xml:space="preserve">, </w:t>
            </w:r>
            <w:r w:rsidR="001D16B8" w:rsidRPr="00E60C06">
              <w:rPr>
                <w:rFonts w:eastAsia="Corbel"/>
              </w:rPr>
              <w:t xml:space="preserve">including </w:t>
            </w:r>
            <w:r w:rsidR="00CB565F" w:rsidRPr="00E60C06">
              <w:rPr>
                <w:rFonts w:eastAsia="Corbel"/>
              </w:rPr>
              <w:t xml:space="preserve">up to 5,000 </w:t>
            </w:r>
            <w:r w:rsidR="001D16B8" w:rsidRPr="00E60C06">
              <w:rPr>
                <w:rFonts w:eastAsia="Corbel"/>
              </w:rPr>
              <w:t>pre-apprenticeships</w:t>
            </w:r>
            <w:r w:rsidR="00C07902" w:rsidRPr="00E60C06">
              <w:rPr>
                <w:rStyle w:val="normaltextrun"/>
                <w:rFonts w:cstheme="minorBidi"/>
                <w:sz w:val="24"/>
              </w:rPr>
              <w:t xml:space="preserve"> </w:t>
            </w:r>
            <w:r w:rsidR="00C07902" w:rsidRPr="00E60C06">
              <w:rPr>
                <w:rStyle w:val="normaltextrun"/>
                <w:rFonts w:cstheme="minorBidi"/>
              </w:rPr>
              <w:t xml:space="preserve">(Appendix </w:t>
            </w:r>
            <w:r w:rsidR="009B081F" w:rsidRPr="00E60C06">
              <w:rPr>
                <w:rStyle w:val="normaltextrun"/>
                <w:rFonts w:cstheme="minorBidi"/>
              </w:rPr>
              <w:t>G</w:t>
            </w:r>
            <w:r w:rsidR="00C07902" w:rsidRPr="00E60C06">
              <w:rPr>
                <w:rStyle w:val="normaltextrun"/>
                <w:rFonts w:cstheme="minorBidi"/>
              </w:rPr>
              <w:t xml:space="preserve"> refers).</w:t>
            </w:r>
          </w:p>
          <w:tbl>
            <w:tblPr>
              <w:tblW w:w="6748" w:type="dxa"/>
              <w:tblCellMar>
                <w:top w:w="15" w:type="dxa"/>
                <w:bottom w:w="15" w:type="dxa"/>
              </w:tblCellMar>
              <w:tblLook w:val="04A0" w:firstRow="1" w:lastRow="0" w:firstColumn="1" w:lastColumn="0" w:noHBand="0" w:noVBand="1"/>
            </w:tblPr>
            <w:tblGrid>
              <w:gridCol w:w="3063"/>
              <w:gridCol w:w="971"/>
              <w:gridCol w:w="1357"/>
              <w:gridCol w:w="1357"/>
            </w:tblGrid>
            <w:tr w:rsidR="008E1F27" w:rsidRPr="00E60C06" w14:paraId="36EB05FB" w14:textId="77777777" w:rsidTr="78456D5D">
              <w:trPr>
                <w:trHeight w:val="270"/>
              </w:trPr>
              <w:tc>
                <w:tcPr>
                  <w:tcW w:w="3063" w:type="dxa"/>
                  <w:tcBorders>
                    <w:bottom w:val="single" w:sz="4" w:space="0" w:color="auto"/>
                  </w:tcBorders>
                  <w:shd w:val="clear" w:color="auto" w:fill="auto"/>
                  <w:noWrap/>
                  <w:vAlign w:val="center"/>
                  <w:hideMark/>
                </w:tcPr>
                <w:p w14:paraId="29FACECE" w14:textId="77777777" w:rsidR="008E1F27" w:rsidRPr="00E60C06" w:rsidRDefault="008E1F27" w:rsidP="00F55F8D">
                  <w:pPr>
                    <w:spacing w:after="0" w:line="240" w:lineRule="auto"/>
                    <w:ind w:left="188" w:right="72"/>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 million)</w:t>
                  </w:r>
                </w:p>
              </w:tc>
              <w:tc>
                <w:tcPr>
                  <w:tcW w:w="971" w:type="dxa"/>
                  <w:tcBorders>
                    <w:bottom w:val="single" w:sz="4" w:space="0" w:color="auto"/>
                  </w:tcBorders>
                  <w:shd w:val="clear" w:color="auto" w:fill="auto"/>
                  <w:vAlign w:val="center"/>
                  <w:hideMark/>
                </w:tcPr>
                <w:p w14:paraId="15DC720E" w14:textId="2C06E1AE" w:rsidR="008E1F27" w:rsidRPr="00E60C06" w:rsidRDefault="008E1F27" w:rsidP="00F55F8D">
                  <w:pPr>
                    <w:spacing w:after="0" w:line="240" w:lineRule="auto"/>
                    <w:ind w:left="188" w:right="72"/>
                    <w:jc w:val="center"/>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2024-25</w:t>
                  </w:r>
                </w:p>
              </w:tc>
              <w:tc>
                <w:tcPr>
                  <w:tcW w:w="1357" w:type="dxa"/>
                  <w:tcBorders>
                    <w:bottom w:val="single" w:sz="4" w:space="0" w:color="auto"/>
                  </w:tcBorders>
                  <w:shd w:val="clear" w:color="auto" w:fill="auto"/>
                  <w:vAlign w:val="center"/>
                  <w:hideMark/>
                </w:tcPr>
                <w:p w14:paraId="451045EC" w14:textId="77777777" w:rsidR="008E1F27" w:rsidRPr="00E60C06" w:rsidRDefault="008E1F27" w:rsidP="00F55F8D">
                  <w:pPr>
                    <w:spacing w:after="0" w:line="240" w:lineRule="auto"/>
                    <w:ind w:left="188" w:right="72"/>
                    <w:jc w:val="center"/>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2025-26</w:t>
                  </w:r>
                </w:p>
              </w:tc>
              <w:tc>
                <w:tcPr>
                  <w:tcW w:w="1357" w:type="dxa"/>
                  <w:tcBorders>
                    <w:bottom w:val="single" w:sz="4" w:space="0" w:color="auto"/>
                  </w:tcBorders>
                  <w:shd w:val="clear" w:color="auto" w:fill="auto"/>
                  <w:vAlign w:val="center"/>
                  <w:hideMark/>
                </w:tcPr>
                <w:p w14:paraId="5BAA7F85" w14:textId="77777777" w:rsidR="008E1F27" w:rsidRPr="00E60C06" w:rsidRDefault="008E1F27" w:rsidP="00F55F8D">
                  <w:pPr>
                    <w:spacing w:after="0" w:line="240" w:lineRule="auto"/>
                    <w:ind w:left="188" w:right="72"/>
                    <w:jc w:val="center"/>
                    <w:rPr>
                      <w:rFonts w:eastAsia="Times New Roman"/>
                      <w:b/>
                      <w:color w:val="000000" w:themeColor="text1"/>
                      <w:kern w:val="0"/>
                      <w:szCs w:val="22"/>
                      <w14:ligatures w14:val="none"/>
                    </w:rPr>
                  </w:pPr>
                  <w:r w:rsidRPr="00E60C06">
                    <w:rPr>
                      <w:rFonts w:eastAsia="Times New Roman"/>
                      <w:b/>
                      <w:color w:val="000000" w:themeColor="text1"/>
                      <w:kern w:val="0"/>
                      <w:szCs w:val="22"/>
                      <w14:ligatures w14:val="none"/>
                    </w:rPr>
                    <w:t>Total</w:t>
                  </w:r>
                </w:p>
              </w:tc>
            </w:tr>
            <w:tr w:rsidR="008E1F27" w:rsidRPr="00E60C06" w14:paraId="15ED86BA" w14:textId="77777777" w:rsidTr="78456D5D">
              <w:trPr>
                <w:trHeight w:val="255"/>
              </w:trPr>
              <w:tc>
                <w:tcPr>
                  <w:tcW w:w="3063" w:type="dxa"/>
                  <w:tcBorders>
                    <w:top w:val="single" w:sz="4" w:space="0" w:color="auto"/>
                  </w:tcBorders>
                  <w:shd w:val="clear" w:color="auto" w:fill="FFFFFF" w:themeFill="background1"/>
                  <w:noWrap/>
                  <w:vAlign w:val="center"/>
                  <w:hideMark/>
                </w:tcPr>
                <w:p w14:paraId="715140E7" w14:textId="77777777" w:rsidR="008E1F27" w:rsidRPr="00E60C06" w:rsidRDefault="008E1F27" w:rsidP="00F55F8D">
                  <w:pPr>
                    <w:spacing w:after="0" w:line="240" w:lineRule="auto"/>
                    <w:ind w:left="188" w:right="72" w:hanging="188"/>
                    <w:rPr>
                      <w:rFonts w:eastAsia="Times New Roman"/>
                      <w:b/>
                      <w:kern w:val="0"/>
                      <w:szCs w:val="22"/>
                      <w14:ligatures w14:val="none"/>
                    </w:rPr>
                  </w:pPr>
                  <w:r w:rsidRPr="00E60C06">
                    <w:rPr>
                      <w:rFonts w:eastAsia="Times New Roman"/>
                      <w:b/>
                      <w:kern w:val="0"/>
                      <w:szCs w:val="22"/>
                      <w14:ligatures w14:val="none"/>
                    </w:rPr>
                    <w:t>Estimated Total Budget</w:t>
                  </w:r>
                </w:p>
              </w:tc>
              <w:tc>
                <w:tcPr>
                  <w:tcW w:w="971" w:type="dxa"/>
                  <w:tcBorders>
                    <w:top w:val="single" w:sz="4" w:space="0" w:color="auto"/>
                    <w:bottom w:val="single" w:sz="4" w:space="0" w:color="auto"/>
                  </w:tcBorders>
                  <w:noWrap/>
                  <w:vAlign w:val="center"/>
                  <w:hideMark/>
                </w:tcPr>
                <w:p w14:paraId="5533CC23" w14:textId="77777777" w:rsidR="008E1F27" w:rsidRPr="00E60C06" w:rsidRDefault="008E1F27" w:rsidP="00F55F8D">
                  <w:pPr>
                    <w:spacing w:after="0" w:line="240" w:lineRule="auto"/>
                    <w:ind w:left="188" w:right="72"/>
                    <w:jc w:val="center"/>
                    <w:rPr>
                      <w:rFonts w:eastAsia="Times New Roman"/>
                      <w:b/>
                      <w:kern w:val="0"/>
                      <w:szCs w:val="22"/>
                      <w14:ligatures w14:val="none"/>
                    </w:rPr>
                  </w:pPr>
                  <w:r w:rsidRPr="00E60C06">
                    <w:rPr>
                      <w:rFonts w:eastAsia="Times New Roman"/>
                      <w:b/>
                      <w:kern w:val="0"/>
                      <w:szCs w:val="22"/>
                      <w14:ligatures w14:val="none"/>
                    </w:rPr>
                    <w:t>5.118</w:t>
                  </w:r>
                </w:p>
              </w:tc>
              <w:tc>
                <w:tcPr>
                  <w:tcW w:w="1357" w:type="dxa"/>
                  <w:tcBorders>
                    <w:top w:val="single" w:sz="4" w:space="0" w:color="auto"/>
                    <w:bottom w:val="single" w:sz="4" w:space="0" w:color="auto"/>
                  </w:tcBorders>
                  <w:noWrap/>
                  <w:vAlign w:val="center"/>
                  <w:hideMark/>
                </w:tcPr>
                <w:p w14:paraId="3F2B3C0C" w14:textId="77777777" w:rsidR="008E1F27" w:rsidRPr="00E60C06" w:rsidRDefault="008E1F27" w:rsidP="00F55F8D">
                  <w:pPr>
                    <w:spacing w:after="0" w:line="240" w:lineRule="auto"/>
                    <w:ind w:left="188" w:right="72"/>
                    <w:jc w:val="center"/>
                    <w:rPr>
                      <w:rFonts w:eastAsia="Times New Roman"/>
                      <w:b/>
                      <w:kern w:val="0"/>
                      <w:szCs w:val="22"/>
                      <w14:ligatures w14:val="none"/>
                    </w:rPr>
                  </w:pPr>
                  <w:r w:rsidRPr="00E60C06">
                    <w:rPr>
                      <w:rFonts w:eastAsia="Times New Roman"/>
                      <w:b/>
                      <w:kern w:val="0"/>
                      <w:szCs w:val="22"/>
                      <w14:ligatures w14:val="none"/>
                    </w:rPr>
                    <w:t>2.429</w:t>
                  </w:r>
                </w:p>
              </w:tc>
              <w:tc>
                <w:tcPr>
                  <w:tcW w:w="1357" w:type="dxa"/>
                  <w:tcBorders>
                    <w:top w:val="single" w:sz="4" w:space="0" w:color="auto"/>
                    <w:bottom w:val="single" w:sz="4" w:space="0" w:color="auto"/>
                  </w:tcBorders>
                  <w:noWrap/>
                  <w:vAlign w:val="center"/>
                  <w:hideMark/>
                </w:tcPr>
                <w:p w14:paraId="6401036E" w14:textId="77777777" w:rsidR="008E1F27" w:rsidRPr="00E60C06" w:rsidRDefault="008E1F27" w:rsidP="00F55F8D">
                  <w:pPr>
                    <w:spacing w:after="0" w:line="240" w:lineRule="auto"/>
                    <w:ind w:left="188" w:right="72"/>
                    <w:jc w:val="center"/>
                    <w:rPr>
                      <w:rFonts w:eastAsia="Times New Roman"/>
                      <w:b/>
                      <w:kern w:val="0"/>
                      <w:szCs w:val="22"/>
                      <w14:ligatures w14:val="none"/>
                    </w:rPr>
                  </w:pPr>
                  <w:r w:rsidRPr="00E60C06">
                    <w:rPr>
                      <w:rFonts w:eastAsia="Times New Roman"/>
                      <w:b/>
                      <w:kern w:val="0"/>
                      <w:szCs w:val="22"/>
                      <w14:ligatures w14:val="none"/>
                    </w:rPr>
                    <w:t>7.547</w:t>
                  </w:r>
                </w:p>
              </w:tc>
            </w:tr>
            <w:tr w:rsidR="008E1F27" w:rsidRPr="00E60C06" w14:paraId="74F8CD93" w14:textId="77777777" w:rsidTr="78456D5D">
              <w:trPr>
                <w:trHeight w:val="255"/>
              </w:trPr>
              <w:tc>
                <w:tcPr>
                  <w:tcW w:w="3063" w:type="dxa"/>
                  <w:noWrap/>
                  <w:vAlign w:val="bottom"/>
                  <w:hideMark/>
                </w:tcPr>
                <w:p w14:paraId="54565966"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New South Wales</w:t>
                  </w:r>
                </w:p>
              </w:tc>
              <w:tc>
                <w:tcPr>
                  <w:tcW w:w="971" w:type="dxa"/>
                  <w:tcBorders>
                    <w:top w:val="single" w:sz="4" w:space="0" w:color="auto"/>
                  </w:tcBorders>
                  <w:noWrap/>
                  <w:vAlign w:val="center"/>
                  <w:hideMark/>
                </w:tcPr>
                <w:p w14:paraId="0FB07101"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1.599</w:t>
                  </w:r>
                </w:p>
              </w:tc>
              <w:tc>
                <w:tcPr>
                  <w:tcW w:w="1357" w:type="dxa"/>
                  <w:tcBorders>
                    <w:top w:val="single" w:sz="4" w:space="0" w:color="auto"/>
                  </w:tcBorders>
                  <w:noWrap/>
                  <w:vAlign w:val="center"/>
                  <w:hideMark/>
                </w:tcPr>
                <w:p w14:paraId="7EEBE9C2"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0.759</w:t>
                  </w:r>
                </w:p>
              </w:tc>
              <w:tc>
                <w:tcPr>
                  <w:tcW w:w="1357" w:type="dxa"/>
                  <w:tcBorders>
                    <w:top w:val="single" w:sz="4" w:space="0" w:color="auto"/>
                  </w:tcBorders>
                  <w:noWrap/>
                  <w:vAlign w:val="center"/>
                  <w:hideMark/>
                </w:tcPr>
                <w:p w14:paraId="609CA87E"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2.358</w:t>
                  </w:r>
                </w:p>
              </w:tc>
            </w:tr>
            <w:tr w:rsidR="008E1F27" w:rsidRPr="00E60C06" w14:paraId="6C075E7D" w14:textId="77777777" w:rsidTr="78456D5D">
              <w:trPr>
                <w:trHeight w:val="255"/>
              </w:trPr>
              <w:tc>
                <w:tcPr>
                  <w:tcW w:w="3063" w:type="dxa"/>
                  <w:noWrap/>
                  <w:vAlign w:val="bottom"/>
                  <w:hideMark/>
                </w:tcPr>
                <w:p w14:paraId="07F37E83"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Victoria</w:t>
                  </w:r>
                </w:p>
              </w:tc>
              <w:tc>
                <w:tcPr>
                  <w:tcW w:w="971" w:type="dxa"/>
                  <w:noWrap/>
                  <w:vAlign w:val="center"/>
                  <w:hideMark/>
                </w:tcPr>
                <w:p w14:paraId="23490FAE"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1.315</w:t>
                  </w:r>
                </w:p>
              </w:tc>
              <w:tc>
                <w:tcPr>
                  <w:tcW w:w="1357" w:type="dxa"/>
                  <w:noWrap/>
                  <w:vAlign w:val="center"/>
                  <w:hideMark/>
                </w:tcPr>
                <w:p w14:paraId="44EB4081"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0.626</w:t>
                  </w:r>
                </w:p>
              </w:tc>
              <w:tc>
                <w:tcPr>
                  <w:tcW w:w="1357" w:type="dxa"/>
                  <w:noWrap/>
                  <w:vAlign w:val="center"/>
                  <w:hideMark/>
                </w:tcPr>
                <w:p w14:paraId="49736C1D"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1.942</w:t>
                  </w:r>
                </w:p>
              </w:tc>
            </w:tr>
            <w:tr w:rsidR="008E1F27" w:rsidRPr="00E60C06" w14:paraId="3D7F6D8F" w14:textId="77777777" w:rsidTr="78456D5D">
              <w:trPr>
                <w:trHeight w:val="255"/>
              </w:trPr>
              <w:tc>
                <w:tcPr>
                  <w:tcW w:w="3063" w:type="dxa"/>
                  <w:noWrap/>
                  <w:vAlign w:val="bottom"/>
                  <w:hideMark/>
                </w:tcPr>
                <w:p w14:paraId="71C0C5F6"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Queensland</w:t>
                  </w:r>
                </w:p>
              </w:tc>
              <w:tc>
                <w:tcPr>
                  <w:tcW w:w="971" w:type="dxa"/>
                  <w:noWrap/>
                  <w:vAlign w:val="center"/>
                  <w:hideMark/>
                </w:tcPr>
                <w:p w14:paraId="0B776595"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1.051</w:t>
                  </w:r>
                </w:p>
              </w:tc>
              <w:tc>
                <w:tcPr>
                  <w:tcW w:w="1357" w:type="dxa"/>
                  <w:noWrap/>
                  <w:vAlign w:val="center"/>
                  <w:hideMark/>
                </w:tcPr>
                <w:p w14:paraId="7E80B84D"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0.499</w:t>
                  </w:r>
                </w:p>
              </w:tc>
              <w:tc>
                <w:tcPr>
                  <w:tcW w:w="1357" w:type="dxa"/>
                  <w:noWrap/>
                  <w:vAlign w:val="center"/>
                  <w:hideMark/>
                </w:tcPr>
                <w:p w14:paraId="3ABB4629"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1.550</w:t>
                  </w:r>
                </w:p>
              </w:tc>
            </w:tr>
            <w:tr w:rsidR="008E1F27" w:rsidRPr="00E60C06" w14:paraId="4D2DA861" w14:textId="77777777" w:rsidTr="78456D5D">
              <w:trPr>
                <w:trHeight w:val="255"/>
              </w:trPr>
              <w:tc>
                <w:tcPr>
                  <w:tcW w:w="3063" w:type="dxa"/>
                  <w:noWrap/>
                  <w:vAlign w:val="bottom"/>
                  <w:hideMark/>
                </w:tcPr>
                <w:p w14:paraId="5C9AD88B"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Western Australia</w:t>
                  </w:r>
                </w:p>
              </w:tc>
              <w:tc>
                <w:tcPr>
                  <w:tcW w:w="971" w:type="dxa"/>
                  <w:noWrap/>
                  <w:vAlign w:val="center"/>
                  <w:hideMark/>
                </w:tcPr>
                <w:p w14:paraId="3B724548"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0.556</w:t>
                  </w:r>
                </w:p>
              </w:tc>
              <w:tc>
                <w:tcPr>
                  <w:tcW w:w="1357" w:type="dxa"/>
                  <w:noWrap/>
                  <w:vAlign w:val="center"/>
                  <w:hideMark/>
                </w:tcPr>
                <w:p w14:paraId="29D8AD81"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0.264</w:t>
                  </w:r>
                </w:p>
              </w:tc>
              <w:tc>
                <w:tcPr>
                  <w:tcW w:w="1357" w:type="dxa"/>
                  <w:noWrap/>
                  <w:vAlign w:val="center"/>
                  <w:hideMark/>
                </w:tcPr>
                <w:p w14:paraId="205A8F06"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0.820</w:t>
                  </w:r>
                </w:p>
              </w:tc>
            </w:tr>
            <w:tr w:rsidR="008E1F27" w:rsidRPr="00E60C06" w14:paraId="12205982" w14:textId="77777777" w:rsidTr="78456D5D">
              <w:trPr>
                <w:trHeight w:val="255"/>
              </w:trPr>
              <w:tc>
                <w:tcPr>
                  <w:tcW w:w="3063" w:type="dxa"/>
                  <w:noWrap/>
                  <w:vAlign w:val="bottom"/>
                  <w:hideMark/>
                </w:tcPr>
                <w:p w14:paraId="6BA16ADA"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South Australia</w:t>
                  </w:r>
                </w:p>
              </w:tc>
              <w:tc>
                <w:tcPr>
                  <w:tcW w:w="971" w:type="dxa"/>
                  <w:noWrap/>
                  <w:vAlign w:val="center"/>
                  <w:hideMark/>
                </w:tcPr>
                <w:p w14:paraId="2A8D1054"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0.352</w:t>
                  </w:r>
                </w:p>
              </w:tc>
              <w:tc>
                <w:tcPr>
                  <w:tcW w:w="1357" w:type="dxa"/>
                  <w:noWrap/>
                  <w:vAlign w:val="center"/>
                  <w:hideMark/>
                </w:tcPr>
                <w:p w14:paraId="00B825FC"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0.166</w:t>
                  </w:r>
                </w:p>
              </w:tc>
              <w:tc>
                <w:tcPr>
                  <w:tcW w:w="1357" w:type="dxa"/>
                  <w:noWrap/>
                  <w:vAlign w:val="center"/>
                  <w:hideMark/>
                </w:tcPr>
                <w:p w14:paraId="1815A9D0"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0.518</w:t>
                  </w:r>
                </w:p>
              </w:tc>
            </w:tr>
            <w:tr w:rsidR="008E1F27" w:rsidRPr="00E60C06" w14:paraId="79D30192" w14:textId="77777777" w:rsidTr="78456D5D">
              <w:trPr>
                <w:trHeight w:val="255"/>
              </w:trPr>
              <w:tc>
                <w:tcPr>
                  <w:tcW w:w="3063" w:type="dxa"/>
                  <w:noWrap/>
                  <w:vAlign w:val="bottom"/>
                  <w:hideMark/>
                </w:tcPr>
                <w:p w14:paraId="7E169040"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Tasmania</w:t>
                  </w:r>
                </w:p>
              </w:tc>
              <w:tc>
                <w:tcPr>
                  <w:tcW w:w="971" w:type="dxa"/>
                  <w:noWrap/>
                  <w:vAlign w:val="center"/>
                  <w:hideMark/>
                </w:tcPr>
                <w:p w14:paraId="42A8DC67"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0.107</w:t>
                  </w:r>
                </w:p>
              </w:tc>
              <w:tc>
                <w:tcPr>
                  <w:tcW w:w="1357" w:type="dxa"/>
                  <w:noWrap/>
                  <w:vAlign w:val="center"/>
                  <w:hideMark/>
                </w:tcPr>
                <w:p w14:paraId="631C21EC"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0.051</w:t>
                  </w:r>
                </w:p>
              </w:tc>
              <w:tc>
                <w:tcPr>
                  <w:tcW w:w="1357" w:type="dxa"/>
                  <w:noWrap/>
                  <w:vAlign w:val="center"/>
                  <w:hideMark/>
                </w:tcPr>
                <w:p w14:paraId="5D935FE7"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0.158</w:t>
                  </w:r>
                </w:p>
              </w:tc>
            </w:tr>
            <w:tr w:rsidR="008E1F27" w:rsidRPr="00E60C06" w14:paraId="22F92A7D" w14:textId="77777777" w:rsidTr="78456D5D">
              <w:trPr>
                <w:trHeight w:val="255"/>
              </w:trPr>
              <w:tc>
                <w:tcPr>
                  <w:tcW w:w="3063" w:type="dxa"/>
                  <w:noWrap/>
                  <w:vAlign w:val="bottom"/>
                  <w:hideMark/>
                </w:tcPr>
                <w:p w14:paraId="2EF04A62"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Australian Capital Territory</w:t>
                  </w:r>
                </w:p>
              </w:tc>
              <w:tc>
                <w:tcPr>
                  <w:tcW w:w="971" w:type="dxa"/>
                  <w:noWrap/>
                  <w:vAlign w:val="center"/>
                  <w:hideMark/>
                </w:tcPr>
                <w:p w14:paraId="53624D52"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0.089</w:t>
                  </w:r>
                </w:p>
              </w:tc>
              <w:tc>
                <w:tcPr>
                  <w:tcW w:w="1357" w:type="dxa"/>
                  <w:noWrap/>
                  <w:vAlign w:val="center"/>
                  <w:hideMark/>
                </w:tcPr>
                <w:p w14:paraId="7D3D13B5"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0.042</w:t>
                  </w:r>
                </w:p>
              </w:tc>
              <w:tc>
                <w:tcPr>
                  <w:tcW w:w="1357" w:type="dxa"/>
                  <w:noWrap/>
                  <w:vAlign w:val="center"/>
                  <w:hideMark/>
                </w:tcPr>
                <w:p w14:paraId="0756AB60"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0.132</w:t>
                  </w:r>
                </w:p>
              </w:tc>
            </w:tr>
            <w:tr w:rsidR="008E1F27" w:rsidRPr="00E60C06" w14:paraId="4A8387B7" w14:textId="77777777" w:rsidTr="78456D5D">
              <w:trPr>
                <w:trHeight w:val="255"/>
              </w:trPr>
              <w:tc>
                <w:tcPr>
                  <w:tcW w:w="3063" w:type="dxa"/>
                  <w:tcBorders>
                    <w:bottom w:val="single" w:sz="4" w:space="0" w:color="auto"/>
                  </w:tcBorders>
                  <w:noWrap/>
                  <w:vAlign w:val="bottom"/>
                  <w:hideMark/>
                </w:tcPr>
                <w:p w14:paraId="4BDFC21E" w14:textId="77777777" w:rsidR="008E1F27" w:rsidRPr="00E60C06" w:rsidRDefault="008E1F27" w:rsidP="00F55F8D">
                  <w:pPr>
                    <w:spacing w:after="0" w:line="240" w:lineRule="auto"/>
                    <w:ind w:left="188" w:right="72" w:hanging="188"/>
                    <w:rPr>
                      <w:rFonts w:eastAsia="Times New Roman"/>
                      <w:kern w:val="0"/>
                      <w:szCs w:val="22"/>
                      <w14:ligatures w14:val="none"/>
                    </w:rPr>
                  </w:pPr>
                  <w:r w:rsidRPr="00E60C06">
                    <w:rPr>
                      <w:rFonts w:eastAsia="Times New Roman"/>
                      <w:kern w:val="0"/>
                      <w:szCs w:val="22"/>
                      <w14:ligatures w14:val="none"/>
                    </w:rPr>
                    <w:t>Northern Territory</w:t>
                  </w:r>
                </w:p>
              </w:tc>
              <w:tc>
                <w:tcPr>
                  <w:tcW w:w="971" w:type="dxa"/>
                  <w:tcBorders>
                    <w:bottom w:val="single" w:sz="4" w:space="0" w:color="auto"/>
                  </w:tcBorders>
                  <w:noWrap/>
                  <w:vAlign w:val="center"/>
                  <w:hideMark/>
                </w:tcPr>
                <w:p w14:paraId="6226E864"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0.048</w:t>
                  </w:r>
                </w:p>
              </w:tc>
              <w:tc>
                <w:tcPr>
                  <w:tcW w:w="1357" w:type="dxa"/>
                  <w:tcBorders>
                    <w:bottom w:val="single" w:sz="4" w:space="0" w:color="auto"/>
                  </w:tcBorders>
                  <w:noWrap/>
                  <w:vAlign w:val="center"/>
                  <w:hideMark/>
                </w:tcPr>
                <w:p w14:paraId="09AE28F6"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0.022</w:t>
                  </w:r>
                </w:p>
              </w:tc>
              <w:tc>
                <w:tcPr>
                  <w:tcW w:w="1357" w:type="dxa"/>
                  <w:tcBorders>
                    <w:bottom w:val="single" w:sz="4" w:space="0" w:color="auto"/>
                  </w:tcBorders>
                  <w:noWrap/>
                  <w:vAlign w:val="center"/>
                  <w:hideMark/>
                </w:tcPr>
                <w:p w14:paraId="5C808BE4" w14:textId="77777777" w:rsidR="008E1F27" w:rsidRPr="00E60C06" w:rsidRDefault="008E1F27" w:rsidP="00F55F8D">
                  <w:pPr>
                    <w:spacing w:after="0" w:line="240" w:lineRule="auto"/>
                    <w:ind w:left="188" w:right="72"/>
                    <w:jc w:val="center"/>
                    <w:rPr>
                      <w:rFonts w:eastAsia="Times New Roman"/>
                      <w:kern w:val="0"/>
                      <w:szCs w:val="22"/>
                      <w14:ligatures w14:val="none"/>
                    </w:rPr>
                  </w:pPr>
                  <w:r w:rsidRPr="00E60C06">
                    <w:rPr>
                      <w:rFonts w:eastAsia="Times New Roman"/>
                      <w:kern w:val="0"/>
                      <w:szCs w:val="22"/>
                      <w14:ligatures w14:val="none"/>
                    </w:rPr>
                    <w:t>0.070</w:t>
                  </w:r>
                </w:p>
              </w:tc>
            </w:tr>
          </w:tbl>
          <w:p w14:paraId="7A4A0CB5" w14:textId="7434CCF3" w:rsidR="00A97729" w:rsidRPr="00E60C06" w:rsidRDefault="00A97729" w:rsidP="00F55F8D">
            <w:pPr>
              <w:ind w:left="188" w:right="72" w:hanging="142"/>
              <w:rPr>
                <w:rStyle w:val="normaltextrun"/>
                <w:rFonts w:cstheme="minorBidi"/>
                <w:sz w:val="16"/>
                <w:szCs w:val="16"/>
              </w:rPr>
            </w:pPr>
            <w:r w:rsidRPr="00E60C06">
              <w:rPr>
                <w:rStyle w:val="normaltextrun"/>
                <w:rFonts w:cstheme="minorBidi"/>
                <w:sz w:val="16"/>
                <w:szCs w:val="16"/>
              </w:rPr>
              <w:t xml:space="preserve">Source: Calculation based on state population projections from </w:t>
            </w:r>
            <w:r w:rsidR="00283815" w:rsidRPr="00E60C06">
              <w:rPr>
                <w:rStyle w:val="normaltextrun"/>
                <w:rFonts w:cstheme="minorBidi"/>
                <w:sz w:val="16"/>
                <w:szCs w:val="16"/>
              </w:rPr>
              <w:t xml:space="preserve">the </w:t>
            </w:r>
            <w:r w:rsidRPr="00E60C06">
              <w:rPr>
                <w:rStyle w:val="normaltextrun"/>
                <w:rFonts w:cstheme="minorBidi"/>
                <w:sz w:val="16"/>
                <w:szCs w:val="16"/>
              </w:rPr>
              <w:t>2024-25 Commonwealth Budget</w:t>
            </w:r>
            <w:r w:rsidR="109280DF" w:rsidRPr="00E60C06">
              <w:rPr>
                <w:rStyle w:val="normaltextrun"/>
                <w:rFonts w:cstheme="minorBidi"/>
                <w:sz w:val="16"/>
                <w:szCs w:val="16"/>
              </w:rPr>
              <w:t xml:space="preserve">. </w:t>
            </w:r>
            <w:r w:rsidR="5F031459" w:rsidRPr="00E60C06">
              <w:rPr>
                <w:rStyle w:val="normaltextrun"/>
                <w:rFonts w:cstheme="minorBidi"/>
                <w:sz w:val="16"/>
                <w:szCs w:val="16"/>
              </w:rPr>
              <w:t xml:space="preserve">Discrepancies in tables between totals and sums of components are due to rounding. </w:t>
            </w:r>
          </w:p>
          <w:p w14:paraId="5D3BAAE1" w14:textId="77777777" w:rsidR="00190215" w:rsidRPr="007476C1" w:rsidRDefault="00190215" w:rsidP="00220E6C">
            <w:pPr>
              <w:spacing w:after="0" w:line="259" w:lineRule="auto"/>
              <w:ind w:left="76" w:right="72" w:firstLine="0"/>
              <w:rPr>
                <w:sz w:val="16"/>
                <w:szCs w:val="18"/>
              </w:rPr>
            </w:pPr>
          </w:p>
          <w:p w14:paraId="3C88A7E1" w14:textId="204EADE8" w:rsidR="000862E8" w:rsidRPr="00E60C06" w:rsidRDefault="00573093" w:rsidP="00220E6C">
            <w:pPr>
              <w:spacing w:after="0" w:line="259" w:lineRule="auto"/>
              <w:ind w:left="76" w:right="72" w:firstLine="0"/>
              <w:rPr>
                <w:rFonts w:eastAsia="Corbel"/>
                <w:color w:val="auto"/>
              </w:rPr>
            </w:pPr>
            <w:r w:rsidRPr="00E60C06">
              <w:t>Table 3: Estimated financial contributions for additional student support</w:t>
            </w:r>
            <w:r w:rsidR="415472BA" w:rsidRPr="00E60C06">
              <w:t xml:space="preserve"> </w:t>
            </w:r>
            <w:r w:rsidR="415472BA" w:rsidRPr="00E60C06">
              <w:rPr>
                <w:rFonts w:eastAsia="Corbel"/>
                <w:color w:val="auto"/>
              </w:rPr>
              <w:t>for Fee-Free TAFE Tranche 1 (Appendix A refers)</w:t>
            </w:r>
          </w:p>
          <w:tbl>
            <w:tblPr>
              <w:tblW w:w="8661" w:type="dxa"/>
              <w:tblCellMar>
                <w:left w:w="0" w:type="dxa"/>
                <w:right w:w="0" w:type="dxa"/>
              </w:tblCellMar>
              <w:tblLook w:val="04A0" w:firstRow="1" w:lastRow="0" w:firstColumn="1" w:lastColumn="0" w:noHBand="0" w:noVBand="1"/>
            </w:tblPr>
            <w:tblGrid>
              <w:gridCol w:w="4328"/>
              <w:gridCol w:w="1234"/>
              <w:gridCol w:w="1359"/>
              <w:gridCol w:w="1358"/>
            </w:tblGrid>
            <w:tr w:rsidR="00F8573D" w:rsidRPr="00E60C06" w14:paraId="1E3F0F37" w14:textId="77777777" w:rsidTr="00715994">
              <w:trPr>
                <w:trHeight w:val="315"/>
              </w:trPr>
              <w:tc>
                <w:tcPr>
                  <w:tcW w:w="4540" w:type="dxa"/>
                  <w:noWrap/>
                  <w:tcMar>
                    <w:top w:w="0" w:type="dxa"/>
                    <w:left w:w="108" w:type="dxa"/>
                    <w:bottom w:w="0" w:type="dxa"/>
                    <w:right w:w="108" w:type="dxa"/>
                  </w:tcMar>
                  <w:vAlign w:val="center"/>
                  <w:hideMark/>
                </w:tcPr>
                <w:p w14:paraId="073DEDF0" w14:textId="77777777" w:rsidR="00F8573D" w:rsidRPr="00E60C06" w:rsidRDefault="00F8573D" w:rsidP="00F8573D">
                  <w:pPr>
                    <w:rPr>
                      <w:b/>
                      <w:bCs/>
                    </w:rPr>
                  </w:pPr>
                  <w:r w:rsidRPr="00E60C06">
                    <w:rPr>
                      <w:b/>
                      <w:bCs/>
                    </w:rPr>
                    <w:t>($ million)</w:t>
                  </w:r>
                </w:p>
              </w:tc>
              <w:tc>
                <w:tcPr>
                  <w:tcW w:w="1286" w:type="dxa"/>
                  <w:tcBorders>
                    <w:top w:val="nil"/>
                    <w:left w:val="nil"/>
                    <w:bottom w:val="single" w:sz="8" w:space="0" w:color="000080"/>
                    <w:right w:val="nil"/>
                  </w:tcBorders>
                  <w:noWrap/>
                  <w:tcMar>
                    <w:top w:w="0" w:type="dxa"/>
                    <w:left w:w="108" w:type="dxa"/>
                    <w:bottom w:w="0" w:type="dxa"/>
                    <w:right w:w="108" w:type="dxa"/>
                  </w:tcMar>
                  <w:vAlign w:val="center"/>
                  <w:hideMark/>
                </w:tcPr>
                <w:p w14:paraId="6DDDD5F1" w14:textId="77777777" w:rsidR="00F8573D" w:rsidRPr="00E60C06" w:rsidRDefault="00F8573D" w:rsidP="00F8573D">
                  <w:pPr>
                    <w:jc w:val="right"/>
                  </w:pPr>
                  <w:r w:rsidRPr="00E60C06">
                    <w:t>2022-23</w:t>
                  </w:r>
                </w:p>
              </w:tc>
              <w:tc>
                <w:tcPr>
                  <w:tcW w:w="1418" w:type="dxa"/>
                  <w:tcBorders>
                    <w:top w:val="nil"/>
                    <w:left w:val="nil"/>
                    <w:bottom w:val="single" w:sz="8" w:space="0" w:color="000080"/>
                    <w:right w:val="nil"/>
                  </w:tcBorders>
                  <w:noWrap/>
                  <w:tcMar>
                    <w:top w:w="0" w:type="dxa"/>
                    <w:left w:w="108" w:type="dxa"/>
                    <w:bottom w:w="0" w:type="dxa"/>
                    <w:right w:w="108" w:type="dxa"/>
                  </w:tcMar>
                  <w:vAlign w:val="center"/>
                  <w:hideMark/>
                </w:tcPr>
                <w:p w14:paraId="726582DF" w14:textId="77777777" w:rsidR="00F8573D" w:rsidRPr="00E60C06" w:rsidRDefault="00F8573D" w:rsidP="00F8573D">
                  <w:pPr>
                    <w:jc w:val="right"/>
                  </w:pPr>
                  <w:r w:rsidRPr="00E60C06">
                    <w:t>2023-24</w:t>
                  </w:r>
                </w:p>
              </w:tc>
              <w:tc>
                <w:tcPr>
                  <w:tcW w:w="1417" w:type="dxa"/>
                  <w:tcBorders>
                    <w:top w:val="nil"/>
                    <w:left w:val="nil"/>
                    <w:bottom w:val="single" w:sz="8" w:space="0" w:color="000080"/>
                    <w:right w:val="nil"/>
                  </w:tcBorders>
                  <w:noWrap/>
                  <w:tcMar>
                    <w:top w:w="0" w:type="dxa"/>
                    <w:left w:w="108" w:type="dxa"/>
                    <w:bottom w:w="0" w:type="dxa"/>
                    <w:right w:w="108" w:type="dxa"/>
                  </w:tcMar>
                  <w:vAlign w:val="center"/>
                  <w:hideMark/>
                </w:tcPr>
                <w:p w14:paraId="3B5A9CD3" w14:textId="77777777" w:rsidR="00F8573D" w:rsidRPr="00E60C06" w:rsidRDefault="00F8573D" w:rsidP="00F8573D">
                  <w:pPr>
                    <w:jc w:val="right"/>
                  </w:pPr>
                  <w:r w:rsidRPr="00E60C06">
                    <w:t>Total</w:t>
                  </w:r>
                </w:p>
              </w:tc>
            </w:tr>
            <w:tr w:rsidR="00F8573D" w:rsidRPr="00E60C06" w14:paraId="2515761E" w14:textId="77777777" w:rsidTr="00715994">
              <w:trPr>
                <w:trHeight w:val="315"/>
              </w:trPr>
              <w:tc>
                <w:tcPr>
                  <w:tcW w:w="4540" w:type="dxa"/>
                  <w:tcBorders>
                    <w:top w:val="single" w:sz="8" w:space="0" w:color="000080"/>
                    <w:left w:val="nil"/>
                    <w:bottom w:val="nil"/>
                    <w:right w:val="nil"/>
                  </w:tcBorders>
                  <w:noWrap/>
                  <w:tcMar>
                    <w:top w:w="0" w:type="dxa"/>
                    <w:left w:w="108" w:type="dxa"/>
                    <w:bottom w:w="0" w:type="dxa"/>
                    <w:right w:w="108" w:type="dxa"/>
                  </w:tcMar>
                  <w:vAlign w:val="center"/>
                  <w:hideMark/>
                </w:tcPr>
                <w:p w14:paraId="74376C2C" w14:textId="77777777" w:rsidR="00F8573D" w:rsidRPr="00E60C06" w:rsidRDefault="00F8573D" w:rsidP="00F8573D">
                  <w:pPr>
                    <w:rPr>
                      <w:b/>
                      <w:bCs/>
                    </w:rPr>
                  </w:pPr>
                  <w:r w:rsidRPr="00E60C06">
                    <w:rPr>
                      <w:b/>
                      <w:bCs/>
                    </w:rPr>
                    <w:t>Estimated total budget</w:t>
                  </w:r>
                </w:p>
              </w:tc>
              <w:tc>
                <w:tcPr>
                  <w:tcW w:w="1286" w:type="dxa"/>
                  <w:tcBorders>
                    <w:top w:val="nil"/>
                    <w:left w:val="nil"/>
                    <w:bottom w:val="single" w:sz="8" w:space="0" w:color="000080"/>
                    <w:right w:val="nil"/>
                  </w:tcBorders>
                  <w:noWrap/>
                  <w:tcMar>
                    <w:top w:w="0" w:type="dxa"/>
                    <w:left w:w="108" w:type="dxa"/>
                    <w:bottom w:w="0" w:type="dxa"/>
                    <w:right w:w="108" w:type="dxa"/>
                  </w:tcMar>
                  <w:vAlign w:val="bottom"/>
                  <w:hideMark/>
                </w:tcPr>
                <w:p w14:paraId="0D3DC0DC" w14:textId="77777777" w:rsidR="00F8573D" w:rsidRPr="00E60C06" w:rsidRDefault="00F8573D" w:rsidP="00F8573D">
                  <w:pPr>
                    <w:jc w:val="right"/>
                  </w:pPr>
                  <w:r w:rsidRPr="00E60C06">
                    <w:t>47.26</w:t>
                  </w:r>
                </w:p>
              </w:tc>
              <w:tc>
                <w:tcPr>
                  <w:tcW w:w="1418" w:type="dxa"/>
                  <w:tcBorders>
                    <w:top w:val="nil"/>
                    <w:left w:val="nil"/>
                    <w:bottom w:val="single" w:sz="8" w:space="0" w:color="000080"/>
                    <w:right w:val="nil"/>
                  </w:tcBorders>
                  <w:noWrap/>
                  <w:tcMar>
                    <w:top w:w="0" w:type="dxa"/>
                    <w:left w:w="108" w:type="dxa"/>
                    <w:bottom w:w="0" w:type="dxa"/>
                    <w:right w:w="108" w:type="dxa"/>
                  </w:tcMar>
                  <w:vAlign w:val="bottom"/>
                  <w:hideMark/>
                </w:tcPr>
                <w:p w14:paraId="151C688E" w14:textId="77777777" w:rsidR="00F8573D" w:rsidRPr="00E60C06" w:rsidRDefault="00F8573D" w:rsidP="00F8573D">
                  <w:pPr>
                    <w:jc w:val="right"/>
                  </w:pPr>
                  <w:r w:rsidRPr="00E60C06">
                    <w:t>0.00</w:t>
                  </w:r>
                </w:p>
              </w:tc>
              <w:tc>
                <w:tcPr>
                  <w:tcW w:w="1417" w:type="dxa"/>
                  <w:tcBorders>
                    <w:top w:val="nil"/>
                    <w:left w:val="nil"/>
                    <w:bottom w:val="single" w:sz="8" w:space="0" w:color="000080"/>
                    <w:right w:val="nil"/>
                  </w:tcBorders>
                  <w:noWrap/>
                  <w:tcMar>
                    <w:top w:w="0" w:type="dxa"/>
                    <w:left w:w="108" w:type="dxa"/>
                    <w:bottom w:w="0" w:type="dxa"/>
                    <w:right w:w="108" w:type="dxa"/>
                  </w:tcMar>
                  <w:vAlign w:val="bottom"/>
                  <w:hideMark/>
                </w:tcPr>
                <w:p w14:paraId="7DE3BEA3" w14:textId="77777777" w:rsidR="00F8573D" w:rsidRPr="00E60C06" w:rsidRDefault="00F8573D" w:rsidP="00F8573D">
                  <w:pPr>
                    <w:jc w:val="right"/>
                  </w:pPr>
                  <w:r w:rsidRPr="00E60C06">
                    <w:t>47.26</w:t>
                  </w:r>
                </w:p>
              </w:tc>
            </w:tr>
            <w:tr w:rsidR="00F8573D" w:rsidRPr="00E60C06" w14:paraId="45B982EF" w14:textId="77777777" w:rsidTr="00715994">
              <w:trPr>
                <w:trHeight w:val="300"/>
              </w:trPr>
              <w:tc>
                <w:tcPr>
                  <w:tcW w:w="4540" w:type="dxa"/>
                  <w:noWrap/>
                  <w:tcMar>
                    <w:top w:w="0" w:type="dxa"/>
                    <w:left w:w="108" w:type="dxa"/>
                    <w:bottom w:w="0" w:type="dxa"/>
                    <w:right w:w="108" w:type="dxa"/>
                  </w:tcMar>
                  <w:vAlign w:val="center"/>
                  <w:hideMark/>
                </w:tcPr>
                <w:p w14:paraId="43611CF6" w14:textId="77777777" w:rsidR="00F8573D" w:rsidRPr="00E60C06" w:rsidRDefault="00F8573D" w:rsidP="00F8573D">
                  <w:pPr>
                    <w:rPr>
                      <w:b/>
                      <w:bCs/>
                    </w:rPr>
                  </w:pPr>
                  <w:r w:rsidRPr="00E60C06">
                    <w:rPr>
                      <w:b/>
                      <w:bCs/>
                    </w:rPr>
                    <w:t>Less estimated National Partnership payments</w:t>
                  </w:r>
                </w:p>
              </w:tc>
              <w:tc>
                <w:tcPr>
                  <w:tcW w:w="1286" w:type="dxa"/>
                  <w:noWrap/>
                  <w:tcMar>
                    <w:top w:w="0" w:type="dxa"/>
                    <w:left w:w="108" w:type="dxa"/>
                    <w:bottom w:w="0" w:type="dxa"/>
                    <w:right w:w="108" w:type="dxa"/>
                  </w:tcMar>
                  <w:vAlign w:val="bottom"/>
                  <w:hideMark/>
                </w:tcPr>
                <w:p w14:paraId="7FA0EED1" w14:textId="77777777" w:rsidR="00F8573D" w:rsidRPr="00E60C06" w:rsidRDefault="00F8573D" w:rsidP="00F8573D">
                  <w:pPr>
                    <w:jc w:val="right"/>
                  </w:pPr>
                  <w:r w:rsidRPr="00E60C06">
                    <w:t>23.63</w:t>
                  </w:r>
                </w:p>
              </w:tc>
              <w:tc>
                <w:tcPr>
                  <w:tcW w:w="1418" w:type="dxa"/>
                  <w:noWrap/>
                  <w:tcMar>
                    <w:top w:w="0" w:type="dxa"/>
                    <w:left w:w="108" w:type="dxa"/>
                    <w:bottom w:w="0" w:type="dxa"/>
                    <w:right w:w="108" w:type="dxa"/>
                  </w:tcMar>
                  <w:vAlign w:val="bottom"/>
                  <w:hideMark/>
                </w:tcPr>
                <w:p w14:paraId="5BF6C5E1"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25122F9E" w14:textId="77777777" w:rsidR="00F8573D" w:rsidRPr="00E60C06" w:rsidRDefault="00F8573D" w:rsidP="00F8573D">
                  <w:pPr>
                    <w:jc w:val="right"/>
                  </w:pPr>
                  <w:r w:rsidRPr="00E60C06">
                    <w:t>23.63</w:t>
                  </w:r>
                </w:p>
              </w:tc>
            </w:tr>
            <w:tr w:rsidR="00F8573D" w:rsidRPr="00E60C06" w14:paraId="723C175A" w14:textId="77777777" w:rsidTr="00715994">
              <w:trPr>
                <w:trHeight w:val="300"/>
              </w:trPr>
              <w:tc>
                <w:tcPr>
                  <w:tcW w:w="4540" w:type="dxa"/>
                  <w:noWrap/>
                  <w:tcMar>
                    <w:top w:w="0" w:type="dxa"/>
                    <w:left w:w="108" w:type="dxa"/>
                    <w:bottom w:w="0" w:type="dxa"/>
                    <w:right w:w="108" w:type="dxa"/>
                  </w:tcMar>
                  <w:vAlign w:val="center"/>
                  <w:hideMark/>
                </w:tcPr>
                <w:p w14:paraId="78E0F00D" w14:textId="77777777" w:rsidR="00F8573D" w:rsidRPr="00E60C06" w:rsidRDefault="00F8573D" w:rsidP="00F8573D">
                  <w:r w:rsidRPr="00E60C06">
                    <w:t>New South Wales</w:t>
                  </w:r>
                </w:p>
              </w:tc>
              <w:tc>
                <w:tcPr>
                  <w:tcW w:w="1286" w:type="dxa"/>
                  <w:noWrap/>
                  <w:tcMar>
                    <w:top w:w="0" w:type="dxa"/>
                    <w:left w:w="108" w:type="dxa"/>
                    <w:bottom w:w="0" w:type="dxa"/>
                    <w:right w:w="108" w:type="dxa"/>
                  </w:tcMar>
                  <w:vAlign w:val="bottom"/>
                  <w:hideMark/>
                </w:tcPr>
                <w:p w14:paraId="68660BC5" w14:textId="77777777" w:rsidR="00F8573D" w:rsidRPr="00E60C06" w:rsidRDefault="00F8573D" w:rsidP="00F8573D">
                  <w:pPr>
                    <w:jc w:val="right"/>
                  </w:pPr>
                  <w:r w:rsidRPr="00E60C06">
                    <w:t>7.44</w:t>
                  </w:r>
                </w:p>
              </w:tc>
              <w:tc>
                <w:tcPr>
                  <w:tcW w:w="1418" w:type="dxa"/>
                  <w:noWrap/>
                  <w:tcMar>
                    <w:top w:w="0" w:type="dxa"/>
                    <w:left w:w="108" w:type="dxa"/>
                    <w:bottom w:w="0" w:type="dxa"/>
                    <w:right w:w="108" w:type="dxa"/>
                  </w:tcMar>
                  <w:vAlign w:val="bottom"/>
                  <w:hideMark/>
                </w:tcPr>
                <w:p w14:paraId="2DDE77E2"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4AA9E17B" w14:textId="77777777" w:rsidR="00F8573D" w:rsidRPr="00E60C06" w:rsidRDefault="00F8573D" w:rsidP="00F8573D">
                  <w:pPr>
                    <w:jc w:val="right"/>
                  </w:pPr>
                  <w:r w:rsidRPr="00E60C06">
                    <w:t>7.44</w:t>
                  </w:r>
                </w:p>
              </w:tc>
            </w:tr>
            <w:tr w:rsidR="00F8573D" w:rsidRPr="00E60C06" w14:paraId="4921ADCB" w14:textId="77777777" w:rsidTr="00715994">
              <w:trPr>
                <w:trHeight w:val="300"/>
              </w:trPr>
              <w:tc>
                <w:tcPr>
                  <w:tcW w:w="4540" w:type="dxa"/>
                  <w:noWrap/>
                  <w:tcMar>
                    <w:top w:w="0" w:type="dxa"/>
                    <w:left w:w="108" w:type="dxa"/>
                    <w:bottom w:w="0" w:type="dxa"/>
                    <w:right w:w="108" w:type="dxa"/>
                  </w:tcMar>
                  <w:vAlign w:val="center"/>
                  <w:hideMark/>
                </w:tcPr>
                <w:p w14:paraId="0658D893" w14:textId="77777777" w:rsidR="00F8573D" w:rsidRPr="00E60C06" w:rsidRDefault="00F8573D" w:rsidP="00F8573D">
                  <w:r w:rsidRPr="00E60C06">
                    <w:t>Victoria</w:t>
                  </w:r>
                </w:p>
              </w:tc>
              <w:tc>
                <w:tcPr>
                  <w:tcW w:w="1286" w:type="dxa"/>
                  <w:noWrap/>
                  <w:tcMar>
                    <w:top w:w="0" w:type="dxa"/>
                    <w:left w:w="108" w:type="dxa"/>
                    <w:bottom w:w="0" w:type="dxa"/>
                    <w:right w:w="108" w:type="dxa"/>
                  </w:tcMar>
                  <w:vAlign w:val="bottom"/>
                  <w:hideMark/>
                </w:tcPr>
                <w:p w14:paraId="19794311" w14:textId="77777777" w:rsidR="00F8573D" w:rsidRPr="00E60C06" w:rsidRDefault="00F8573D" w:rsidP="00F8573D">
                  <w:pPr>
                    <w:jc w:val="right"/>
                  </w:pPr>
                  <w:r w:rsidRPr="00E60C06">
                    <w:t>6.11</w:t>
                  </w:r>
                </w:p>
              </w:tc>
              <w:tc>
                <w:tcPr>
                  <w:tcW w:w="1418" w:type="dxa"/>
                  <w:noWrap/>
                  <w:tcMar>
                    <w:top w:w="0" w:type="dxa"/>
                    <w:left w:w="108" w:type="dxa"/>
                    <w:bottom w:w="0" w:type="dxa"/>
                    <w:right w:w="108" w:type="dxa"/>
                  </w:tcMar>
                  <w:vAlign w:val="bottom"/>
                  <w:hideMark/>
                </w:tcPr>
                <w:p w14:paraId="5C0E9779"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36D5F4EB" w14:textId="77777777" w:rsidR="00F8573D" w:rsidRPr="00E60C06" w:rsidRDefault="00F8573D" w:rsidP="00F8573D">
                  <w:pPr>
                    <w:jc w:val="right"/>
                  </w:pPr>
                  <w:r w:rsidRPr="00E60C06">
                    <w:t>6.11</w:t>
                  </w:r>
                </w:p>
              </w:tc>
            </w:tr>
            <w:tr w:rsidR="00F8573D" w:rsidRPr="00E60C06" w14:paraId="33CC8043" w14:textId="77777777" w:rsidTr="00715994">
              <w:trPr>
                <w:trHeight w:val="300"/>
              </w:trPr>
              <w:tc>
                <w:tcPr>
                  <w:tcW w:w="4540" w:type="dxa"/>
                  <w:noWrap/>
                  <w:tcMar>
                    <w:top w:w="0" w:type="dxa"/>
                    <w:left w:w="108" w:type="dxa"/>
                    <w:bottom w:w="0" w:type="dxa"/>
                    <w:right w:w="108" w:type="dxa"/>
                  </w:tcMar>
                  <w:vAlign w:val="center"/>
                  <w:hideMark/>
                </w:tcPr>
                <w:p w14:paraId="2C151718" w14:textId="77777777" w:rsidR="00F8573D" w:rsidRPr="00E60C06" w:rsidRDefault="00F8573D" w:rsidP="00F8573D">
                  <w:r w:rsidRPr="00E60C06">
                    <w:t>Queensland</w:t>
                  </w:r>
                </w:p>
              </w:tc>
              <w:tc>
                <w:tcPr>
                  <w:tcW w:w="1286" w:type="dxa"/>
                  <w:noWrap/>
                  <w:tcMar>
                    <w:top w:w="0" w:type="dxa"/>
                    <w:left w:w="108" w:type="dxa"/>
                    <w:bottom w:w="0" w:type="dxa"/>
                    <w:right w:w="108" w:type="dxa"/>
                  </w:tcMar>
                  <w:vAlign w:val="bottom"/>
                  <w:hideMark/>
                </w:tcPr>
                <w:p w14:paraId="4023BF19" w14:textId="77777777" w:rsidR="00F8573D" w:rsidRPr="00E60C06" w:rsidRDefault="00F8573D" w:rsidP="00F8573D">
                  <w:pPr>
                    <w:jc w:val="right"/>
                  </w:pPr>
                  <w:r w:rsidRPr="00E60C06">
                    <w:t>4.84</w:t>
                  </w:r>
                </w:p>
              </w:tc>
              <w:tc>
                <w:tcPr>
                  <w:tcW w:w="1418" w:type="dxa"/>
                  <w:noWrap/>
                  <w:tcMar>
                    <w:top w:w="0" w:type="dxa"/>
                    <w:left w:w="108" w:type="dxa"/>
                    <w:bottom w:w="0" w:type="dxa"/>
                    <w:right w:w="108" w:type="dxa"/>
                  </w:tcMar>
                  <w:vAlign w:val="bottom"/>
                  <w:hideMark/>
                </w:tcPr>
                <w:p w14:paraId="3666F195"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264EB041" w14:textId="77777777" w:rsidR="00F8573D" w:rsidRPr="00E60C06" w:rsidRDefault="00F8573D" w:rsidP="00F8573D">
                  <w:pPr>
                    <w:jc w:val="right"/>
                  </w:pPr>
                  <w:r w:rsidRPr="00E60C06">
                    <w:t>4.84</w:t>
                  </w:r>
                </w:p>
              </w:tc>
            </w:tr>
            <w:tr w:rsidR="00F8573D" w:rsidRPr="00E60C06" w14:paraId="63AD7473" w14:textId="77777777" w:rsidTr="00715994">
              <w:trPr>
                <w:trHeight w:val="300"/>
              </w:trPr>
              <w:tc>
                <w:tcPr>
                  <w:tcW w:w="4540" w:type="dxa"/>
                  <w:noWrap/>
                  <w:tcMar>
                    <w:top w:w="0" w:type="dxa"/>
                    <w:left w:w="108" w:type="dxa"/>
                    <w:bottom w:w="0" w:type="dxa"/>
                    <w:right w:w="108" w:type="dxa"/>
                  </w:tcMar>
                  <w:vAlign w:val="center"/>
                  <w:hideMark/>
                </w:tcPr>
                <w:p w14:paraId="47614B3A" w14:textId="77777777" w:rsidR="00F8573D" w:rsidRPr="00E60C06" w:rsidRDefault="00F8573D" w:rsidP="00F8573D">
                  <w:r w:rsidRPr="00E60C06">
                    <w:t>Western Australia</w:t>
                  </w:r>
                </w:p>
              </w:tc>
              <w:tc>
                <w:tcPr>
                  <w:tcW w:w="1286" w:type="dxa"/>
                  <w:noWrap/>
                  <w:tcMar>
                    <w:top w:w="0" w:type="dxa"/>
                    <w:left w:w="108" w:type="dxa"/>
                    <w:bottom w:w="0" w:type="dxa"/>
                    <w:right w:w="108" w:type="dxa"/>
                  </w:tcMar>
                  <w:vAlign w:val="bottom"/>
                  <w:hideMark/>
                </w:tcPr>
                <w:p w14:paraId="7A8FD572" w14:textId="77777777" w:rsidR="00F8573D" w:rsidRPr="00E60C06" w:rsidRDefault="00F8573D" w:rsidP="00F8573D">
                  <w:pPr>
                    <w:jc w:val="right"/>
                  </w:pPr>
                  <w:r w:rsidRPr="00E60C06">
                    <w:t>2.48</w:t>
                  </w:r>
                </w:p>
              </w:tc>
              <w:tc>
                <w:tcPr>
                  <w:tcW w:w="1418" w:type="dxa"/>
                  <w:noWrap/>
                  <w:tcMar>
                    <w:top w:w="0" w:type="dxa"/>
                    <w:left w:w="108" w:type="dxa"/>
                    <w:bottom w:w="0" w:type="dxa"/>
                    <w:right w:w="108" w:type="dxa"/>
                  </w:tcMar>
                  <w:vAlign w:val="bottom"/>
                  <w:hideMark/>
                </w:tcPr>
                <w:p w14:paraId="7AFC6D66"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40FDCCFA" w14:textId="77777777" w:rsidR="00F8573D" w:rsidRPr="00E60C06" w:rsidRDefault="00F8573D" w:rsidP="00F8573D">
                  <w:pPr>
                    <w:jc w:val="right"/>
                  </w:pPr>
                  <w:r w:rsidRPr="00E60C06">
                    <w:t>2.48</w:t>
                  </w:r>
                </w:p>
              </w:tc>
            </w:tr>
            <w:tr w:rsidR="00F8573D" w:rsidRPr="00E60C06" w14:paraId="2E1ED7BC" w14:textId="77777777" w:rsidTr="00715994">
              <w:trPr>
                <w:trHeight w:val="300"/>
              </w:trPr>
              <w:tc>
                <w:tcPr>
                  <w:tcW w:w="4540" w:type="dxa"/>
                  <w:noWrap/>
                  <w:tcMar>
                    <w:top w:w="0" w:type="dxa"/>
                    <w:left w:w="108" w:type="dxa"/>
                    <w:bottom w:w="0" w:type="dxa"/>
                    <w:right w:w="108" w:type="dxa"/>
                  </w:tcMar>
                  <w:vAlign w:val="center"/>
                  <w:hideMark/>
                </w:tcPr>
                <w:p w14:paraId="1059539F" w14:textId="77777777" w:rsidR="00F8573D" w:rsidRPr="00E60C06" w:rsidRDefault="00F8573D" w:rsidP="00F8573D">
                  <w:r w:rsidRPr="00E60C06">
                    <w:t>South Australia</w:t>
                  </w:r>
                </w:p>
              </w:tc>
              <w:tc>
                <w:tcPr>
                  <w:tcW w:w="1286" w:type="dxa"/>
                  <w:noWrap/>
                  <w:tcMar>
                    <w:top w:w="0" w:type="dxa"/>
                    <w:left w:w="108" w:type="dxa"/>
                    <w:bottom w:w="0" w:type="dxa"/>
                    <w:right w:w="108" w:type="dxa"/>
                  </w:tcMar>
                  <w:vAlign w:val="bottom"/>
                  <w:hideMark/>
                </w:tcPr>
                <w:p w14:paraId="4DE9A732" w14:textId="77777777" w:rsidR="00F8573D" w:rsidRPr="00E60C06" w:rsidRDefault="00F8573D" w:rsidP="00F8573D">
                  <w:pPr>
                    <w:jc w:val="right"/>
                  </w:pPr>
                  <w:r w:rsidRPr="00E60C06">
                    <w:t>1.63</w:t>
                  </w:r>
                </w:p>
              </w:tc>
              <w:tc>
                <w:tcPr>
                  <w:tcW w:w="1418" w:type="dxa"/>
                  <w:noWrap/>
                  <w:tcMar>
                    <w:top w:w="0" w:type="dxa"/>
                    <w:left w:w="108" w:type="dxa"/>
                    <w:bottom w:w="0" w:type="dxa"/>
                    <w:right w:w="108" w:type="dxa"/>
                  </w:tcMar>
                  <w:vAlign w:val="bottom"/>
                  <w:hideMark/>
                </w:tcPr>
                <w:p w14:paraId="17BFF7FE"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3A99820C" w14:textId="77777777" w:rsidR="00F8573D" w:rsidRPr="00E60C06" w:rsidRDefault="00F8573D" w:rsidP="00F8573D">
                  <w:pPr>
                    <w:jc w:val="right"/>
                  </w:pPr>
                  <w:r w:rsidRPr="00E60C06">
                    <w:t>1.63</w:t>
                  </w:r>
                </w:p>
              </w:tc>
            </w:tr>
            <w:tr w:rsidR="00F8573D" w:rsidRPr="00E60C06" w14:paraId="1D204FAA" w14:textId="77777777" w:rsidTr="00715994">
              <w:trPr>
                <w:trHeight w:val="300"/>
              </w:trPr>
              <w:tc>
                <w:tcPr>
                  <w:tcW w:w="4540" w:type="dxa"/>
                  <w:noWrap/>
                  <w:tcMar>
                    <w:top w:w="0" w:type="dxa"/>
                    <w:left w:w="108" w:type="dxa"/>
                    <w:bottom w:w="0" w:type="dxa"/>
                    <w:right w:w="108" w:type="dxa"/>
                  </w:tcMar>
                  <w:vAlign w:val="center"/>
                  <w:hideMark/>
                </w:tcPr>
                <w:p w14:paraId="704704CF" w14:textId="77777777" w:rsidR="00F8573D" w:rsidRPr="00E60C06" w:rsidRDefault="00F8573D" w:rsidP="00F8573D">
                  <w:r w:rsidRPr="00E60C06">
                    <w:t>Tasmania</w:t>
                  </w:r>
                </w:p>
              </w:tc>
              <w:tc>
                <w:tcPr>
                  <w:tcW w:w="1286" w:type="dxa"/>
                  <w:noWrap/>
                  <w:tcMar>
                    <w:top w:w="0" w:type="dxa"/>
                    <w:left w:w="108" w:type="dxa"/>
                    <w:bottom w:w="0" w:type="dxa"/>
                    <w:right w:w="108" w:type="dxa"/>
                  </w:tcMar>
                  <w:vAlign w:val="bottom"/>
                  <w:hideMark/>
                </w:tcPr>
                <w:p w14:paraId="6F907E45" w14:textId="77777777" w:rsidR="00F8573D" w:rsidRPr="00E60C06" w:rsidRDefault="00F8573D" w:rsidP="00F8573D">
                  <w:pPr>
                    <w:jc w:val="right"/>
                  </w:pPr>
                  <w:r w:rsidRPr="00E60C06">
                    <w:t>0.50</w:t>
                  </w:r>
                </w:p>
              </w:tc>
              <w:tc>
                <w:tcPr>
                  <w:tcW w:w="1418" w:type="dxa"/>
                  <w:noWrap/>
                  <w:tcMar>
                    <w:top w:w="0" w:type="dxa"/>
                    <w:left w:w="108" w:type="dxa"/>
                    <w:bottom w:w="0" w:type="dxa"/>
                    <w:right w:w="108" w:type="dxa"/>
                  </w:tcMar>
                  <w:vAlign w:val="bottom"/>
                  <w:hideMark/>
                </w:tcPr>
                <w:p w14:paraId="15490DB0"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2E9ECCB7" w14:textId="77777777" w:rsidR="00F8573D" w:rsidRPr="00E60C06" w:rsidRDefault="00F8573D" w:rsidP="00F8573D">
                  <w:pPr>
                    <w:jc w:val="right"/>
                  </w:pPr>
                  <w:r w:rsidRPr="00E60C06">
                    <w:t>0.50</w:t>
                  </w:r>
                </w:p>
              </w:tc>
            </w:tr>
            <w:tr w:rsidR="00F8573D" w:rsidRPr="00E60C06" w14:paraId="56D01F37" w14:textId="77777777" w:rsidTr="00715994">
              <w:trPr>
                <w:trHeight w:val="300"/>
              </w:trPr>
              <w:tc>
                <w:tcPr>
                  <w:tcW w:w="4540" w:type="dxa"/>
                  <w:noWrap/>
                  <w:tcMar>
                    <w:top w:w="0" w:type="dxa"/>
                    <w:left w:w="108" w:type="dxa"/>
                    <w:bottom w:w="0" w:type="dxa"/>
                    <w:right w:w="108" w:type="dxa"/>
                  </w:tcMar>
                  <w:vAlign w:val="center"/>
                  <w:hideMark/>
                </w:tcPr>
                <w:p w14:paraId="7B9CF5A9" w14:textId="77777777" w:rsidR="00F8573D" w:rsidRPr="00E60C06" w:rsidRDefault="00F8573D" w:rsidP="00F8573D">
                  <w:r w:rsidRPr="00E60C06">
                    <w:rPr>
                      <w:color w:val="000000" w:themeColor="text1"/>
                    </w:rPr>
                    <w:t>Australian Capital Territory</w:t>
                  </w:r>
                </w:p>
              </w:tc>
              <w:tc>
                <w:tcPr>
                  <w:tcW w:w="1286" w:type="dxa"/>
                  <w:noWrap/>
                  <w:tcMar>
                    <w:top w:w="0" w:type="dxa"/>
                    <w:left w:w="108" w:type="dxa"/>
                    <w:bottom w:w="0" w:type="dxa"/>
                    <w:right w:w="108" w:type="dxa"/>
                  </w:tcMar>
                  <w:vAlign w:val="bottom"/>
                  <w:hideMark/>
                </w:tcPr>
                <w:p w14:paraId="4F894A7B" w14:textId="77777777" w:rsidR="00F8573D" w:rsidRPr="00E60C06" w:rsidRDefault="00F8573D" w:rsidP="00F8573D">
                  <w:pPr>
                    <w:jc w:val="right"/>
                  </w:pPr>
                  <w:r w:rsidRPr="00E60C06">
                    <w:t>0.40</w:t>
                  </w:r>
                </w:p>
              </w:tc>
              <w:tc>
                <w:tcPr>
                  <w:tcW w:w="1418" w:type="dxa"/>
                  <w:noWrap/>
                  <w:tcMar>
                    <w:top w:w="0" w:type="dxa"/>
                    <w:left w:w="108" w:type="dxa"/>
                    <w:bottom w:w="0" w:type="dxa"/>
                    <w:right w:w="108" w:type="dxa"/>
                  </w:tcMar>
                  <w:vAlign w:val="bottom"/>
                  <w:hideMark/>
                </w:tcPr>
                <w:p w14:paraId="60FB34B6"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202216C4" w14:textId="77777777" w:rsidR="00F8573D" w:rsidRPr="00E60C06" w:rsidRDefault="00F8573D" w:rsidP="00F8573D">
                  <w:pPr>
                    <w:jc w:val="right"/>
                  </w:pPr>
                  <w:r w:rsidRPr="00E60C06">
                    <w:t>0.40</w:t>
                  </w:r>
                </w:p>
              </w:tc>
            </w:tr>
            <w:tr w:rsidR="00F8573D" w:rsidRPr="00E60C06" w14:paraId="69FDE203" w14:textId="77777777" w:rsidTr="00715994">
              <w:trPr>
                <w:trHeight w:val="315"/>
              </w:trPr>
              <w:tc>
                <w:tcPr>
                  <w:tcW w:w="4540" w:type="dxa"/>
                  <w:noWrap/>
                  <w:tcMar>
                    <w:top w:w="0" w:type="dxa"/>
                    <w:left w:w="108" w:type="dxa"/>
                    <w:bottom w:w="0" w:type="dxa"/>
                    <w:right w:w="108" w:type="dxa"/>
                  </w:tcMar>
                  <w:vAlign w:val="center"/>
                  <w:hideMark/>
                </w:tcPr>
                <w:p w14:paraId="094A5BCC" w14:textId="77777777" w:rsidR="00F8573D" w:rsidRPr="00E60C06" w:rsidRDefault="00F8573D" w:rsidP="00F8573D">
                  <w:r w:rsidRPr="00E60C06">
                    <w:rPr>
                      <w:color w:val="000000" w:themeColor="text1"/>
                    </w:rPr>
                    <w:t>Northern Territory</w:t>
                  </w:r>
                </w:p>
              </w:tc>
              <w:tc>
                <w:tcPr>
                  <w:tcW w:w="1286" w:type="dxa"/>
                  <w:tcBorders>
                    <w:top w:val="nil"/>
                    <w:left w:val="nil"/>
                    <w:bottom w:val="single" w:sz="8" w:space="0" w:color="auto"/>
                    <w:right w:val="nil"/>
                  </w:tcBorders>
                  <w:noWrap/>
                  <w:tcMar>
                    <w:top w:w="0" w:type="dxa"/>
                    <w:left w:w="108" w:type="dxa"/>
                    <w:bottom w:w="0" w:type="dxa"/>
                    <w:right w:w="108" w:type="dxa"/>
                  </w:tcMar>
                  <w:vAlign w:val="bottom"/>
                  <w:hideMark/>
                </w:tcPr>
                <w:p w14:paraId="04B05A49" w14:textId="77777777" w:rsidR="00F8573D" w:rsidRPr="00E60C06" w:rsidRDefault="00F8573D" w:rsidP="00F8573D">
                  <w:pPr>
                    <w:jc w:val="right"/>
                  </w:pPr>
                  <w:r w:rsidRPr="00E60C06">
                    <w:t>0.23</w:t>
                  </w:r>
                </w:p>
              </w:tc>
              <w:tc>
                <w:tcPr>
                  <w:tcW w:w="1418" w:type="dxa"/>
                  <w:tcBorders>
                    <w:top w:val="nil"/>
                    <w:left w:val="nil"/>
                    <w:bottom w:val="single" w:sz="8" w:space="0" w:color="auto"/>
                    <w:right w:val="nil"/>
                  </w:tcBorders>
                  <w:noWrap/>
                  <w:tcMar>
                    <w:top w:w="0" w:type="dxa"/>
                    <w:left w:w="108" w:type="dxa"/>
                    <w:bottom w:w="0" w:type="dxa"/>
                    <w:right w:w="108" w:type="dxa"/>
                  </w:tcMar>
                  <w:vAlign w:val="bottom"/>
                  <w:hideMark/>
                </w:tcPr>
                <w:p w14:paraId="7C844655" w14:textId="77777777" w:rsidR="00F8573D" w:rsidRPr="00E60C06" w:rsidRDefault="00F8573D" w:rsidP="00F8573D">
                  <w:pPr>
                    <w:jc w:val="right"/>
                  </w:pPr>
                  <w:r w:rsidRPr="00E60C06">
                    <w:t>0.00</w:t>
                  </w:r>
                </w:p>
              </w:tc>
              <w:tc>
                <w:tcPr>
                  <w:tcW w:w="1417" w:type="dxa"/>
                  <w:tcBorders>
                    <w:top w:val="nil"/>
                    <w:left w:val="nil"/>
                    <w:bottom w:val="single" w:sz="8" w:space="0" w:color="auto"/>
                    <w:right w:val="nil"/>
                  </w:tcBorders>
                  <w:noWrap/>
                  <w:tcMar>
                    <w:top w:w="0" w:type="dxa"/>
                    <w:left w:w="108" w:type="dxa"/>
                    <w:bottom w:w="0" w:type="dxa"/>
                    <w:right w:w="108" w:type="dxa"/>
                  </w:tcMar>
                  <w:vAlign w:val="bottom"/>
                  <w:hideMark/>
                </w:tcPr>
                <w:p w14:paraId="798B2456" w14:textId="77777777" w:rsidR="00F8573D" w:rsidRPr="00E60C06" w:rsidRDefault="00F8573D" w:rsidP="00F8573D">
                  <w:pPr>
                    <w:jc w:val="right"/>
                  </w:pPr>
                  <w:r w:rsidRPr="00E60C06">
                    <w:t>0.23</w:t>
                  </w:r>
                </w:p>
              </w:tc>
            </w:tr>
            <w:tr w:rsidR="00F8573D" w:rsidRPr="00E60C06" w14:paraId="450FD9AC" w14:textId="77777777" w:rsidTr="00715994">
              <w:trPr>
                <w:trHeight w:val="300"/>
              </w:trPr>
              <w:tc>
                <w:tcPr>
                  <w:tcW w:w="4540" w:type="dxa"/>
                  <w:noWrap/>
                  <w:tcMar>
                    <w:top w:w="0" w:type="dxa"/>
                    <w:left w:w="108" w:type="dxa"/>
                    <w:bottom w:w="0" w:type="dxa"/>
                    <w:right w:w="108" w:type="dxa"/>
                  </w:tcMar>
                  <w:vAlign w:val="center"/>
                  <w:hideMark/>
                </w:tcPr>
                <w:p w14:paraId="4BD48726" w14:textId="77777777" w:rsidR="00F8573D" w:rsidRPr="00E60C06" w:rsidRDefault="00F8573D" w:rsidP="00F8573D">
                  <w:r w:rsidRPr="00E60C06">
                    <w:t>Non-Commonwealth contributions</w:t>
                  </w:r>
                </w:p>
              </w:tc>
              <w:tc>
                <w:tcPr>
                  <w:tcW w:w="1286" w:type="dxa"/>
                  <w:noWrap/>
                  <w:tcMar>
                    <w:top w:w="0" w:type="dxa"/>
                    <w:left w:w="108" w:type="dxa"/>
                    <w:bottom w:w="0" w:type="dxa"/>
                    <w:right w:w="108" w:type="dxa"/>
                  </w:tcMar>
                  <w:vAlign w:val="bottom"/>
                  <w:hideMark/>
                </w:tcPr>
                <w:p w14:paraId="33519286" w14:textId="77777777" w:rsidR="00F8573D" w:rsidRPr="00E60C06" w:rsidRDefault="00F8573D" w:rsidP="00F8573D">
                  <w:pPr>
                    <w:jc w:val="right"/>
                  </w:pPr>
                  <w:r w:rsidRPr="00E60C06">
                    <w:t>23.63</w:t>
                  </w:r>
                </w:p>
              </w:tc>
              <w:tc>
                <w:tcPr>
                  <w:tcW w:w="1418" w:type="dxa"/>
                  <w:noWrap/>
                  <w:tcMar>
                    <w:top w:w="0" w:type="dxa"/>
                    <w:left w:w="108" w:type="dxa"/>
                    <w:bottom w:w="0" w:type="dxa"/>
                    <w:right w:w="108" w:type="dxa"/>
                  </w:tcMar>
                  <w:vAlign w:val="bottom"/>
                  <w:hideMark/>
                </w:tcPr>
                <w:p w14:paraId="5B6EF0BA" w14:textId="77777777" w:rsidR="00F8573D" w:rsidRPr="00E60C06" w:rsidRDefault="00F8573D" w:rsidP="00F8573D">
                  <w:pPr>
                    <w:jc w:val="right"/>
                  </w:pPr>
                  <w:r w:rsidRPr="00E60C06">
                    <w:t>0.00</w:t>
                  </w:r>
                </w:p>
              </w:tc>
              <w:tc>
                <w:tcPr>
                  <w:tcW w:w="1417" w:type="dxa"/>
                  <w:noWrap/>
                  <w:tcMar>
                    <w:top w:w="0" w:type="dxa"/>
                    <w:left w:w="108" w:type="dxa"/>
                    <w:bottom w:w="0" w:type="dxa"/>
                    <w:right w:w="108" w:type="dxa"/>
                  </w:tcMar>
                  <w:vAlign w:val="bottom"/>
                  <w:hideMark/>
                </w:tcPr>
                <w:p w14:paraId="4A15E570" w14:textId="77777777" w:rsidR="00F8573D" w:rsidRPr="00E60C06" w:rsidRDefault="00F8573D" w:rsidP="00F8573D">
                  <w:pPr>
                    <w:jc w:val="right"/>
                  </w:pPr>
                  <w:r w:rsidRPr="00E60C06">
                    <w:t>23.63</w:t>
                  </w:r>
                </w:p>
              </w:tc>
            </w:tr>
          </w:tbl>
          <w:p w14:paraId="293EA1CF" w14:textId="0159F53F" w:rsidR="00B12A34" w:rsidRPr="007476C1" w:rsidRDefault="00B12A34" w:rsidP="007476C1">
            <w:pPr>
              <w:spacing w:after="81" w:line="259" w:lineRule="auto"/>
              <w:ind w:left="0" w:right="72" w:firstLine="0"/>
              <w:rPr>
                <w:sz w:val="16"/>
                <w:szCs w:val="18"/>
              </w:rPr>
            </w:pPr>
          </w:p>
          <w:p w14:paraId="0F88E6E7" w14:textId="72979D05" w:rsidR="000F4B57" w:rsidRPr="00E60C06" w:rsidRDefault="000F4B57" w:rsidP="006D7BAF">
            <w:pPr>
              <w:ind w:left="76" w:firstLine="0"/>
              <w:rPr>
                <w:rStyle w:val="normaltextrun"/>
                <w:rFonts w:cstheme="minorHAnsi"/>
                <w:szCs w:val="28"/>
              </w:rPr>
            </w:pPr>
            <w:r w:rsidRPr="00E60C06">
              <w:rPr>
                <w:rStyle w:val="normaltextrun"/>
                <w:rFonts w:cstheme="minorHAnsi"/>
                <w:szCs w:val="28"/>
              </w:rPr>
              <w:t>Table 4: VET Data Infrastructure Reforms</w:t>
            </w:r>
          </w:p>
          <w:tbl>
            <w:tblPr>
              <w:tblW w:w="8661" w:type="dxa"/>
              <w:tblCellMar>
                <w:left w:w="0" w:type="dxa"/>
                <w:right w:w="0" w:type="dxa"/>
              </w:tblCellMar>
              <w:tblLook w:val="04A0" w:firstRow="1" w:lastRow="0" w:firstColumn="1" w:lastColumn="0" w:noHBand="0" w:noVBand="1"/>
            </w:tblPr>
            <w:tblGrid>
              <w:gridCol w:w="3278"/>
              <w:gridCol w:w="1066"/>
              <w:gridCol w:w="1222"/>
              <w:gridCol w:w="1357"/>
              <w:gridCol w:w="1356"/>
            </w:tblGrid>
            <w:tr w:rsidR="008E1AD4" w:rsidRPr="00E60C06" w14:paraId="34EEFAB9" w14:textId="77777777" w:rsidTr="00715994">
              <w:trPr>
                <w:trHeight w:val="300"/>
              </w:trPr>
              <w:tc>
                <w:tcPr>
                  <w:tcW w:w="3440" w:type="dxa"/>
                  <w:noWrap/>
                  <w:tcMar>
                    <w:top w:w="0" w:type="dxa"/>
                    <w:left w:w="108" w:type="dxa"/>
                    <w:bottom w:w="0" w:type="dxa"/>
                    <w:right w:w="108" w:type="dxa"/>
                  </w:tcMar>
                  <w:vAlign w:val="bottom"/>
                  <w:hideMark/>
                </w:tcPr>
                <w:p w14:paraId="66A69CEA" w14:textId="77777777" w:rsidR="008E1AD4" w:rsidRPr="00E60C06" w:rsidRDefault="008E1AD4" w:rsidP="008E1AD4">
                  <w:pPr>
                    <w:rPr>
                      <w:b/>
                      <w:bCs/>
                    </w:rPr>
                  </w:pPr>
                  <w:r w:rsidRPr="00E60C06">
                    <w:rPr>
                      <w:b/>
                      <w:bCs/>
                    </w:rPr>
                    <w:t>($ million)</w:t>
                  </w:r>
                </w:p>
              </w:tc>
              <w:tc>
                <w:tcPr>
                  <w:tcW w:w="2386" w:type="dxa"/>
                  <w:gridSpan w:val="2"/>
                  <w:tcBorders>
                    <w:top w:val="nil"/>
                    <w:left w:val="nil"/>
                    <w:bottom w:val="single" w:sz="8" w:space="0" w:color="000080"/>
                    <w:right w:val="nil"/>
                  </w:tcBorders>
                  <w:noWrap/>
                  <w:tcMar>
                    <w:top w:w="0" w:type="dxa"/>
                    <w:left w:w="108" w:type="dxa"/>
                    <w:bottom w:w="0" w:type="dxa"/>
                    <w:right w:w="108" w:type="dxa"/>
                  </w:tcMar>
                  <w:vAlign w:val="bottom"/>
                  <w:hideMark/>
                </w:tcPr>
                <w:p w14:paraId="20DE9E91" w14:textId="77777777" w:rsidR="008E1AD4" w:rsidRPr="00E60C06" w:rsidRDefault="008E1AD4" w:rsidP="008E1AD4">
                  <w:pPr>
                    <w:jc w:val="right"/>
                  </w:pPr>
                  <w:r w:rsidRPr="00E60C06">
                    <w:t>2022-23</w:t>
                  </w:r>
                </w:p>
              </w:tc>
              <w:tc>
                <w:tcPr>
                  <w:tcW w:w="1418" w:type="dxa"/>
                  <w:tcBorders>
                    <w:top w:val="nil"/>
                    <w:left w:val="nil"/>
                    <w:bottom w:val="single" w:sz="8" w:space="0" w:color="000080"/>
                    <w:right w:val="nil"/>
                  </w:tcBorders>
                  <w:noWrap/>
                  <w:tcMar>
                    <w:top w:w="0" w:type="dxa"/>
                    <w:left w:w="108" w:type="dxa"/>
                    <w:bottom w:w="0" w:type="dxa"/>
                    <w:right w:w="108" w:type="dxa"/>
                  </w:tcMar>
                  <w:vAlign w:val="bottom"/>
                  <w:hideMark/>
                </w:tcPr>
                <w:p w14:paraId="1775E730" w14:textId="77777777" w:rsidR="008E1AD4" w:rsidRPr="00E60C06" w:rsidRDefault="008E1AD4" w:rsidP="008E1AD4">
                  <w:pPr>
                    <w:jc w:val="right"/>
                  </w:pPr>
                  <w:r w:rsidRPr="00E60C06">
                    <w:t>2023-24</w:t>
                  </w:r>
                </w:p>
              </w:tc>
              <w:tc>
                <w:tcPr>
                  <w:tcW w:w="1417" w:type="dxa"/>
                  <w:tcBorders>
                    <w:top w:val="nil"/>
                    <w:left w:val="nil"/>
                    <w:bottom w:val="single" w:sz="8" w:space="0" w:color="000080"/>
                    <w:right w:val="nil"/>
                  </w:tcBorders>
                  <w:noWrap/>
                  <w:tcMar>
                    <w:top w:w="0" w:type="dxa"/>
                    <w:left w:w="108" w:type="dxa"/>
                    <w:bottom w:w="0" w:type="dxa"/>
                    <w:right w:w="108" w:type="dxa"/>
                  </w:tcMar>
                  <w:vAlign w:val="bottom"/>
                  <w:hideMark/>
                </w:tcPr>
                <w:p w14:paraId="2132CCFE" w14:textId="77777777" w:rsidR="008E1AD4" w:rsidRPr="00E60C06" w:rsidRDefault="008E1AD4" w:rsidP="008E1AD4">
                  <w:pPr>
                    <w:jc w:val="right"/>
                  </w:pPr>
                  <w:r w:rsidRPr="00E60C06">
                    <w:t>Total</w:t>
                  </w:r>
                </w:p>
              </w:tc>
            </w:tr>
            <w:tr w:rsidR="008E1AD4" w:rsidRPr="00E60C06" w14:paraId="6F203012" w14:textId="77777777" w:rsidTr="00715994">
              <w:trPr>
                <w:trHeight w:val="300"/>
              </w:trPr>
              <w:tc>
                <w:tcPr>
                  <w:tcW w:w="4551" w:type="dxa"/>
                  <w:gridSpan w:val="2"/>
                  <w:tcBorders>
                    <w:top w:val="single" w:sz="8" w:space="0" w:color="000080"/>
                    <w:left w:val="nil"/>
                    <w:bottom w:val="nil"/>
                    <w:right w:val="nil"/>
                  </w:tcBorders>
                  <w:noWrap/>
                  <w:tcMar>
                    <w:top w:w="0" w:type="dxa"/>
                    <w:left w:w="108" w:type="dxa"/>
                    <w:bottom w:w="0" w:type="dxa"/>
                    <w:right w:w="108" w:type="dxa"/>
                  </w:tcMar>
                  <w:vAlign w:val="bottom"/>
                  <w:hideMark/>
                </w:tcPr>
                <w:p w14:paraId="4F156BDD" w14:textId="77777777" w:rsidR="008E1AD4" w:rsidRPr="00E60C06" w:rsidRDefault="008E1AD4" w:rsidP="008E1AD4">
                  <w:pPr>
                    <w:rPr>
                      <w:b/>
                      <w:bCs/>
                    </w:rPr>
                  </w:pPr>
                  <w:r w:rsidRPr="00E60C06">
                    <w:rPr>
                      <w:b/>
                      <w:bCs/>
                    </w:rPr>
                    <w:t>Estimated total budget</w:t>
                  </w:r>
                </w:p>
              </w:tc>
              <w:tc>
                <w:tcPr>
                  <w:tcW w:w="1275" w:type="dxa"/>
                  <w:tcBorders>
                    <w:top w:val="nil"/>
                    <w:left w:val="nil"/>
                    <w:bottom w:val="single" w:sz="8" w:space="0" w:color="000080"/>
                    <w:right w:val="nil"/>
                  </w:tcBorders>
                  <w:noWrap/>
                  <w:tcMar>
                    <w:top w:w="0" w:type="dxa"/>
                    <w:left w:w="108" w:type="dxa"/>
                    <w:bottom w:w="0" w:type="dxa"/>
                    <w:right w:w="108" w:type="dxa"/>
                  </w:tcMar>
                  <w:vAlign w:val="bottom"/>
                  <w:hideMark/>
                </w:tcPr>
                <w:p w14:paraId="03D7E344" w14:textId="77777777" w:rsidR="008E1AD4" w:rsidRPr="00E60C06" w:rsidRDefault="008E1AD4" w:rsidP="008E1AD4">
                  <w:pPr>
                    <w:jc w:val="right"/>
                  </w:pPr>
                  <w:r w:rsidRPr="00E60C06">
                    <w:t>3.89</w:t>
                  </w:r>
                </w:p>
              </w:tc>
              <w:tc>
                <w:tcPr>
                  <w:tcW w:w="1418" w:type="dxa"/>
                  <w:tcBorders>
                    <w:top w:val="nil"/>
                    <w:left w:val="nil"/>
                    <w:bottom w:val="single" w:sz="8" w:space="0" w:color="000080"/>
                    <w:right w:val="nil"/>
                  </w:tcBorders>
                  <w:noWrap/>
                  <w:tcMar>
                    <w:top w:w="0" w:type="dxa"/>
                    <w:left w:w="108" w:type="dxa"/>
                    <w:bottom w:w="0" w:type="dxa"/>
                    <w:right w:w="108" w:type="dxa"/>
                  </w:tcMar>
                  <w:vAlign w:val="bottom"/>
                  <w:hideMark/>
                </w:tcPr>
                <w:p w14:paraId="0C366359" w14:textId="77777777" w:rsidR="008E1AD4" w:rsidRPr="00E60C06" w:rsidRDefault="008E1AD4" w:rsidP="008E1AD4">
                  <w:pPr>
                    <w:jc w:val="right"/>
                  </w:pPr>
                  <w:r w:rsidRPr="00E60C06">
                    <w:t>2.94</w:t>
                  </w:r>
                </w:p>
              </w:tc>
              <w:tc>
                <w:tcPr>
                  <w:tcW w:w="1417" w:type="dxa"/>
                  <w:tcBorders>
                    <w:top w:val="nil"/>
                    <w:left w:val="nil"/>
                    <w:bottom w:val="single" w:sz="8" w:space="0" w:color="000080"/>
                    <w:right w:val="nil"/>
                  </w:tcBorders>
                  <w:noWrap/>
                  <w:tcMar>
                    <w:top w:w="0" w:type="dxa"/>
                    <w:left w:w="108" w:type="dxa"/>
                    <w:bottom w:w="0" w:type="dxa"/>
                    <w:right w:w="108" w:type="dxa"/>
                  </w:tcMar>
                  <w:vAlign w:val="bottom"/>
                  <w:hideMark/>
                </w:tcPr>
                <w:p w14:paraId="1D8E174A" w14:textId="77777777" w:rsidR="008E1AD4" w:rsidRPr="00E60C06" w:rsidRDefault="008E1AD4" w:rsidP="008E1AD4">
                  <w:pPr>
                    <w:jc w:val="right"/>
                  </w:pPr>
                  <w:r w:rsidRPr="00E60C06">
                    <w:t>6.83</w:t>
                  </w:r>
                </w:p>
              </w:tc>
            </w:tr>
            <w:tr w:rsidR="008E1AD4" w:rsidRPr="00E60C06" w14:paraId="0E81CB01" w14:textId="77777777" w:rsidTr="00715994">
              <w:trPr>
                <w:trHeight w:val="290"/>
              </w:trPr>
              <w:tc>
                <w:tcPr>
                  <w:tcW w:w="3440" w:type="dxa"/>
                  <w:noWrap/>
                  <w:tcMar>
                    <w:top w:w="0" w:type="dxa"/>
                    <w:left w:w="108" w:type="dxa"/>
                    <w:bottom w:w="0" w:type="dxa"/>
                    <w:right w:w="108" w:type="dxa"/>
                  </w:tcMar>
                  <w:vAlign w:val="bottom"/>
                  <w:hideMark/>
                </w:tcPr>
                <w:p w14:paraId="40E1199A" w14:textId="77777777" w:rsidR="008E1AD4" w:rsidRPr="00E60C06" w:rsidRDefault="008E1AD4" w:rsidP="008E1AD4">
                  <w:r w:rsidRPr="00E60C06">
                    <w:t>New South Wales</w:t>
                  </w:r>
                </w:p>
              </w:tc>
              <w:tc>
                <w:tcPr>
                  <w:tcW w:w="2386" w:type="dxa"/>
                  <w:gridSpan w:val="2"/>
                  <w:noWrap/>
                  <w:tcMar>
                    <w:top w:w="0" w:type="dxa"/>
                    <w:left w:w="108" w:type="dxa"/>
                    <w:bottom w:w="0" w:type="dxa"/>
                    <w:right w:w="108" w:type="dxa"/>
                  </w:tcMar>
                  <w:vAlign w:val="bottom"/>
                  <w:hideMark/>
                </w:tcPr>
                <w:p w14:paraId="169FF48D" w14:textId="77777777" w:rsidR="008E1AD4" w:rsidRPr="00E60C06" w:rsidRDefault="008E1AD4" w:rsidP="008E1AD4">
                  <w:pPr>
                    <w:jc w:val="right"/>
                  </w:pPr>
                  <w:r w:rsidRPr="00E60C06">
                    <w:rPr>
                      <w:color w:val="444444"/>
                    </w:rPr>
                    <w:t>0.75</w:t>
                  </w:r>
                </w:p>
              </w:tc>
              <w:tc>
                <w:tcPr>
                  <w:tcW w:w="1418" w:type="dxa"/>
                  <w:noWrap/>
                  <w:tcMar>
                    <w:top w:w="0" w:type="dxa"/>
                    <w:left w:w="108" w:type="dxa"/>
                    <w:bottom w:w="0" w:type="dxa"/>
                    <w:right w:w="108" w:type="dxa"/>
                  </w:tcMar>
                  <w:vAlign w:val="bottom"/>
                  <w:hideMark/>
                </w:tcPr>
                <w:p w14:paraId="11758344" w14:textId="77777777" w:rsidR="008E1AD4" w:rsidRPr="00E60C06" w:rsidRDefault="008E1AD4" w:rsidP="008E1AD4">
                  <w:pPr>
                    <w:jc w:val="right"/>
                  </w:pPr>
                  <w:r w:rsidRPr="00E60C06">
                    <w:rPr>
                      <w:color w:val="444444"/>
                    </w:rPr>
                    <w:t>0.57</w:t>
                  </w:r>
                </w:p>
              </w:tc>
              <w:tc>
                <w:tcPr>
                  <w:tcW w:w="1417" w:type="dxa"/>
                  <w:noWrap/>
                  <w:tcMar>
                    <w:top w:w="0" w:type="dxa"/>
                    <w:left w:w="108" w:type="dxa"/>
                    <w:bottom w:w="0" w:type="dxa"/>
                    <w:right w:w="108" w:type="dxa"/>
                  </w:tcMar>
                  <w:vAlign w:val="bottom"/>
                  <w:hideMark/>
                </w:tcPr>
                <w:p w14:paraId="64398A76" w14:textId="77777777" w:rsidR="008E1AD4" w:rsidRPr="00E60C06" w:rsidRDefault="008E1AD4" w:rsidP="008E1AD4">
                  <w:pPr>
                    <w:jc w:val="right"/>
                  </w:pPr>
                  <w:r w:rsidRPr="00E60C06">
                    <w:t>1.32</w:t>
                  </w:r>
                </w:p>
              </w:tc>
            </w:tr>
            <w:tr w:rsidR="008E1AD4" w:rsidRPr="00E60C06" w14:paraId="64F4A640" w14:textId="77777777" w:rsidTr="00715994">
              <w:trPr>
                <w:trHeight w:val="290"/>
              </w:trPr>
              <w:tc>
                <w:tcPr>
                  <w:tcW w:w="3440" w:type="dxa"/>
                  <w:noWrap/>
                  <w:tcMar>
                    <w:top w:w="0" w:type="dxa"/>
                    <w:left w:w="108" w:type="dxa"/>
                    <w:bottom w:w="0" w:type="dxa"/>
                    <w:right w:w="108" w:type="dxa"/>
                  </w:tcMar>
                  <w:vAlign w:val="bottom"/>
                  <w:hideMark/>
                </w:tcPr>
                <w:p w14:paraId="24559BB0" w14:textId="77777777" w:rsidR="008E1AD4" w:rsidRPr="00E60C06" w:rsidRDefault="008E1AD4" w:rsidP="008E1AD4">
                  <w:r w:rsidRPr="00E60C06">
                    <w:t>Victoria</w:t>
                  </w:r>
                </w:p>
              </w:tc>
              <w:tc>
                <w:tcPr>
                  <w:tcW w:w="2386" w:type="dxa"/>
                  <w:gridSpan w:val="2"/>
                  <w:noWrap/>
                  <w:tcMar>
                    <w:top w:w="0" w:type="dxa"/>
                    <w:left w:w="108" w:type="dxa"/>
                    <w:bottom w:w="0" w:type="dxa"/>
                    <w:right w:w="108" w:type="dxa"/>
                  </w:tcMar>
                  <w:vAlign w:val="bottom"/>
                  <w:hideMark/>
                </w:tcPr>
                <w:p w14:paraId="03427CDE" w14:textId="77777777" w:rsidR="008E1AD4" w:rsidRPr="00E60C06" w:rsidRDefault="008E1AD4" w:rsidP="008E1AD4">
                  <w:pPr>
                    <w:jc w:val="right"/>
                  </w:pPr>
                  <w:r w:rsidRPr="00E60C06">
                    <w:rPr>
                      <w:color w:val="444444"/>
                    </w:rPr>
                    <w:t>0.53</w:t>
                  </w:r>
                </w:p>
              </w:tc>
              <w:tc>
                <w:tcPr>
                  <w:tcW w:w="1418" w:type="dxa"/>
                  <w:noWrap/>
                  <w:tcMar>
                    <w:top w:w="0" w:type="dxa"/>
                    <w:left w:w="108" w:type="dxa"/>
                    <w:bottom w:w="0" w:type="dxa"/>
                    <w:right w:w="108" w:type="dxa"/>
                  </w:tcMar>
                  <w:vAlign w:val="bottom"/>
                  <w:hideMark/>
                </w:tcPr>
                <w:p w14:paraId="28BD0088" w14:textId="77777777" w:rsidR="008E1AD4" w:rsidRPr="00E60C06" w:rsidRDefault="008E1AD4" w:rsidP="008E1AD4">
                  <w:pPr>
                    <w:jc w:val="right"/>
                  </w:pPr>
                  <w:r w:rsidRPr="00E60C06">
                    <w:rPr>
                      <w:color w:val="444444"/>
                    </w:rPr>
                    <w:t>0.40</w:t>
                  </w:r>
                </w:p>
              </w:tc>
              <w:tc>
                <w:tcPr>
                  <w:tcW w:w="1417" w:type="dxa"/>
                  <w:noWrap/>
                  <w:tcMar>
                    <w:top w:w="0" w:type="dxa"/>
                    <w:left w:w="108" w:type="dxa"/>
                    <w:bottom w:w="0" w:type="dxa"/>
                    <w:right w:w="108" w:type="dxa"/>
                  </w:tcMar>
                  <w:vAlign w:val="bottom"/>
                  <w:hideMark/>
                </w:tcPr>
                <w:p w14:paraId="75CA1781" w14:textId="77777777" w:rsidR="008E1AD4" w:rsidRPr="00E60C06" w:rsidRDefault="008E1AD4" w:rsidP="008E1AD4">
                  <w:pPr>
                    <w:jc w:val="right"/>
                  </w:pPr>
                  <w:r w:rsidRPr="00E60C06">
                    <w:t>0.93</w:t>
                  </w:r>
                </w:p>
              </w:tc>
            </w:tr>
            <w:tr w:rsidR="008E1AD4" w:rsidRPr="00E60C06" w14:paraId="756933FF" w14:textId="77777777" w:rsidTr="00715994">
              <w:trPr>
                <w:trHeight w:val="290"/>
              </w:trPr>
              <w:tc>
                <w:tcPr>
                  <w:tcW w:w="3440" w:type="dxa"/>
                  <w:noWrap/>
                  <w:tcMar>
                    <w:top w:w="0" w:type="dxa"/>
                    <w:left w:w="108" w:type="dxa"/>
                    <w:bottom w:w="0" w:type="dxa"/>
                    <w:right w:w="108" w:type="dxa"/>
                  </w:tcMar>
                  <w:vAlign w:val="bottom"/>
                  <w:hideMark/>
                </w:tcPr>
                <w:p w14:paraId="189ABECB" w14:textId="77777777" w:rsidR="008E1AD4" w:rsidRPr="00E60C06" w:rsidRDefault="008E1AD4" w:rsidP="008E1AD4">
                  <w:r w:rsidRPr="00E60C06">
                    <w:t>Queensland</w:t>
                  </w:r>
                </w:p>
              </w:tc>
              <w:tc>
                <w:tcPr>
                  <w:tcW w:w="2386" w:type="dxa"/>
                  <w:gridSpan w:val="2"/>
                  <w:noWrap/>
                  <w:tcMar>
                    <w:top w:w="0" w:type="dxa"/>
                    <w:left w:w="108" w:type="dxa"/>
                    <w:bottom w:w="0" w:type="dxa"/>
                    <w:right w:w="108" w:type="dxa"/>
                  </w:tcMar>
                  <w:vAlign w:val="bottom"/>
                  <w:hideMark/>
                </w:tcPr>
                <w:p w14:paraId="0396278C" w14:textId="77777777" w:rsidR="008E1AD4" w:rsidRPr="00E60C06" w:rsidRDefault="008E1AD4" w:rsidP="008E1AD4">
                  <w:pPr>
                    <w:jc w:val="right"/>
                  </w:pPr>
                  <w:r w:rsidRPr="00E60C06">
                    <w:rPr>
                      <w:color w:val="444444"/>
                    </w:rPr>
                    <w:t>0.53</w:t>
                  </w:r>
                </w:p>
              </w:tc>
              <w:tc>
                <w:tcPr>
                  <w:tcW w:w="1418" w:type="dxa"/>
                  <w:noWrap/>
                  <w:tcMar>
                    <w:top w:w="0" w:type="dxa"/>
                    <w:left w:w="108" w:type="dxa"/>
                    <w:bottom w:w="0" w:type="dxa"/>
                    <w:right w:w="108" w:type="dxa"/>
                  </w:tcMar>
                  <w:vAlign w:val="bottom"/>
                  <w:hideMark/>
                </w:tcPr>
                <w:p w14:paraId="3277E95F" w14:textId="77777777" w:rsidR="008E1AD4" w:rsidRPr="00E60C06" w:rsidRDefault="008E1AD4" w:rsidP="008E1AD4">
                  <w:pPr>
                    <w:jc w:val="right"/>
                  </w:pPr>
                  <w:r w:rsidRPr="00E60C06">
                    <w:rPr>
                      <w:color w:val="444444"/>
                    </w:rPr>
                    <w:t>0.40</w:t>
                  </w:r>
                </w:p>
              </w:tc>
              <w:tc>
                <w:tcPr>
                  <w:tcW w:w="1417" w:type="dxa"/>
                  <w:noWrap/>
                  <w:tcMar>
                    <w:top w:w="0" w:type="dxa"/>
                    <w:left w:w="108" w:type="dxa"/>
                    <w:bottom w:w="0" w:type="dxa"/>
                    <w:right w:w="108" w:type="dxa"/>
                  </w:tcMar>
                  <w:vAlign w:val="bottom"/>
                  <w:hideMark/>
                </w:tcPr>
                <w:p w14:paraId="3D40AE3D" w14:textId="77777777" w:rsidR="008E1AD4" w:rsidRPr="00E60C06" w:rsidRDefault="008E1AD4" w:rsidP="008E1AD4">
                  <w:pPr>
                    <w:jc w:val="right"/>
                  </w:pPr>
                  <w:r w:rsidRPr="00E60C06">
                    <w:t>0.93</w:t>
                  </w:r>
                </w:p>
              </w:tc>
            </w:tr>
            <w:tr w:rsidR="008E1AD4" w:rsidRPr="00E60C06" w14:paraId="308F7927" w14:textId="77777777" w:rsidTr="00715994">
              <w:trPr>
                <w:trHeight w:val="290"/>
              </w:trPr>
              <w:tc>
                <w:tcPr>
                  <w:tcW w:w="3440" w:type="dxa"/>
                  <w:noWrap/>
                  <w:tcMar>
                    <w:top w:w="0" w:type="dxa"/>
                    <w:left w:w="108" w:type="dxa"/>
                    <w:bottom w:w="0" w:type="dxa"/>
                    <w:right w:w="108" w:type="dxa"/>
                  </w:tcMar>
                  <w:vAlign w:val="bottom"/>
                  <w:hideMark/>
                </w:tcPr>
                <w:p w14:paraId="5FFCB5AC" w14:textId="77777777" w:rsidR="008E1AD4" w:rsidRPr="00E60C06" w:rsidRDefault="008E1AD4" w:rsidP="008E1AD4">
                  <w:r w:rsidRPr="00E60C06">
                    <w:t>Western Australia</w:t>
                  </w:r>
                </w:p>
              </w:tc>
              <w:tc>
                <w:tcPr>
                  <w:tcW w:w="2386" w:type="dxa"/>
                  <w:gridSpan w:val="2"/>
                  <w:noWrap/>
                  <w:tcMar>
                    <w:top w:w="0" w:type="dxa"/>
                    <w:left w:w="108" w:type="dxa"/>
                    <w:bottom w:w="0" w:type="dxa"/>
                    <w:right w:w="108" w:type="dxa"/>
                  </w:tcMar>
                  <w:vAlign w:val="bottom"/>
                  <w:hideMark/>
                </w:tcPr>
                <w:p w14:paraId="7CD26105" w14:textId="77777777" w:rsidR="008E1AD4" w:rsidRPr="00E60C06" w:rsidRDefault="008E1AD4" w:rsidP="008E1AD4">
                  <w:pPr>
                    <w:jc w:val="right"/>
                  </w:pPr>
                  <w:r w:rsidRPr="00E60C06">
                    <w:rPr>
                      <w:color w:val="444444"/>
                    </w:rPr>
                    <w:t>0.53</w:t>
                  </w:r>
                </w:p>
              </w:tc>
              <w:tc>
                <w:tcPr>
                  <w:tcW w:w="1418" w:type="dxa"/>
                  <w:noWrap/>
                  <w:tcMar>
                    <w:top w:w="0" w:type="dxa"/>
                    <w:left w:w="108" w:type="dxa"/>
                    <w:bottom w:w="0" w:type="dxa"/>
                    <w:right w:w="108" w:type="dxa"/>
                  </w:tcMar>
                  <w:vAlign w:val="bottom"/>
                  <w:hideMark/>
                </w:tcPr>
                <w:p w14:paraId="2DE0FF58" w14:textId="77777777" w:rsidR="008E1AD4" w:rsidRPr="00E60C06" w:rsidRDefault="008E1AD4" w:rsidP="008E1AD4">
                  <w:pPr>
                    <w:jc w:val="right"/>
                  </w:pPr>
                  <w:r w:rsidRPr="00E60C06">
                    <w:rPr>
                      <w:color w:val="444444"/>
                    </w:rPr>
                    <w:t>0.40</w:t>
                  </w:r>
                </w:p>
              </w:tc>
              <w:tc>
                <w:tcPr>
                  <w:tcW w:w="1417" w:type="dxa"/>
                  <w:noWrap/>
                  <w:tcMar>
                    <w:top w:w="0" w:type="dxa"/>
                    <w:left w:w="108" w:type="dxa"/>
                    <w:bottom w:w="0" w:type="dxa"/>
                    <w:right w:w="108" w:type="dxa"/>
                  </w:tcMar>
                  <w:vAlign w:val="bottom"/>
                  <w:hideMark/>
                </w:tcPr>
                <w:p w14:paraId="2BB096A1" w14:textId="77777777" w:rsidR="008E1AD4" w:rsidRPr="00E60C06" w:rsidRDefault="008E1AD4" w:rsidP="008E1AD4">
                  <w:pPr>
                    <w:jc w:val="right"/>
                  </w:pPr>
                  <w:r w:rsidRPr="00E60C06">
                    <w:t>0.93</w:t>
                  </w:r>
                </w:p>
              </w:tc>
            </w:tr>
            <w:tr w:rsidR="008E1AD4" w:rsidRPr="00E60C06" w14:paraId="6808EABD" w14:textId="77777777" w:rsidTr="00715994">
              <w:trPr>
                <w:trHeight w:val="290"/>
              </w:trPr>
              <w:tc>
                <w:tcPr>
                  <w:tcW w:w="3440" w:type="dxa"/>
                  <w:noWrap/>
                  <w:tcMar>
                    <w:top w:w="0" w:type="dxa"/>
                    <w:left w:w="108" w:type="dxa"/>
                    <w:bottom w:w="0" w:type="dxa"/>
                    <w:right w:w="108" w:type="dxa"/>
                  </w:tcMar>
                  <w:vAlign w:val="bottom"/>
                  <w:hideMark/>
                </w:tcPr>
                <w:p w14:paraId="0B279EC5" w14:textId="77777777" w:rsidR="008E1AD4" w:rsidRPr="00E60C06" w:rsidRDefault="008E1AD4" w:rsidP="008E1AD4">
                  <w:r w:rsidRPr="00E60C06">
                    <w:t>South Australia</w:t>
                  </w:r>
                </w:p>
              </w:tc>
              <w:tc>
                <w:tcPr>
                  <w:tcW w:w="2386" w:type="dxa"/>
                  <w:gridSpan w:val="2"/>
                  <w:noWrap/>
                  <w:tcMar>
                    <w:top w:w="0" w:type="dxa"/>
                    <w:left w:w="108" w:type="dxa"/>
                    <w:bottom w:w="0" w:type="dxa"/>
                    <w:right w:w="108" w:type="dxa"/>
                  </w:tcMar>
                  <w:vAlign w:val="bottom"/>
                  <w:hideMark/>
                </w:tcPr>
                <w:p w14:paraId="0A0297A1" w14:textId="77777777" w:rsidR="008E1AD4" w:rsidRPr="00E60C06" w:rsidRDefault="008E1AD4" w:rsidP="008E1AD4">
                  <w:pPr>
                    <w:jc w:val="right"/>
                  </w:pPr>
                  <w:r w:rsidRPr="00E60C06">
                    <w:rPr>
                      <w:color w:val="444444"/>
                    </w:rPr>
                    <w:t>0.53</w:t>
                  </w:r>
                </w:p>
              </w:tc>
              <w:tc>
                <w:tcPr>
                  <w:tcW w:w="1418" w:type="dxa"/>
                  <w:noWrap/>
                  <w:tcMar>
                    <w:top w:w="0" w:type="dxa"/>
                    <w:left w:w="108" w:type="dxa"/>
                    <w:bottom w:w="0" w:type="dxa"/>
                    <w:right w:w="108" w:type="dxa"/>
                  </w:tcMar>
                  <w:vAlign w:val="bottom"/>
                  <w:hideMark/>
                </w:tcPr>
                <w:p w14:paraId="207FA779" w14:textId="77777777" w:rsidR="008E1AD4" w:rsidRPr="00E60C06" w:rsidRDefault="008E1AD4" w:rsidP="008E1AD4">
                  <w:pPr>
                    <w:jc w:val="right"/>
                  </w:pPr>
                  <w:r w:rsidRPr="00E60C06">
                    <w:rPr>
                      <w:color w:val="444444"/>
                    </w:rPr>
                    <w:t>0.40</w:t>
                  </w:r>
                </w:p>
              </w:tc>
              <w:tc>
                <w:tcPr>
                  <w:tcW w:w="1417" w:type="dxa"/>
                  <w:noWrap/>
                  <w:tcMar>
                    <w:top w:w="0" w:type="dxa"/>
                    <w:left w:w="108" w:type="dxa"/>
                    <w:bottom w:w="0" w:type="dxa"/>
                    <w:right w:w="108" w:type="dxa"/>
                  </w:tcMar>
                  <w:vAlign w:val="bottom"/>
                  <w:hideMark/>
                </w:tcPr>
                <w:p w14:paraId="5C489855" w14:textId="77777777" w:rsidR="008E1AD4" w:rsidRPr="00E60C06" w:rsidRDefault="008E1AD4" w:rsidP="008E1AD4">
                  <w:pPr>
                    <w:jc w:val="right"/>
                  </w:pPr>
                  <w:r w:rsidRPr="00E60C06">
                    <w:t>0.93</w:t>
                  </w:r>
                </w:p>
              </w:tc>
            </w:tr>
            <w:tr w:rsidR="008E1AD4" w:rsidRPr="00E60C06" w14:paraId="23CDF41A" w14:textId="77777777" w:rsidTr="00715994">
              <w:trPr>
                <w:trHeight w:val="80"/>
              </w:trPr>
              <w:tc>
                <w:tcPr>
                  <w:tcW w:w="3440" w:type="dxa"/>
                  <w:noWrap/>
                  <w:tcMar>
                    <w:top w:w="0" w:type="dxa"/>
                    <w:left w:w="108" w:type="dxa"/>
                    <w:bottom w:w="0" w:type="dxa"/>
                    <w:right w:w="108" w:type="dxa"/>
                  </w:tcMar>
                  <w:vAlign w:val="bottom"/>
                  <w:hideMark/>
                </w:tcPr>
                <w:p w14:paraId="39224A26" w14:textId="77777777" w:rsidR="008E1AD4" w:rsidRPr="00E60C06" w:rsidRDefault="008E1AD4" w:rsidP="008E1AD4">
                  <w:r w:rsidRPr="00E60C06">
                    <w:t>Tasmania</w:t>
                  </w:r>
                </w:p>
              </w:tc>
              <w:tc>
                <w:tcPr>
                  <w:tcW w:w="2386" w:type="dxa"/>
                  <w:gridSpan w:val="2"/>
                  <w:noWrap/>
                  <w:tcMar>
                    <w:top w:w="0" w:type="dxa"/>
                    <w:left w:w="108" w:type="dxa"/>
                    <w:bottom w:w="0" w:type="dxa"/>
                    <w:right w:w="108" w:type="dxa"/>
                  </w:tcMar>
                  <w:vAlign w:val="bottom"/>
                  <w:hideMark/>
                </w:tcPr>
                <w:p w14:paraId="73836673" w14:textId="77777777" w:rsidR="008E1AD4" w:rsidRPr="00E60C06" w:rsidRDefault="008E1AD4" w:rsidP="008E1AD4">
                  <w:pPr>
                    <w:jc w:val="right"/>
                  </w:pPr>
                  <w:r w:rsidRPr="00E60C06">
                    <w:rPr>
                      <w:color w:val="444444"/>
                    </w:rPr>
                    <w:t>0.36</w:t>
                  </w:r>
                </w:p>
              </w:tc>
              <w:tc>
                <w:tcPr>
                  <w:tcW w:w="1418" w:type="dxa"/>
                  <w:noWrap/>
                  <w:tcMar>
                    <w:top w:w="0" w:type="dxa"/>
                    <w:left w:w="108" w:type="dxa"/>
                    <w:bottom w:w="0" w:type="dxa"/>
                    <w:right w:w="108" w:type="dxa"/>
                  </w:tcMar>
                  <w:vAlign w:val="bottom"/>
                  <w:hideMark/>
                </w:tcPr>
                <w:p w14:paraId="12FE3108" w14:textId="77777777" w:rsidR="008E1AD4" w:rsidRPr="00E60C06" w:rsidRDefault="008E1AD4" w:rsidP="008E1AD4">
                  <w:pPr>
                    <w:jc w:val="right"/>
                  </w:pPr>
                  <w:r w:rsidRPr="00E60C06">
                    <w:rPr>
                      <w:color w:val="444444"/>
                    </w:rPr>
                    <w:t>0.27</w:t>
                  </w:r>
                </w:p>
              </w:tc>
              <w:tc>
                <w:tcPr>
                  <w:tcW w:w="1417" w:type="dxa"/>
                  <w:noWrap/>
                  <w:tcMar>
                    <w:top w:w="0" w:type="dxa"/>
                    <w:left w:w="108" w:type="dxa"/>
                    <w:bottom w:w="0" w:type="dxa"/>
                    <w:right w:w="108" w:type="dxa"/>
                  </w:tcMar>
                  <w:vAlign w:val="bottom"/>
                  <w:hideMark/>
                </w:tcPr>
                <w:p w14:paraId="3CABBF12" w14:textId="77777777" w:rsidR="008E1AD4" w:rsidRPr="00E60C06" w:rsidRDefault="008E1AD4" w:rsidP="008E1AD4">
                  <w:pPr>
                    <w:jc w:val="right"/>
                  </w:pPr>
                  <w:r w:rsidRPr="00E60C06">
                    <w:t>0.63</w:t>
                  </w:r>
                </w:p>
              </w:tc>
            </w:tr>
            <w:tr w:rsidR="008E1AD4" w:rsidRPr="00E60C06" w14:paraId="64E644E9" w14:textId="77777777" w:rsidTr="00715994">
              <w:trPr>
                <w:trHeight w:val="290"/>
              </w:trPr>
              <w:tc>
                <w:tcPr>
                  <w:tcW w:w="3440" w:type="dxa"/>
                  <w:noWrap/>
                  <w:tcMar>
                    <w:top w:w="0" w:type="dxa"/>
                    <w:left w:w="108" w:type="dxa"/>
                    <w:bottom w:w="0" w:type="dxa"/>
                    <w:right w:w="108" w:type="dxa"/>
                  </w:tcMar>
                  <w:vAlign w:val="center"/>
                  <w:hideMark/>
                </w:tcPr>
                <w:p w14:paraId="2F1A45C4" w14:textId="77777777" w:rsidR="008E1AD4" w:rsidRPr="00E60C06" w:rsidRDefault="008E1AD4" w:rsidP="008E1AD4">
                  <w:r w:rsidRPr="00E60C06">
                    <w:rPr>
                      <w:color w:val="000000" w:themeColor="text1"/>
                    </w:rPr>
                    <w:t>Australian Capital Territory</w:t>
                  </w:r>
                </w:p>
              </w:tc>
              <w:tc>
                <w:tcPr>
                  <w:tcW w:w="2386" w:type="dxa"/>
                  <w:gridSpan w:val="2"/>
                  <w:noWrap/>
                  <w:tcMar>
                    <w:top w:w="0" w:type="dxa"/>
                    <w:left w:w="108" w:type="dxa"/>
                    <w:bottom w:w="0" w:type="dxa"/>
                    <w:right w:w="108" w:type="dxa"/>
                  </w:tcMar>
                  <w:vAlign w:val="bottom"/>
                  <w:hideMark/>
                </w:tcPr>
                <w:p w14:paraId="1DF32C26" w14:textId="77777777" w:rsidR="008E1AD4" w:rsidRPr="00E60C06" w:rsidRDefault="008E1AD4" w:rsidP="008E1AD4">
                  <w:pPr>
                    <w:jc w:val="right"/>
                  </w:pPr>
                  <w:r w:rsidRPr="00E60C06">
                    <w:rPr>
                      <w:color w:val="444444"/>
                    </w:rPr>
                    <w:t>0.33</w:t>
                  </w:r>
                </w:p>
              </w:tc>
              <w:tc>
                <w:tcPr>
                  <w:tcW w:w="1418" w:type="dxa"/>
                  <w:noWrap/>
                  <w:tcMar>
                    <w:top w:w="0" w:type="dxa"/>
                    <w:left w:w="108" w:type="dxa"/>
                    <w:bottom w:w="0" w:type="dxa"/>
                    <w:right w:w="108" w:type="dxa"/>
                  </w:tcMar>
                  <w:vAlign w:val="bottom"/>
                  <w:hideMark/>
                </w:tcPr>
                <w:p w14:paraId="14F16D46" w14:textId="77777777" w:rsidR="008E1AD4" w:rsidRPr="00E60C06" w:rsidRDefault="008E1AD4" w:rsidP="008E1AD4">
                  <w:pPr>
                    <w:jc w:val="right"/>
                  </w:pPr>
                  <w:r w:rsidRPr="00E60C06">
                    <w:rPr>
                      <w:color w:val="444444"/>
                    </w:rPr>
                    <w:t>0.25</w:t>
                  </w:r>
                </w:p>
              </w:tc>
              <w:tc>
                <w:tcPr>
                  <w:tcW w:w="1417" w:type="dxa"/>
                  <w:noWrap/>
                  <w:tcMar>
                    <w:top w:w="0" w:type="dxa"/>
                    <w:left w:w="108" w:type="dxa"/>
                    <w:bottom w:w="0" w:type="dxa"/>
                    <w:right w:w="108" w:type="dxa"/>
                  </w:tcMar>
                  <w:vAlign w:val="bottom"/>
                  <w:hideMark/>
                </w:tcPr>
                <w:p w14:paraId="0CF9C424" w14:textId="77777777" w:rsidR="008E1AD4" w:rsidRPr="00E60C06" w:rsidRDefault="008E1AD4" w:rsidP="008E1AD4">
                  <w:pPr>
                    <w:jc w:val="right"/>
                  </w:pPr>
                  <w:r w:rsidRPr="00E60C06">
                    <w:t>0.58</w:t>
                  </w:r>
                </w:p>
              </w:tc>
            </w:tr>
            <w:tr w:rsidR="008E1AD4" w:rsidRPr="00E60C06" w14:paraId="12D4DDE7" w14:textId="77777777" w:rsidTr="00715994">
              <w:trPr>
                <w:trHeight w:val="300"/>
              </w:trPr>
              <w:tc>
                <w:tcPr>
                  <w:tcW w:w="3440" w:type="dxa"/>
                  <w:tcBorders>
                    <w:top w:val="nil"/>
                    <w:left w:val="nil"/>
                    <w:bottom w:val="single" w:sz="8" w:space="0" w:color="auto"/>
                    <w:right w:val="nil"/>
                  </w:tcBorders>
                  <w:noWrap/>
                  <w:tcMar>
                    <w:top w:w="0" w:type="dxa"/>
                    <w:left w:w="108" w:type="dxa"/>
                    <w:bottom w:w="0" w:type="dxa"/>
                    <w:right w:w="108" w:type="dxa"/>
                  </w:tcMar>
                  <w:vAlign w:val="center"/>
                  <w:hideMark/>
                </w:tcPr>
                <w:p w14:paraId="70EE8272" w14:textId="77777777" w:rsidR="008E1AD4" w:rsidRPr="00E60C06" w:rsidRDefault="008E1AD4" w:rsidP="008E1AD4">
                  <w:r w:rsidRPr="00E60C06">
                    <w:rPr>
                      <w:color w:val="000000" w:themeColor="text1"/>
                    </w:rPr>
                    <w:t>Northern Territory</w:t>
                  </w:r>
                </w:p>
              </w:tc>
              <w:tc>
                <w:tcPr>
                  <w:tcW w:w="2386"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090F4D86" w14:textId="77777777" w:rsidR="008E1AD4" w:rsidRPr="00E60C06" w:rsidRDefault="008E1AD4" w:rsidP="008E1AD4">
                  <w:pPr>
                    <w:jc w:val="right"/>
                  </w:pPr>
                  <w:r w:rsidRPr="00E60C06">
                    <w:rPr>
                      <w:color w:val="444444"/>
                    </w:rPr>
                    <w:t>0.33</w:t>
                  </w:r>
                </w:p>
              </w:tc>
              <w:tc>
                <w:tcPr>
                  <w:tcW w:w="1418" w:type="dxa"/>
                  <w:tcBorders>
                    <w:top w:val="nil"/>
                    <w:left w:val="nil"/>
                    <w:bottom w:val="single" w:sz="8" w:space="0" w:color="auto"/>
                    <w:right w:val="nil"/>
                  </w:tcBorders>
                  <w:noWrap/>
                  <w:tcMar>
                    <w:top w:w="0" w:type="dxa"/>
                    <w:left w:w="108" w:type="dxa"/>
                    <w:bottom w:w="0" w:type="dxa"/>
                    <w:right w:w="108" w:type="dxa"/>
                  </w:tcMar>
                  <w:vAlign w:val="bottom"/>
                  <w:hideMark/>
                </w:tcPr>
                <w:p w14:paraId="2B1DB5C5" w14:textId="77777777" w:rsidR="008E1AD4" w:rsidRPr="00E60C06" w:rsidRDefault="008E1AD4" w:rsidP="008E1AD4">
                  <w:pPr>
                    <w:jc w:val="right"/>
                  </w:pPr>
                  <w:r w:rsidRPr="00E60C06">
                    <w:rPr>
                      <w:color w:val="444444"/>
                    </w:rPr>
                    <w:t>0.25</w:t>
                  </w:r>
                </w:p>
              </w:tc>
              <w:tc>
                <w:tcPr>
                  <w:tcW w:w="1417" w:type="dxa"/>
                  <w:tcBorders>
                    <w:top w:val="nil"/>
                    <w:left w:val="nil"/>
                    <w:bottom w:val="single" w:sz="8" w:space="0" w:color="auto"/>
                    <w:right w:val="nil"/>
                  </w:tcBorders>
                  <w:noWrap/>
                  <w:tcMar>
                    <w:top w:w="0" w:type="dxa"/>
                    <w:left w:w="108" w:type="dxa"/>
                    <w:bottom w:w="0" w:type="dxa"/>
                    <w:right w:w="108" w:type="dxa"/>
                  </w:tcMar>
                  <w:vAlign w:val="bottom"/>
                  <w:hideMark/>
                </w:tcPr>
                <w:p w14:paraId="2DD300DD" w14:textId="77777777" w:rsidR="008E1AD4" w:rsidRPr="00E60C06" w:rsidRDefault="008E1AD4" w:rsidP="008E1AD4">
                  <w:pPr>
                    <w:jc w:val="right"/>
                  </w:pPr>
                  <w:r w:rsidRPr="00E60C06">
                    <w:t>0.58</w:t>
                  </w:r>
                </w:p>
              </w:tc>
            </w:tr>
          </w:tbl>
          <w:p w14:paraId="7D2DAEDE" w14:textId="2904F1BB" w:rsidR="009A52B4" w:rsidRPr="00E60C06" w:rsidRDefault="05D52998" w:rsidP="007476C1">
            <w:pPr>
              <w:spacing w:after="81" w:line="259" w:lineRule="auto"/>
              <w:ind w:left="0" w:right="72" w:firstLine="0"/>
              <w:rPr>
                <w:rFonts w:ascii="Corbel" w:eastAsia="Corbel" w:hAnsi="Corbel" w:cs="Corbel"/>
                <w:color w:val="FF0000"/>
              </w:rPr>
            </w:pPr>
            <w:r w:rsidRPr="00E60C06">
              <w:rPr>
                <w:rStyle w:val="normaltextrun"/>
              </w:rPr>
              <w:lastRenderedPageBreak/>
              <w:t xml:space="preserve">Table </w:t>
            </w:r>
            <w:r w:rsidR="3CF94DA3" w:rsidRPr="00E60C06">
              <w:rPr>
                <w:rStyle w:val="normaltextrun"/>
              </w:rPr>
              <w:t>5</w:t>
            </w:r>
            <w:r w:rsidRPr="00E60C06">
              <w:rPr>
                <w:rStyle w:val="normaltextrun"/>
              </w:rPr>
              <w:t>: Estimated financial Contributions TAFE Technology Fund</w:t>
            </w:r>
          </w:p>
          <w:tbl>
            <w:tblPr>
              <w:tblW w:w="8082" w:type="dxa"/>
              <w:tblCellMar>
                <w:left w:w="0" w:type="dxa"/>
                <w:right w:w="0" w:type="dxa"/>
              </w:tblCellMar>
              <w:tblLook w:val="04A0" w:firstRow="1" w:lastRow="0" w:firstColumn="1" w:lastColumn="0" w:noHBand="0" w:noVBand="1"/>
            </w:tblPr>
            <w:tblGrid>
              <w:gridCol w:w="3592"/>
              <w:gridCol w:w="1497"/>
              <w:gridCol w:w="1496"/>
              <w:gridCol w:w="1497"/>
            </w:tblGrid>
            <w:tr w:rsidR="00165535" w:rsidRPr="00E60C06" w14:paraId="1692BE07" w14:textId="77777777" w:rsidTr="52D74309">
              <w:trPr>
                <w:trHeight w:val="353"/>
              </w:trPr>
              <w:tc>
                <w:tcPr>
                  <w:tcW w:w="3592" w:type="dxa"/>
                  <w:tcMar>
                    <w:top w:w="0" w:type="dxa"/>
                    <w:left w:w="108" w:type="dxa"/>
                    <w:bottom w:w="0" w:type="dxa"/>
                    <w:right w:w="108" w:type="dxa"/>
                  </w:tcMar>
                  <w:vAlign w:val="center"/>
                  <w:hideMark/>
                </w:tcPr>
                <w:p w14:paraId="6F6CAB8A" w14:textId="77777777" w:rsidR="00165535" w:rsidRPr="00E60C06" w:rsidRDefault="00165535" w:rsidP="00165535">
                  <w:pPr>
                    <w:spacing w:after="0"/>
                    <w:rPr>
                      <w:b/>
                      <w:bCs/>
                    </w:rPr>
                  </w:pPr>
                  <w:r w:rsidRPr="00E60C06">
                    <w:rPr>
                      <w:b/>
                      <w:bCs/>
                    </w:rPr>
                    <w:t>($ million)</w:t>
                  </w:r>
                </w:p>
              </w:tc>
              <w:tc>
                <w:tcPr>
                  <w:tcW w:w="1497" w:type="dxa"/>
                  <w:tcBorders>
                    <w:top w:val="nil"/>
                    <w:left w:val="nil"/>
                    <w:bottom w:val="single" w:sz="8" w:space="0" w:color="000080"/>
                    <w:right w:val="nil"/>
                  </w:tcBorders>
                  <w:tcMar>
                    <w:top w:w="0" w:type="dxa"/>
                    <w:left w:w="108" w:type="dxa"/>
                    <w:bottom w:w="0" w:type="dxa"/>
                    <w:right w:w="108" w:type="dxa"/>
                  </w:tcMar>
                  <w:vAlign w:val="center"/>
                  <w:hideMark/>
                </w:tcPr>
                <w:p w14:paraId="36FDD1C2" w14:textId="77777777" w:rsidR="00165535" w:rsidRPr="00E60C06" w:rsidRDefault="00165535" w:rsidP="00165535">
                  <w:pPr>
                    <w:spacing w:after="0"/>
                    <w:jc w:val="right"/>
                  </w:pPr>
                  <w:r w:rsidRPr="00E60C06">
                    <w:t>2023-24</w:t>
                  </w:r>
                </w:p>
              </w:tc>
              <w:tc>
                <w:tcPr>
                  <w:tcW w:w="1496" w:type="dxa"/>
                  <w:tcBorders>
                    <w:top w:val="nil"/>
                    <w:left w:val="nil"/>
                    <w:bottom w:val="single" w:sz="8" w:space="0" w:color="000080"/>
                    <w:right w:val="nil"/>
                  </w:tcBorders>
                </w:tcPr>
                <w:p w14:paraId="4264C66F" w14:textId="77777777" w:rsidR="00165535" w:rsidRPr="00E60C06" w:rsidRDefault="00165535" w:rsidP="00165535">
                  <w:pPr>
                    <w:spacing w:after="0"/>
                    <w:jc w:val="right"/>
                  </w:pPr>
                  <w:r w:rsidRPr="00E60C06">
                    <w:t>2024-25</w:t>
                  </w:r>
                </w:p>
              </w:tc>
              <w:tc>
                <w:tcPr>
                  <w:tcW w:w="1497" w:type="dxa"/>
                  <w:tcBorders>
                    <w:top w:val="nil"/>
                    <w:left w:val="nil"/>
                    <w:bottom w:val="single" w:sz="8" w:space="0" w:color="000080"/>
                    <w:right w:val="nil"/>
                  </w:tcBorders>
                  <w:tcMar>
                    <w:top w:w="0" w:type="dxa"/>
                    <w:left w:w="108" w:type="dxa"/>
                    <w:bottom w:w="0" w:type="dxa"/>
                    <w:right w:w="108" w:type="dxa"/>
                  </w:tcMar>
                  <w:vAlign w:val="center"/>
                  <w:hideMark/>
                </w:tcPr>
                <w:p w14:paraId="2F1D6AB0" w14:textId="77777777" w:rsidR="00165535" w:rsidRPr="00E60C06" w:rsidRDefault="00165535" w:rsidP="00165535">
                  <w:pPr>
                    <w:spacing w:after="0"/>
                    <w:jc w:val="right"/>
                  </w:pPr>
                  <w:r w:rsidRPr="00E60C06">
                    <w:t>Total</w:t>
                  </w:r>
                </w:p>
              </w:tc>
            </w:tr>
            <w:tr w:rsidR="00165535" w:rsidRPr="00E60C06" w14:paraId="2957C76E" w14:textId="77777777" w:rsidTr="52D74309">
              <w:trPr>
                <w:trHeight w:val="353"/>
              </w:trPr>
              <w:tc>
                <w:tcPr>
                  <w:tcW w:w="3592" w:type="dxa"/>
                  <w:tcBorders>
                    <w:top w:val="single" w:sz="8" w:space="0" w:color="000080"/>
                    <w:left w:val="nil"/>
                    <w:bottom w:val="nil"/>
                    <w:right w:val="nil"/>
                  </w:tcBorders>
                  <w:noWrap/>
                  <w:tcMar>
                    <w:top w:w="0" w:type="dxa"/>
                    <w:left w:w="108" w:type="dxa"/>
                    <w:bottom w:w="0" w:type="dxa"/>
                    <w:right w:w="108" w:type="dxa"/>
                  </w:tcMar>
                  <w:vAlign w:val="bottom"/>
                  <w:hideMark/>
                </w:tcPr>
                <w:p w14:paraId="1690CF16" w14:textId="77777777" w:rsidR="00165535" w:rsidRPr="00E60C06" w:rsidRDefault="00165535" w:rsidP="00165535">
                  <w:pPr>
                    <w:spacing w:after="0"/>
                    <w:rPr>
                      <w:b/>
                      <w:bCs/>
                    </w:rPr>
                  </w:pPr>
                  <w:r w:rsidRPr="00E60C06">
                    <w:rPr>
                      <w:b/>
                      <w:bCs/>
                    </w:rPr>
                    <w:t>Estimated total budget</w:t>
                  </w:r>
                </w:p>
              </w:tc>
              <w:tc>
                <w:tcPr>
                  <w:tcW w:w="1497" w:type="dxa"/>
                  <w:tcBorders>
                    <w:top w:val="nil"/>
                    <w:left w:val="nil"/>
                    <w:bottom w:val="single" w:sz="8" w:space="0" w:color="000080"/>
                    <w:right w:val="nil"/>
                  </w:tcBorders>
                  <w:tcMar>
                    <w:top w:w="0" w:type="dxa"/>
                    <w:left w:w="108" w:type="dxa"/>
                    <w:bottom w:w="0" w:type="dxa"/>
                    <w:right w:w="108" w:type="dxa"/>
                  </w:tcMar>
                  <w:vAlign w:val="center"/>
                  <w:hideMark/>
                </w:tcPr>
                <w:p w14:paraId="4C654FD7" w14:textId="77777777" w:rsidR="00165535" w:rsidRPr="00E60C06" w:rsidRDefault="00165535" w:rsidP="00165535">
                  <w:pPr>
                    <w:spacing w:after="0"/>
                    <w:jc w:val="right"/>
                  </w:pPr>
                  <w:r w:rsidRPr="00E60C06">
                    <w:t>19.768</w:t>
                  </w:r>
                </w:p>
              </w:tc>
              <w:tc>
                <w:tcPr>
                  <w:tcW w:w="1496" w:type="dxa"/>
                  <w:tcBorders>
                    <w:top w:val="nil"/>
                    <w:left w:val="nil"/>
                    <w:bottom w:val="single" w:sz="8" w:space="0" w:color="000080"/>
                    <w:right w:val="nil"/>
                  </w:tcBorders>
                </w:tcPr>
                <w:p w14:paraId="65B4C491" w14:textId="77777777" w:rsidR="00165535" w:rsidRPr="00E60C06" w:rsidRDefault="00165535" w:rsidP="00165535">
                  <w:pPr>
                    <w:spacing w:after="0"/>
                    <w:jc w:val="right"/>
                  </w:pPr>
                  <w:r w:rsidRPr="00E60C06">
                    <w:t>30.232</w:t>
                  </w:r>
                </w:p>
              </w:tc>
              <w:tc>
                <w:tcPr>
                  <w:tcW w:w="1497" w:type="dxa"/>
                  <w:tcBorders>
                    <w:top w:val="nil"/>
                    <w:left w:val="nil"/>
                    <w:bottom w:val="single" w:sz="8" w:space="0" w:color="000080"/>
                    <w:right w:val="nil"/>
                  </w:tcBorders>
                  <w:tcMar>
                    <w:top w:w="0" w:type="dxa"/>
                    <w:left w:w="108" w:type="dxa"/>
                    <w:bottom w:w="0" w:type="dxa"/>
                    <w:right w:w="108" w:type="dxa"/>
                  </w:tcMar>
                  <w:vAlign w:val="center"/>
                  <w:hideMark/>
                </w:tcPr>
                <w:p w14:paraId="62E5EA3B" w14:textId="77777777" w:rsidR="00165535" w:rsidRPr="00E60C06" w:rsidRDefault="00165535" w:rsidP="00165535">
                  <w:pPr>
                    <w:spacing w:after="0"/>
                    <w:jc w:val="right"/>
                  </w:pPr>
                  <w:r w:rsidRPr="00E60C06">
                    <w:t>50.000</w:t>
                  </w:r>
                </w:p>
              </w:tc>
            </w:tr>
            <w:tr w:rsidR="00165535" w:rsidRPr="00E60C06" w14:paraId="3E3CA2A4" w14:textId="77777777" w:rsidTr="52D74309">
              <w:trPr>
                <w:trHeight w:val="342"/>
              </w:trPr>
              <w:tc>
                <w:tcPr>
                  <w:tcW w:w="3592" w:type="dxa"/>
                  <w:noWrap/>
                  <w:tcMar>
                    <w:top w:w="0" w:type="dxa"/>
                    <w:left w:w="108" w:type="dxa"/>
                    <w:bottom w:w="0" w:type="dxa"/>
                    <w:right w:w="108" w:type="dxa"/>
                  </w:tcMar>
                  <w:vAlign w:val="bottom"/>
                  <w:hideMark/>
                </w:tcPr>
                <w:p w14:paraId="278A9351" w14:textId="77777777" w:rsidR="00165535" w:rsidRPr="00E60C06" w:rsidRDefault="00165535" w:rsidP="00165535">
                  <w:pPr>
                    <w:spacing w:after="0"/>
                  </w:pPr>
                  <w:r w:rsidRPr="00E60C06">
                    <w:t>New South Wales</w:t>
                  </w:r>
                </w:p>
              </w:tc>
              <w:tc>
                <w:tcPr>
                  <w:tcW w:w="1497" w:type="dxa"/>
                  <w:noWrap/>
                  <w:tcMar>
                    <w:top w:w="0" w:type="dxa"/>
                    <w:left w:w="108" w:type="dxa"/>
                    <w:bottom w:w="0" w:type="dxa"/>
                    <w:right w:w="108" w:type="dxa"/>
                  </w:tcMar>
                  <w:vAlign w:val="bottom"/>
                </w:tcPr>
                <w:p w14:paraId="0A42416D" w14:textId="77777777" w:rsidR="00165535" w:rsidRPr="00E60C06" w:rsidRDefault="00165535" w:rsidP="00165535">
                  <w:pPr>
                    <w:spacing w:after="0"/>
                    <w:jc w:val="right"/>
                  </w:pPr>
                  <w:r w:rsidRPr="00E60C06">
                    <w:t>5.250</w:t>
                  </w:r>
                </w:p>
              </w:tc>
              <w:tc>
                <w:tcPr>
                  <w:tcW w:w="1496" w:type="dxa"/>
                </w:tcPr>
                <w:p w14:paraId="2AD4B283" w14:textId="77777777" w:rsidR="00165535" w:rsidRPr="00E60C06" w:rsidRDefault="00165535" w:rsidP="00165535">
                  <w:pPr>
                    <w:spacing w:after="0"/>
                    <w:jc w:val="right"/>
                  </w:pPr>
                  <w:r w:rsidRPr="00E60C06">
                    <w:t>5.450</w:t>
                  </w:r>
                </w:p>
              </w:tc>
              <w:tc>
                <w:tcPr>
                  <w:tcW w:w="1497" w:type="dxa"/>
                  <w:noWrap/>
                  <w:tcMar>
                    <w:top w:w="0" w:type="dxa"/>
                    <w:left w:w="108" w:type="dxa"/>
                    <w:bottom w:w="0" w:type="dxa"/>
                    <w:right w:w="108" w:type="dxa"/>
                  </w:tcMar>
                  <w:vAlign w:val="bottom"/>
                  <w:hideMark/>
                </w:tcPr>
                <w:p w14:paraId="3CD1231B" w14:textId="77777777" w:rsidR="00165535" w:rsidRPr="00E60C06" w:rsidRDefault="00165535" w:rsidP="00165535">
                  <w:pPr>
                    <w:spacing w:after="0"/>
                    <w:jc w:val="right"/>
                  </w:pPr>
                  <w:r w:rsidRPr="00E60C06">
                    <w:t>10.700</w:t>
                  </w:r>
                </w:p>
              </w:tc>
            </w:tr>
            <w:tr w:rsidR="00165535" w:rsidRPr="00E60C06" w14:paraId="3D4BCB33" w14:textId="77777777" w:rsidTr="52D74309">
              <w:trPr>
                <w:trHeight w:val="342"/>
              </w:trPr>
              <w:tc>
                <w:tcPr>
                  <w:tcW w:w="3592" w:type="dxa"/>
                  <w:noWrap/>
                  <w:tcMar>
                    <w:top w:w="0" w:type="dxa"/>
                    <w:left w:w="108" w:type="dxa"/>
                    <w:bottom w:w="0" w:type="dxa"/>
                    <w:right w:w="108" w:type="dxa"/>
                  </w:tcMar>
                  <w:vAlign w:val="bottom"/>
                  <w:hideMark/>
                </w:tcPr>
                <w:p w14:paraId="373853A2" w14:textId="77777777" w:rsidR="00165535" w:rsidRPr="00E60C06" w:rsidRDefault="00165535" w:rsidP="00165535">
                  <w:pPr>
                    <w:spacing w:after="0"/>
                  </w:pPr>
                  <w:r w:rsidRPr="00E60C06">
                    <w:t>Victoria</w:t>
                  </w:r>
                </w:p>
              </w:tc>
              <w:tc>
                <w:tcPr>
                  <w:tcW w:w="1497" w:type="dxa"/>
                  <w:noWrap/>
                  <w:tcMar>
                    <w:top w:w="0" w:type="dxa"/>
                    <w:left w:w="108" w:type="dxa"/>
                    <w:bottom w:w="0" w:type="dxa"/>
                    <w:right w:w="108" w:type="dxa"/>
                  </w:tcMar>
                  <w:vAlign w:val="bottom"/>
                </w:tcPr>
                <w:p w14:paraId="06ED3077" w14:textId="77777777" w:rsidR="00165535" w:rsidRPr="00E60C06" w:rsidRDefault="00165535" w:rsidP="00165535">
                  <w:pPr>
                    <w:spacing w:after="0"/>
                    <w:jc w:val="right"/>
                  </w:pPr>
                  <w:r w:rsidRPr="00E60C06">
                    <w:t>2.940</w:t>
                  </w:r>
                </w:p>
              </w:tc>
              <w:tc>
                <w:tcPr>
                  <w:tcW w:w="1496" w:type="dxa"/>
                </w:tcPr>
                <w:p w14:paraId="54690B10" w14:textId="77777777" w:rsidR="00165535" w:rsidRPr="00E60C06" w:rsidRDefault="00165535" w:rsidP="00165535">
                  <w:pPr>
                    <w:spacing w:after="0"/>
                    <w:jc w:val="right"/>
                  </w:pPr>
                  <w:r w:rsidRPr="00E60C06">
                    <w:t>5.670</w:t>
                  </w:r>
                </w:p>
              </w:tc>
              <w:tc>
                <w:tcPr>
                  <w:tcW w:w="1497" w:type="dxa"/>
                  <w:noWrap/>
                  <w:tcMar>
                    <w:top w:w="0" w:type="dxa"/>
                    <w:left w:w="108" w:type="dxa"/>
                    <w:bottom w:w="0" w:type="dxa"/>
                    <w:right w:w="108" w:type="dxa"/>
                  </w:tcMar>
                  <w:vAlign w:val="bottom"/>
                  <w:hideMark/>
                </w:tcPr>
                <w:p w14:paraId="5CDA49BD" w14:textId="77777777" w:rsidR="00165535" w:rsidRPr="00E60C06" w:rsidRDefault="00165535" w:rsidP="00165535">
                  <w:pPr>
                    <w:spacing w:after="0"/>
                    <w:jc w:val="right"/>
                  </w:pPr>
                  <w:r w:rsidRPr="00E60C06">
                    <w:t>8.610</w:t>
                  </w:r>
                </w:p>
              </w:tc>
            </w:tr>
            <w:tr w:rsidR="00165535" w:rsidRPr="00E60C06" w14:paraId="58CCED6A" w14:textId="77777777" w:rsidTr="52D74309">
              <w:trPr>
                <w:trHeight w:val="342"/>
              </w:trPr>
              <w:tc>
                <w:tcPr>
                  <w:tcW w:w="3592" w:type="dxa"/>
                  <w:noWrap/>
                  <w:tcMar>
                    <w:top w:w="0" w:type="dxa"/>
                    <w:left w:w="108" w:type="dxa"/>
                    <w:bottom w:w="0" w:type="dxa"/>
                    <w:right w:w="108" w:type="dxa"/>
                  </w:tcMar>
                  <w:vAlign w:val="bottom"/>
                  <w:hideMark/>
                </w:tcPr>
                <w:p w14:paraId="1FBF40D1" w14:textId="77777777" w:rsidR="00165535" w:rsidRPr="00E60C06" w:rsidRDefault="00165535" w:rsidP="00165535">
                  <w:pPr>
                    <w:spacing w:after="0"/>
                  </w:pPr>
                  <w:r w:rsidRPr="00E60C06">
                    <w:t>Queensland</w:t>
                  </w:r>
                </w:p>
              </w:tc>
              <w:tc>
                <w:tcPr>
                  <w:tcW w:w="1497" w:type="dxa"/>
                  <w:noWrap/>
                  <w:tcMar>
                    <w:top w:w="0" w:type="dxa"/>
                    <w:left w:w="108" w:type="dxa"/>
                    <w:bottom w:w="0" w:type="dxa"/>
                    <w:right w:w="108" w:type="dxa"/>
                  </w:tcMar>
                  <w:vAlign w:val="bottom"/>
                </w:tcPr>
                <w:p w14:paraId="07264AE0" w14:textId="77777777" w:rsidR="00165535" w:rsidRPr="00E60C06" w:rsidRDefault="00165535" w:rsidP="00165535">
                  <w:pPr>
                    <w:spacing w:after="0"/>
                    <w:jc w:val="right"/>
                  </w:pPr>
                  <w:r w:rsidRPr="00E60C06">
                    <w:t>4.060</w:t>
                  </w:r>
                </w:p>
              </w:tc>
              <w:tc>
                <w:tcPr>
                  <w:tcW w:w="1496" w:type="dxa"/>
                </w:tcPr>
                <w:p w14:paraId="631328A6" w14:textId="77777777" w:rsidR="00165535" w:rsidRPr="00E60C06" w:rsidRDefault="00165535" w:rsidP="00165535">
                  <w:pPr>
                    <w:spacing w:after="0"/>
                    <w:jc w:val="right"/>
                  </w:pPr>
                  <w:r w:rsidRPr="00E60C06">
                    <w:t>4.740</w:t>
                  </w:r>
                </w:p>
              </w:tc>
              <w:tc>
                <w:tcPr>
                  <w:tcW w:w="1497" w:type="dxa"/>
                  <w:noWrap/>
                  <w:tcMar>
                    <w:top w:w="0" w:type="dxa"/>
                    <w:left w:w="108" w:type="dxa"/>
                    <w:bottom w:w="0" w:type="dxa"/>
                    <w:right w:w="108" w:type="dxa"/>
                  </w:tcMar>
                  <w:vAlign w:val="bottom"/>
                  <w:hideMark/>
                </w:tcPr>
                <w:p w14:paraId="710B47C3" w14:textId="77777777" w:rsidR="00165535" w:rsidRPr="00E60C06" w:rsidRDefault="00165535" w:rsidP="00165535">
                  <w:pPr>
                    <w:spacing w:after="0"/>
                    <w:jc w:val="right"/>
                  </w:pPr>
                  <w:r w:rsidRPr="00E60C06">
                    <w:t>8.800</w:t>
                  </w:r>
                </w:p>
              </w:tc>
            </w:tr>
            <w:tr w:rsidR="00165535" w:rsidRPr="00E60C06" w14:paraId="4A98B0D0" w14:textId="77777777" w:rsidTr="52D74309">
              <w:trPr>
                <w:trHeight w:val="342"/>
              </w:trPr>
              <w:tc>
                <w:tcPr>
                  <w:tcW w:w="3592" w:type="dxa"/>
                  <w:noWrap/>
                  <w:tcMar>
                    <w:top w:w="0" w:type="dxa"/>
                    <w:left w:w="108" w:type="dxa"/>
                    <w:bottom w:w="0" w:type="dxa"/>
                    <w:right w:w="108" w:type="dxa"/>
                  </w:tcMar>
                  <w:vAlign w:val="bottom"/>
                  <w:hideMark/>
                </w:tcPr>
                <w:p w14:paraId="48BCD2CD" w14:textId="77777777" w:rsidR="00165535" w:rsidRPr="00E60C06" w:rsidRDefault="00165535" w:rsidP="00165535">
                  <w:pPr>
                    <w:spacing w:after="0"/>
                  </w:pPr>
                  <w:r w:rsidRPr="00E60C06">
                    <w:t>Western Australia</w:t>
                  </w:r>
                </w:p>
              </w:tc>
              <w:tc>
                <w:tcPr>
                  <w:tcW w:w="1497" w:type="dxa"/>
                  <w:noWrap/>
                  <w:tcMar>
                    <w:top w:w="0" w:type="dxa"/>
                    <w:left w:w="108" w:type="dxa"/>
                    <w:bottom w:w="0" w:type="dxa"/>
                    <w:right w:w="108" w:type="dxa"/>
                  </w:tcMar>
                  <w:vAlign w:val="bottom"/>
                </w:tcPr>
                <w:p w14:paraId="0EEFCD67" w14:textId="77777777" w:rsidR="00165535" w:rsidRPr="00E60C06" w:rsidRDefault="00165535" w:rsidP="00165535">
                  <w:pPr>
                    <w:spacing w:after="0"/>
                    <w:jc w:val="right"/>
                  </w:pPr>
                  <w:r w:rsidRPr="00E60C06">
                    <w:t>5.768</w:t>
                  </w:r>
                </w:p>
              </w:tc>
              <w:tc>
                <w:tcPr>
                  <w:tcW w:w="1496" w:type="dxa"/>
                </w:tcPr>
                <w:p w14:paraId="20A7B479" w14:textId="77777777" w:rsidR="00165535" w:rsidRPr="00E60C06" w:rsidRDefault="00165535" w:rsidP="00165535">
                  <w:pPr>
                    <w:spacing w:after="0"/>
                    <w:jc w:val="right"/>
                  </w:pPr>
                  <w:r w:rsidRPr="00E60C06">
                    <w:t>3.572</w:t>
                  </w:r>
                </w:p>
              </w:tc>
              <w:tc>
                <w:tcPr>
                  <w:tcW w:w="1497" w:type="dxa"/>
                  <w:noWrap/>
                  <w:tcMar>
                    <w:top w:w="0" w:type="dxa"/>
                    <w:left w:w="108" w:type="dxa"/>
                    <w:bottom w:w="0" w:type="dxa"/>
                    <w:right w:w="108" w:type="dxa"/>
                  </w:tcMar>
                  <w:vAlign w:val="bottom"/>
                  <w:hideMark/>
                </w:tcPr>
                <w:p w14:paraId="5CC34771" w14:textId="77777777" w:rsidR="00165535" w:rsidRPr="00E60C06" w:rsidRDefault="00165535" w:rsidP="00165535">
                  <w:pPr>
                    <w:spacing w:after="0"/>
                    <w:jc w:val="right"/>
                  </w:pPr>
                  <w:r w:rsidRPr="00E60C06">
                    <w:t>9.340</w:t>
                  </w:r>
                </w:p>
              </w:tc>
            </w:tr>
            <w:tr w:rsidR="00165535" w:rsidRPr="00E60C06" w14:paraId="0C6130F9" w14:textId="77777777" w:rsidTr="52D74309">
              <w:trPr>
                <w:trHeight w:val="342"/>
              </w:trPr>
              <w:tc>
                <w:tcPr>
                  <w:tcW w:w="3592" w:type="dxa"/>
                  <w:noWrap/>
                  <w:tcMar>
                    <w:top w:w="0" w:type="dxa"/>
                    <w:left w:w="108" w:type="dxa"/>
                    <w:bottom w:w="0" w:type="dxa"/>
                    <w:right w:w="108" w:type="dxa"/>
                  </w:tcMar>
                  <w:vAlign w:val="bottom"/>
                  <w:hideMark/>
                </w:tcPr>
                <w:p w14:paraId="5EC3F194" w14:textId="77777777" w:rsidR="00165535" w:rsidRPr="00E60C06" w:rsidRDefault="00165535" w:rsidP="00165535">
                  <w:pPr>
                    <w:spacing w:after="0"/>
                  </w:pPr>
                  <w:r w:rsidRPr="00E60C06">
                    <w:t>South Australia</w:t>
                  </w:r>
                </w:p>
              </w:tc>
              <w:tc>
                <w:tcPr>
                  <w:tcW w:w="1497" w:type="dxa"/>
                  <w:noWrap/>
                  <w:tcMar>
                    <w:top w:w="0" w:type="dxa"/>
                    <w:left w:w="108" w:type="dxa"/>
                    <w:bottom w:w="0" w:type="dxa"/>
                    <w:right w:w="108" w:type="dxa"/>
                  </w:tcMar>
                  <w:vAlign w:val="bottom"/>
                </w:tcPr>
                <w:p w14:paraId="1E17A8B0" w14:textId="77777777" w:rsidR="00165535" w:rsidRPr="00E60C06" w:rsidRDefault="00165535" w:rsidP="00165535">
                  <w:pPr>
                    <w:spacing w:after="0"/>
                    <w:jc w:val="right"/>
                  </w:pPr>
                  <w:r w:rsidRPr="00E60C06">
                    <w:t>0.000</w:t>
                  </w:r>
                </w:p>
              </w:tc>
              <w:tc>
                <w:tcPr>
                  <w:tcW w:w="1496" w:type="dxa"/>
                </w:tcPr>
                <w:p w14:paraId="0CAF2D53" w14:textId="77777777" w:rsidR="00165535" w:rsidRPr="00E60C06" w:rsidRDefault="00165535" w:rsidP="00165535">
                  <w:pPr>
                    <w:spacing w:after="0"/>
                    <w:jc w:val="right"/>
                  </w:pPr>
                  <w:r w:rsidRPr="00E60C06">
                    <w:t>4.252</w:t>
                  </w:r>
                </w:p>
              </w:tc>
              <w:tc>
                <w:tcPr>
                  <w:tcW w:w="1497" w:type="dxa"/>
                  <w:noWrap/>
                  <w:tcMar>
                    <w:top w:w="0" w:type="dxa"/>
                    <w:left w:w="108" w:type="dxa"/>
                    <w:bottom w:w="0" w:type="dxa"/>
                    <w:right w:w="108" w:type="dxa"/>
                  </w:tcMar>
                  <w:vAlign w:val="bottom"/>
                  <w:hideMark/>
                </w:tcPr>
                <w:p w14:paraId="376A8446" w14:textId="77777777" w:rsidR="00165535" w:rsidRPr="00E60C06" w:rsidRDefault="00165535" w:rsidP="00165535">
                  <w:pPr>
                    <w:spacing w:after="0"/>
                    <w:jc w:val="right"/>
                  </w:pPr>
                  <w:r w:rsidRPr="00E60C06">
                    <w:t>4.252</w:t>
                  </w:r>
                </w:p>
              </w:tc>
            </w:tr>
            <w:tr w:rsidR="00165535" w:rsidRPr="00E60C06" w14:paraId="306593B9" w14:textId="77777777" w:rsidTr="52D74309">
              <w:trPr>
                <w:trHeight w:val="342"/>
              </w:trPr>
              <w:tc>
                <w:tcPr>
                  <w:tcW w:w="3592" w:type="dxa"/>
                  <w:noWrap/>
                  <w:tcMar>
                    <w:top w:w="0" w:type="dxa"/>
                    <w:left w:w="108" w:type="dxa"/>
                    <w:bottom w:w="0" w:type="dxa"/>
                    <w:right w:w="108" w:type="dxa"/>
                  </w:tcMar>
                  <w:vAlign w:val="bottom"/>
                  <w:hideMark/>
                </w:tcPr>
                <w:p w14:paraId="07A07523" w14:textId="77777777" w:rsidR="00165535" w:rsidRPr="00E60C06" w:rsidRDefault="00165535" w:rsidP="00165535">
                  <w:pPr>
                    <w:spacing w:after="0"/>
                  </w:pPr>
                  <w:r w:rsidRPr="00E60C06">
                    <w:t>Tasmania</w:t>
                  </w:r>
                </w:p>
              </w:tc>
              <w:tc>
                <w:tcPr>
                  <w:tcW w:w="1497" w:type="dxa"/>
                  <w:noWrap/>
                  <w:tcMar>
                    <w:top w:w="0" w:type="dxa"/>
                    <w:left w:w="108" w:type="dxa"/>
                    <w:bottom w:w="0" w:type="dxa"/>
                    <w:right w:w="108" w:type="dxa"/>
                  </w:tcMar>
                  <w:vAlign w:val="bottom"/>
                </w:tcPr>
                <w:p w14:paraId="31BA676E" w14:textId="77777777" w:rsidR="00165535" w:rsidRPr="00E60C06" w:rsidRDefault="00165535" w:rsidP="00165535">
                  <w:pPr>
                    <w:spacing w:after="0"/>
                    <w:jc w:val="right"/>
                  </w:pPr>
                  <w:r w:rsidRPr="00E60C06">
                    <w:t>1.750</w:t>
                  </w:r>
                </w:p>
              </w:tc>
              <w:tc>
                <w:tcPr>
                  <w:tcW w:w="1496" w:type="dxa"/>
                </w:tcPr>
                <w:p w14:paraId="571EA4C7" w14:textId="77777777" w:rsidR="00165535" w:rsidRPr="00E60C06" w:rsidRDefault="00165535" w:rsidP="00165535">
                  <w:pPr>
                    <w:spacing w:after="0"/>
                    <w:jc w:val="right"/>
                  </w:pPr>
                  <w:r w:rsidRPr="00E60C06">
                    <w:t>0.750</w:t>
                  </w:r>
                </w:p>
              </w:tc>
              <w:tc>
                <w:tcPr>
                  <w:tcW w:w="1497" w:type="dxa"/>
                  <w:noWrap/>
                  <w:tcMar>
                    <w:top w:w="0" w:type="dxa"/>
                    <w:left w:w="108" w:type="dxa"/>
                    <w:bottom w:w="0" w:type="dxa"/>
                    <w:right w:w="108" w:type="dxa"/>
                  </w:tcMar>
                  <w:vAlign w:val="bottom"/>
                  <w:hideMark/>
                </w:tcPr>
                <w:p w14:paraId="4DA43A83" w14:textId="77777777" w:rsidR="00165535" w:rsidRPr="00E60C06" w:rsidRDefault="00165535" w:rsidP="00165535">
                  <w:pPr>
                    <w:spacing w:after="0"/>
                    <w:jc w:val="right"/>
                  </w:pPr>
                  <w:r w:rsidRPr="00E60C06">
                    <w:t>2.500</w:t>
                  </w:r>
                </w:p>
              </w:tc>
            </w:tr>
            <w:tr w:rsidR="00165535" w:rsidRPr="00E60C06" w14:paraId="0F8EA00F" w14:textId="77777777" w:rsidTr="52D74309">
              <w:trPr>
                <w:trHeight w:val="342"/>
              </w:trPr>
              <w:tc>
                <w:tcPr>
                  <w:tcW w:w="3592" w:type="dxa"/>
                  <w:noWrap/>
                  <w:tcMar>
                    <w:top w:w="0" w:type="dxa"/>
                    <w:left w:w="108" w:type="dxa"/>
                    <w:bottom w:w="0" w:type="dxa"/>
                    <w:right w:w="108" w:type="dxa"/>
                  </w:tcMar>
                  <w:vAlign w:val="bottom"/>
                  <w:hideMark/>
                </w:tcPr>
                <w:p w14:paraId="43E0FBC5" w14:textId="77777777" w:rsidR="00165535" w:rsidRPr="00E60C06" w:rsidRDefault="00165535" w:rsidP="00165535">
                  <w:pPr>
                    <w:spacing w:after="0"/>
                  </w:pPr>
                  <w:r w:rsidRPr="00E60C06">
                    <w:rPr>
                      <w:color w:val="000000" w:themeColor="text1"/>
                    </w:rPr>
                    <w:t>Australian Capital Territory</w:t>
                  </w:r>
                </w:p>
              </w:tc>
              <w:tc>
                <w:tcPr>
                  <w:tcW w:w="1497" w:type="dxa"/>
                  <w:noWrap/>
                  <w:tcMar>
                    <w:top w:w="0" w:type="dxa"/>
                    <w:left w:w="108" w:type="dxa"/>
                    <w:bottom w:w="0" w:type="dxa"/>
                    <w:right w:w="108" w:type="dxa"/>
                  </w:tcMar>
                  <w:vAlign w:val="bottom"/>
                </w:tcPr>
                <w:p w14:paraId="29278D0F" w14:textId="77777777" w:rsidR="00165535" w:rsidRPr="00E60C06" w:rsidRDefault="00165535" w:rsidP="00165535">
                  <w:pPr>
                    <w:spacing w:after="0"/>
                    <w:jc w:val="right"/>
                  </w:pPr>
                  <w:r w:rsidRPr="00E60C06">
                    <w:t>0.000</w:t>
                  </w:r>
                </w:p>
              </w:tc>
              <w:tc>
                <w:tcPr>
                  <w:tcW w:w="1496" w:type="dxa"/>
                </w:tcPr>
                <w:p w14:paraId="6D5B3FC7" w14:textId="77777777" w:rsidR="00165535" w:rsidRPr="00E60C06" w:rsidRDefault="00165535" w:rsidP="00165535">
                  <w:pPr>
                    <w:spacing w:after="0"/>
                    <w:jc w:val="right"/>
                  </w:pPr>
                  <w:r w:rsidRPr="00E60C06">
                    <w:t>3.200</w:t>
                  </w:r>
                </w:p>
              </w:tc>
              <w:tc>
                <w:tcPr>
                  <w:tcW w:w="1497" w:type="dxa"/>
                  <w:noWrap/>
                  <w:tcMar>
                    <w:top w:w="0" w:type="dxa"/>
                    <w:left w:w="108" w:type="dxa"/>
                    <w:bottom w:w="0" w:type="dxa"/>
                    <w:right w:w="108" w:type="dxa"/>
                  </w:tcMar>
                  <w:vAlign w:val="bottom"/>
                  <w:hideMark/>
                </w:tcPr>
                <w:p w14:paraId="60AAB27F" w14:textId="77777777" w:rsidR="00165535" w:rsidRPr="00E60C06" w:rsidRDefault="00165535" w:rsidP="00165535">
                  <w:pPr>
                    <w:spacing w:after="0"/>
                    <w:jc w:val="right"/>
                  </w:pPr>
                  <w:r w:rsidRPr="00E60C06">
                    <w:t>3.200</w:t>
                  </w:r>
                </w:p>
              </w:tc>
            </w:tr>
            <w:tr w:rsidR="00165535" w:rsidRPr="00E60C06" w14:paraId="4A5F9844" w14:textId="77777777" w:rsidTr="52D74309">
              <w:trPr>
                <w:trHeight w:val="353"/>
              </w:trPr>
              <w:tc>
                <w:tcPr>
                  <w:tcW w:w="3592" w:type="dxa"/>
                  <w:tcBorders>
                    <w:top w:val="nil"/>
                    <w:left w:val="nil"/>
                    <w:bottom w:val="single" w:sz="8" w:space="0" w:color="auto"/>
                    <w:right w:val="nil"/>
                  </w:tcBorders>
                  <w:noWrap/>
                  <w:tcMar>
                    <w:top w:w="0" w:type="dxa"/>
                    <w:left w:w="108" w:type="dxa"/>
                    <w:bottom w:w="0" w:type="dxa"/>
                    <w:right w:w="108" w:type="dxa"/>
                  </w:tcMar>
                  <w:vAlign w:val="bottom"/>
                  <w:hideMark/>
                </w:tcPr>
                <w:p w14:paraId="6D9F24D5" w14:textId="77777777" w:rsidR="00165535" w:rsidRPr="00E60C06" w:rsidRDefault="00165535" w:rsidP="00165535">
                  <w:pPr>
                    <w:spacing w:after="0"/>
                  </w:pPr>
                  <w:r w:rsidRPr="00E60C06">
                    <w:rPr>
                      <w:color w:val="000000" w:themeColor="text1"/>
                    </w:rPr>
                    <w:t>Northern Territory</w:t>
                  </w:r>
                </w:p>
              </w:tc>
              <w:tc>
                <w:tcPr>
                  <w:tcW w:w="1497" w:type="dxa"/>
                  <w:tcBorders>
                    <w:top w:val="nil"/>
                    <w:left w:val="nil"/>
                    <w:bottom w:val="single" w:sz="8" w:space="0" w:color="auto"/>
                    <w:right w:val="nil"/>
                  </w:tcBorders>
                  <w:noWrap/>
                  <w:tcMar>
                    <w:top w:w="0" w:type="dxa"/>
                    <w:left w:w="108" w:type="dxa"/>
                    <w:bottom w:w="0" w:type="dxa"/>
                    <w:right w:w="108" w:type="dxa"/>
                  </w:tcMar>
                  <w:vAlign w:val="bottom"/>
                </w:tcPr>
                <w:p w14:paraId="0D54E0DD" w14:textId="77777777" w:rsidR="00165535" w:rsidRPr="00E60C06" w:rsidRDefault="00165535" w:rsidP="00165535">
                  <w:pPr>
                    <w:spacing w:after="0"/>
                    <w:jc w:val="right"/>
                  </w:pPr>
                  <w:r w:rsidRPr="00E60C06">
                    <w:t>0.000</w:t>
                  </w:r>
                </w:p>
              </w:tc>
              <w:tc>
                <w:tcPr>
                  <w:tcW w:w="1496" w:type="dxa"/>
                  <w:tcBorders>
                    <w:top w:val="nil"/>
                    <w:left w:val="nil"/>
                    <w:bottom w:val="single" w:sz="8" w:space="0" w:color="auto"/>
                    <w:right w:val="nil"/>
                  </w:tcBorders>
                </w:tcPr>
                <w:p w14:paraId="0C433DE7" w14:textId="77777777" w:rsidR="00165535" w:rsidRPr="00E60C06" w:rsidRDefault="00165535" w:rsidP="00165535">
                  <w:pPr>
                    <w:spacing w:after="0"/>
                    <w:jc w:val="right"/>
                  </w:pPr>
                  <w:r w:rsidRPr="00E60C06">
                    <w:t>2.500</w:t>
                  </w:r>
                </w:p>
              </w:tc>
              <w:tc>
                <w:tcPr>
                  <w:tcW w:w="1497" w:type="dxa"/>
                  <w:tcBorders>
                    <w:top w:val="nil"/>
                    <w:left w:val="nil"/>
                    <w:bottom w:val="single" w:sz="8" w:space="0" w:color="auto"/>
                    <w:right w:val="nil"/>
                  </w:tcBorders>
                  <w:noWrap/>
                  <w:tcMar>
                    <w:top w:w="0" w:type="dxa"/>
                    <w:left w:w="108" w:type="dxa"/>
                    <w:bottom w:w="0" w:type="dxa"/>
                    <w:right w:w="108" w:type="dxa"/>
                  </w:tcMar>
                  <w:vAlign w:val="bottom"/>
                  <w:hideMark/>
                </w:tcPr>
                <w:p w14:paraId="0AAA8291" w14:textId="77777777" w:rsidR="00165535" w:rsidRPr="00E60C06" w:rsidRDefault="00165535" w:rsidP="00165535">
                  <w:pPr>
                    <w:spacing w:after="0"/>
                    <w:jc w:val="right"/>
                  </w:pPr>
                  <w:r w:rsidRPr="00E60C06">
                    <w:t>2.500</w:t>
                  </w:r>
                </w:p>
              </w:tc>
            </w:tr>
          </w:tbl>
          <w:p w14:paraId="50614D42" w14:textId="5909A9DE" w:rsidR="00165535" w:rsidRPr="00046B04" w:rsidRDefault="00165535" w:rsidP="00165535">
            <w:pPr>
              <w:pStyle w:val="Tableformat"/>
              <w:spacing w:line="256" w:lineRule="auto"/>
              <w:rPr>
                <w:rFonts w:ascii="Calibri" w:eastAsia="Corbel" w:hAnsi="Calibri" w:cs="Calibri"/>
                <w:color w:val="000000"/>
                <w:sz w:val="22"/>
                <w:szCs w:val="24"/>
              </w:rPr>
            </w:pPr>
            <w:r w:rsidRPr="00046B04">
              <w:rPr>
                <w:rFonts w:ascii="Calibri" w:eastAsia="Corbel" w:hAnsi="Calibri" w:cs="Calibri"/>
                <w:color w:val="000000"/>
                <w:sz w:val="22"/>
                <w:szCs w:val="24"/>
              </w:rPr>
              <w:t>*</w:t>
            </w:r>
            <w:r w:rsidR="0B789705" w:rsidRPr="00046B04">
              <w:rPr>
                <w:rFonts w:ascii="Calibri" w:eastAsia="Corbel" w:hAnsi="Calibri" w:cs="Calibri"/>
                <w:color w:val="000000"/>
                <w:sz w:val="22"/>
                <w:szCs w:val="24"/>
              </w:rPr>
              <w:t>M</w:t>
            </w:r>
            <w:r w:rsidRPr="00046B04">
              <w:rPr>
                <w:rFonts w:ascii="Calibri" w:eastAsia="Corbel" w:hAnsi="Calibri" w:cs="Calibri"/>
                <w:color w:val="000000"/>
                <w:sz w:val="22"/>
                <w:szCs w:val="24"/>
              </w:rPr>
              <w:t xml:space="preserve">ay not </w:t>
            </w:r>
            <w:r w:rsidR="60F32842" w:rsidRPr="00046B04">
              <w:rPr>
                <w:rFonts w:ascii="Calibri" w:eastAsia="Corbel" w:hAnsi="Calibri" w:cs="Calibri"/>
                <w:color w:val="000000"/>
                <w:sz w:val="22"/>
                <w:szCs w:val="24"/>
              </w:rPr>
              <w:t>total</w:t>
            </w:r>
            <w:r w:rsidRPr="00046B04">
              <w:rPr>
                <w:rFonts w:ascii="Calibri" w:eastAsia="Corbel" w:hAnsi="Calibri" w:cs="Calibri"/>
                <w:color w:val="000000"/>
                <w:sz w:val="22"/>
                <w:szCs w:val="24"/>
              </w:rPr>
              <w:t xml:space="preserve"> $50 million due to unallocated funds. </w:t>
            </w:r>
          </w:p>
          <w:p w14:paraId="2D7E5A46" w14:textId="77777777" w:rsidR="00165535" w:rsidRPr="00E60C06" w:rsidRDefault="00165535" w:rsidP="00F55F8D">
            <w:pPr>
              <w:spacing w:after="81" w:line="259" w:lineRule="auto"/>
              <w:ind w:left="188" w:right="72" w:firstLine="0"/>
              <w:rPr>
                <w:szCs w:val="28"/>
              </w:rPr>
            </w:pPr>
          </w:p>
          <w:p w14:paraId="67F1DA8C" w14:textId="1BED4CFB" w:rsidR="009A52B4" w:rsidRPr="00E60C06" w:rsidRDefault="009A52B4" w:rsidP="003E31ED">
            <w:pPr>
              <w:spacing w:after="81" w:line="259" w:lineRule="auto"/>
              <w:ind w:left="76" w:right="72" w:firstLine="0"/>
              <w:rPr>
                <w:szCs w:val="28"/>
              </w:rPr>
            </w:pPr>
          </w:p>
        </w:tc>
      </w:tr>
    </w:tbl>
    <w:p w14:paraId="4F4C5557" w14:textId="2F80F88C" w:rsidR="0029427C" w:rsidRPr="003351E6" w:rsidRDefault="0029427C">
      <w:pPr>
        <w:spacing w:after="0" w:line="259" w:lineRule="auto"/>
        <w:ind w:left="-10" w:right="-152" w:firstLine="0"/>
      </w:pPr>
    </w:p>
    <w:tbl>
      <w:tblPr>
        <w:tblStyle w:val="TableGrid1"/>
        <w:tblW w:w="9770" w:type="dxa"/>
        <w:tblInd w:w="10" w:type="dxa"/>
        <w:tblCellMar>
          <w:top w:w="133" w:type="dxa"/>
          <w:left w:w="96" w:type="dxa"/>
          <w:right w:w="67" w:type="dxa"/>
        </w:tblCellMar>
        <w:tblLook w:val="04A0" w:firstRow="1" w:lastRow="0" w:firstColumn="1" w:lastColumn="0" w:noHBand="0" w:noVBand="1"/>
      </w:tblPr>
      <w:tblGrid>
        <w:gridCol w:w="1476"/>
        <w:gridCol w:w="8294"/>
      </w:tblGrid>
      <w:tr w:rsidR="0029427C" w:rsidRPr="003351E6" w14:paraId="1712CD77" w14:textId="77777777" w:rsidTr="464B8A14">
        <w:trPr>
          <w:trHeight w:val="11362"/>
        </w:trPr>
        <w:tc>
          <w:tcPr>
            <w:tcW w:w="1476" w:type="dxa"/>
            <w:tcBorders>
              <w:top w:val="single" w:sz="8" w:space="0" w:color="4F81BD"/>
              <w:left w:val="single" w:sz="8" w:space="0" w:color="4F81BD"/>
              <w:bottom w:val="single" w:sz="8" w:space="0" w:color="4F81BD"/>
              <w:right w:val="single" w:sz="8" w:space="0" w:color="4F81BD"/>
            </w:tcBorders>
          </w:tcPr>
          <w:p w14:paraId="3E72DB99" w14:textId="77777777" w:rsidR="0029427C" w:rsidRPr="003351E6" w:rsidRDefault="00CD24A0">
            <w:pPr>
              <w:spacing w:after="0" w:line="259" w:lineRule="auto"/>
              <w:ind w:left="14" w:firstLine="0"/>
            </w:pPr>
            <w:r w:rsidRPr="003351E6">
              <w:rPr>
                <w:rFonts w:eastAsia="Corbel"/>
              </w:rPr>
              <w:lastRenderedPageBreak/>
              <w:t xml:space="preserve">Additional terms </w:t>
            </w:r>
          </w:p>
        </w:tc>
        <w:tc>
          <w:tcPr>
            <w:tcW w:w="8294" w:type="dxa"/>
            <w:tcBorders>
              <w:top w:val="single" w:sz="8" w:space="0" w:color="4F81BD"/>
              <w:left w:val="single" w:sz="8" w:space="0" w:color="4F81BD"/>
              <w:bottom w:val="single" w:sz="8" w:space="0" w:color="4F81BD"/>
              <w:right w:val="single" w:sz="8" w:space="0" w:color="4F81BD"/>
            </w:tcBorders>
            <w:vAlign w:val="center"/>
          </w:tcPr>
          <w:p w14:paraId="575F5320" w14:textId="77777777" w:rsidR="0029427C" w:rsidRPr="003351E6" w:rsidRDefault="00CD24A0">
            <w:pPr>
              <w:spacing w:after="82" w:line="254" w:lineRule="auto"/>
              <w:ind w:left="14" w:firstLine="0"/>
            </w:pPr>
            <w:r w:rsidRPr="003351E6">
              <w:rPr>
                <w:rFonts w:eastAsia="Corbel"/>
              </w:rPr>
              <w:t xml:space="preserve">The Parties agree to implement this Schedule in accordance with the funding principles set out under the Appendices of this Schedule, and bilateral Implementation Plans.  </w:t>
            </w:r>
          </w:p>
          <w:p w14:paraId="7F04C498" w14:textId="77777777" w:rsidR="0029427C" w:rsidRPr="003351E6" w:rsidRDefault="00CD24A0">
            <w:pPr>
              <w:spacing w:after="82" w:line="254" w:lineRule="auto"/>
              <w:ind w:left="15" w:firstLine="0"/>
            </w:pPr>
            <w:r w:rsidRPr="003351E6">
              <w:rPr>
                <w:rFonts w:eastAsia="Corbel"/>
              </w:rPr>
              <w:t xml:space="preserve">Implementation Plans for Fee-Free TAFE will be agreed by the Commonwealth and each state individually, with finalisation triggering Milestone Payment 1 for that state.  </w:t>
            </w:r>
          </w:p>
          <w:p w14:paraId="74F6F07B" w14:textId="77777777" w:rsidR="0029427C" w:rsidRPr="003351E6" w:rsidRDefault="00CD24A0">
            <w:pPr>
              <w:spacing w:after="240" w:line="231" w:lineRule="auto"/>
              <w:ind w:left="15" w:firstLine="0"/>
            </w:pPr>
            <w:r w:rsidRPr="003351E6">
              <w:rPr>
                <w:rFonts w:eastAsia="Corbel"/>
              </w:rPr>
              <w:t xml:space="preserve">To support FFTT2, new Implementation Plans must be submitted by all States by 29 September 2023 or as negotiated between senior officials. </w:t>
            </w:r>
          </w:p>
          <w:p w14:paraId="407482DD" w14:textId="77777777" w:rsidR="0029427C" w:rsidRPr="003351E6" w:rsidRDefault="00CD24A0">
            <w:pPr>
              <w:spacing w:after="75" w:line="259" w:lineRule="auto"/>
              <w:ind w:left="15" w:firstLine="0"/>
            </w:pPr>
            <w:r w:rsidRPr="003351E6">
              <w:rPr>
                <w:rFonts w:eastAsia="Corbel"/>
              </w:rPr>
              <w:t xml:space="preserve">FFTT2 places for each jurisdiction are set out in Table 6. </w:t>
            </w:r>
          </w:p>
          <w:p w14:paraId="50CD2C94" w14:textId="33F59397" w:rsidR="0029427C" w:rsidRDefault="00CD24A0">
            <w:pPr>
              <w:spacing w:after="101" w:line="259" w:lineRule="auto"/>
              <w:ind w:left="14" w:firstLine="0"/>
              <w:rPr>
                <w:rFonts w:eastAsia="Corbel"/>
                <w:sz w:val="24"/>
                <w:szCs w:val="28"/>
              </w:rPr>
            </w:pPr>
            <w:r w:rsidRPr="00E7381E">
              <w:rPr>
                <w:rFonts w:eastAsia="Corbel"/>
                <w:szCs w:val="28"/>
              </w:rPr>
              <w:t xml:space="preserve">Table </w:t>
            </w:r>
            <w:r w:rsidR="00561598" w:rsidRPr="00E7381E">
              <w:rPr>
                <w:rFonts w:eastAsia="Corbel"/>
                <w:szCs w:val="28"/>
              </w:rPr>
              <w:t>6</w:t>
            </w:r>
            <w:r w:rsidRPr="00E7381E">
              <w:rPr>
                <w:rFonts w:eastAsia="Corbel"/>
                <w:szCs w:val="28"/>
              </w:rPr>
              <w:t>: FFTT2 Places by jurisdiction</w:t>
            </w:r>
            <w:r w:rsidRPr="00E7381E">
              <w:rPr>
                <w:rFonts w:eastAsia="Corbel"/>
                <w:sz w:val="24"/>
                <w:szCs w:val="28"/>
              </w:rPr>
              <w:t xml:space="preserve"> </w:t>
            </w:r>
          </w:p>
          <w:tbl>
            <w:tblPr>
              <w:tblStyle w:val="TableGrid1"/>
              <w:tblW w:w="8076" w:type="dxa"/>
              <w:tblInd w:w="0" w:type="dxa"/>
              <w:tblCellMar>
                <w:top w:w="32" w:type="dxa"/>
              </w:tblCellMar>
              <w:tblLook w:val="04A0" w:firstRow="1" w:lastRow="0" w:firstColumn="1" w:lastColumn="0" w:noHBand="0" w:noVBand="1"/>
            </w:tblPr>
            <w:tblGrid>
              <w:gridCol w:w="2951"/>
              <w:gridCol w:w="1160"/>
              <w:gridCol w:w="934"/>
              <w:gridCol w:w="1091"/>
              <w:gridCol w:w="1054"/>
              <w:gridCol w:w="886"/>
            </w:tblGrid>
            <w:tr w:rsidR="006F33F5" w:rsidRPr="003351E6" w14:paraId="7353D95B" w14:textId="77777777" w:rsidTr="464B8A14">
              <w:trPr>
                <w:trHeight w:val="289"/>
              </w:trPr>
              <w:tc>
                <w:tcPr>
                  <w:tcW w:w="2951" w:type="dxa"/>
                  <w:tcBorders>
                    <w:top w:val="nil"/>
                    <w:left w:val="nil"/>
                    <w:bottom w:val="single" w:sz="4" w:space="0" w:color="auto"/>
                    <w:right w:val="nil"/>
                  </w:tcBorders>
                </w:tcPr>
                <w:p w14:paraId="586361FF" w14:textId="77777777" w:rsidR="006F33F5" w:rsidRPr="00DA6B5E" w:rsidRDefault="6D18DD9E" w:rsidP="006F33F5">
                  <w:pPr>
                    <w:spacing w:after="0"/>
                  </w:pPr>
                  <w:r w:rsidRPr="464B8A14">
                    <w:rPr>
                      <w:b/>
                      <w:bCs/>
                    </w:rPr>
                    <w:t>($ million)</w:t>
                  </w:r>
                </w:p>
              </w:tc>
              <w:tc>
                <w:tcPr>
                  <w:tcW w:w="1160" w:type="dxa"/>
                  <w:tcBorders>
                    <w:top w:val="nil"/>
                    <w:left w:val="nil"/>
                    <w:bottom w:val="single" w:sz="4" w:space="0" w:color="auto"/>
                    <w:right w:val="nil"/>
                  </w:tcBorders>
                </w:tcPr>
                <w:p w14:paraId="77B36154" w14:textId="464C3E7A" w:rsidR="006F33F5" w:rsidRPr="00DA6B5E" w:rsidRDefault="00D01579" w:rsidP="006F33F5">
                  <w:pPr>
                    <w:spacing w:after="0"/>
                    <w:ind w:left="113"/>
                    <w:jc w:val="center"/>
                  </w:pPr>
                  <w:r>
                    <w:t xml:space="preserve">             </w:t>
                  </w:r>
                  <w:r w:rsidR="6D18DD9E">
                    <w:t>2023-24</w:t>
                  </w:r>
                </w:p>
              </w:tc>
              <w:tc>
                <w:tcPr>
                  <w:tcW w:w="934" w:type="dxa"/>
                  <w:tcBorders>
                    <w:top w:val="nil"/>
                    <w:left w:val="nil"/>
                    <w:bottom w:val="single" w:sz="4" w:space="0" w:color="auto"/>
                    <w:right w:val="nil"/>
                  </w:tcBorders>
                </w:tcPr>
                <w:p w14:paraId="37A9D0B9" w14:textId="575918E9" w:rsidR="006F33F5" w:rsidRPr="00DA6B5E" w:rsidRDefault="00D01579" w:rsidP="006F33F5">
                  <w:pPr>
                    <w:spacing w:after="0"/>
                    <w:jc w:val="center"/>
                  </w:pPr>
                  <w:r>
                    <w:t xml:space="preserve">   </w:t>
                  </w:r>
                  <w:r w:rsidR="6D18DD9E">
                    <w:t>2024-25</w:t>
                  </w:r>
                </w:p>
              </w:tc>
              <w:tc>
                <w:tcPr>
                  <w:tcW w:w="1091" w:type="dxa"/>
                  <w:tcBorders>
                    <w:top w:val="nil"/>
                    <w:left w:val="nil"/>
                    <w:bottom w:val="single" w:sz="4" w:space="0" w:color="auto"/>
                    <w:right w:val="nil"/>
                  </w:tcBorders>
                </w:tcPr>
                <w:p w14:paraId="08B910C4" w14:textId="017672EB" w:rsidR="006F33F5" w:rsidRPr="00DA6B5E" w:rsidRDefault="00D01579" w:rsidP="006F33F5">
                  <w:pPr>
                    <w:spacing w:after="0"/>
                    <w:ind w:left="113"/>
                    <w:jc w:val="center"/>
                  </w:pPr>
                  <w:r>
                    <w:t xml:space="preserve">            </w:t>
                  </w:r>
                  <w:r w:rsidR="6D18DD9E">
                    <w:t>2025-26</w:t>
                  </w:r>
                </w:p>
              </w:tc>
              <w:tc>
                <w:tcPr>
                  <w:tcW w:w="1054" w:type="dxa"/>
                  <w:tcBorders>
                    <w:top w:val="nil"/>
                    <w:left w:val="nil"/>
                    <w:bottom w:val="single" w:sz="4" w:space="0" w:color="auto"/>
                    <w:right w:val="nil"/>
                  </w:tcBorders>
                </w:tcPr>
                <w:p w14:paraId="3EC4F496" w14:textId="74283829" w:rsidR="006F33F5" w:rsidRPr="00DA6B5E" w:rsidRDefault="00D01579" w:rsidP="006F33F5">
                  <w:pPr>
                    <w:spacing w:after="0"/>
                    <w:ind w:left="113"/>
                    <w:jc w:val="center"/>
                  </w:pPr>
                  <w:r>
                    <w:t xml:space="preserve">          </w:t>
                  </w:r>
                  <w:r w:rsidR="6D18DD9E">
                    <w:t>2026-27</w:t>
                  </w:r>
                </w:p>
              </w:tc>
              <w:tc>
                <w:tcPr>
                  <w:tcW w:w="886" w:type="dxa"/>
                  <w:tcBorders>
                    <w:top w:val="nil"/>
                    <w:left w:val="nil"/>
                    <w:bottom w:val="single" w:sz="4" w:space="0" w:color="auto"/>
                    <w:right w:val="nil"/>
                  </w:tcBorders>
                </w:tcPr>
                <w:p w14:paraId="24E7FFFA" w14:textId="7F03B3D6" w:rsidR="006F33F5" w:rsidRPr="00DA6B5E" w:rsidRDefault="00D01579" w:rsidP="0006211C">
                  <w:pPr>
                    <w:spacing w:after="0"/>
                    <w:ind w:left="0" w:firstLine="0"/>
                  </w:pPr>
                  <w:r>
                    <w:t xml:space="preserve">      </w:t>
                  </w:r>
                  <w:r w:rsidR="6D18DD9E">
                    <w:t>Total</w:t>
                  </w:r>
                </w:p>
              </w:tc>
            </w:tr>
            <w:tr w:rsidR="006F33F5" w:rsidRPr="003351E6" w14:paraId="020D538A" w14:textId="77777777" w:rsidTr="464B8A14">
              <w:trPr>
                <w:trHeight w:val="289"/>
              </w:trPr>
              <w:tc>
                <w:tcPr>
                  <w:tcW w:w="2951" w:type="dxa"/>
                  <w:tcBorders>
                    <w:top w:val="single" w:sz="4" w:space="0" w:color="auto"/>
                    <w:left w:val="nil"/>
                    <w:bottom w:val="nil"/>
                    <w:right w:val="nil"/>
                  </w:tcBorders>
                </w:tcPr>
                <w:p w14:paraId="72C67975" w14:textId="77777777" w:rsidR="006F33F5" w:rsidRPr="00DA6B5E" w:rsidRDefault="6D18DD9E" w:rsidP="006F33F5">
                  <w:pPr>
                    <w:spacing w:after="0"/>
                  </w:pPr>
                  <w:r w:rsidRPr="464B8A14">
                    <w:rPr>
                      <w:b/>
                      <w:bCs/>
                    </w:rPr>
                    <w:t>Estimated total places</w:t>
                  </w:r>
                </w:p>
              </w:tc>
              <w:tc>
                <w:tcPr>
                  <w:tcW w:w="1160" w:type="dxa"/>
                  <w:tcBorders>
                    <w:top w:val="single" w:sz="4" w:space="0" w:color="auto"/>
                    <w:left w:val="nil"/>
                    <w:bottom w:val="single" w:sz="4" w:space="0" w:color="auto"/>
                    <w:right w:val="nil"/>
                  </w:tcBorders>
                </w:tcPr>
                <w:p w14:paraId="432E7204" w14:textId="77777777" w:rsidR="006F33F5" w:rsidRPr="00DA6B5E" w:rsidRDefault="6D18DD9E" w:rsidP="006F33F5">
                  <w:pPr>
                    <w:spacing w:after="0"/>
                    <w:ind w:left="113"/>
                    <w:jc w:val="right"/>
                  </w:pPr>
                  <w:r>
                    <w:t>50,300</w:t>
                  </w:r>
                </w:p>
              </w:tc>
              <w:tc>
                <w:tcPr>
                  <w:tcW w:w="934" w:type="dxa"/>
                  <w:tcBorders>
                    <w:top w:val="single" w:sz="4" w:space="0" w:color="auto"/>
                    <w:left w:val="nil"/>
                    <w:bottom w:val="single" w:sz="4" w:space="0" w:color="auto"/>
                    <w:right w:val="nil"/>
                  </w:tcBorders>
                </w:tcPr>
                <w:p w14:paraId="67D8EEAC" w14:textId="77777777" w:rsidR="006F33F5" w:rsidRPr="00DA6B5E" w:rsidRDefault="6D18DD9E" w:rsidP="006F33F5">
                  <w:pPr>
                    <w:spacing w:after="0"/>
                    <w:jc w:val="right"/>
                  </w:pPr>
                  <w:r>
                    <w:t>100,300</w:t>
                  </w:r>
                </w:p>
              </w:tc>
              <w:tc>
                <w:tcPr>
                  <w:tcW w:w="1091" w:type="dxa"/>
                  <w:tcBorders>
                    <w:top w:val="single" w:sz="4" w:space="0" w:color="auto"/>
                    <w:left w:val="nil"/>
                    <w:bottom w:val="single" w:sz="4" w:space="0" w:color="auto"/>
                    <w:right w:val="nil"/>
                  </w:tcBorders>
                </w:tcPr>
                <w:p w14:paraId="084939EB" w14:textId="77777777" w:rsidR="006F33F5" w:rsidRPr="00DA6B5E" w:rsidRDefault="6D18DD9E" w:rsidP="006F33F5">
                  <w:pPr>
                    <w:spacing w:after="0"/>
                    <w:ind w:left="113"/>
                    <w:jc w:val="right"/>
                  </w:pPr>
                  <w:r>
                    <w:t>100,300</w:t>
                  </w:r>
                </w:p>
              </w:tc>
              <w:tc>
                <w:tcPr>
                  <w:tcW w:w="1054" w:type="dxa"/>
                  <w:tcBorders>
                    <w:top w:val="single" w:sz="4" w:space="0" w:color="auto"/>
                    <w:left w:val="nil"/>
                    <w:bottom w:val="single" w:sz="4" w:space="0" w:color="auto"/>
                    <w:right w:val="nil"/>
                  </w:tcBorders>
                </w:tcPr>
                <w:p w14:paraId="7C3FA264" w14:textId="77777777" w:rsidR="006F33F5" w:rsidRPr="00DA6B5E" w:rsidRDefault="6D18DD9E" w:rsidP="006F33F5">
                  <w:pPr>
                    <w:spacing w:after="0"/>
                    <w:ind w:left="113"/>
                    <w:jc w:val="right"/>
                  </w:pPr>
                  <w:r>
                    <w:t>50,300</w:t>
                  </w:r>
                </w:p>
              </w:tc>
              <w:tc>
                <w:tcPr>
                  <w:tcW w:w="886" w:type="dxa"/>
                  <w:tcBorders>
                    <w:top w:val="single" w:sz="4" w:space="0" w:color="auto"/>
                    <w:left w:val="nil"/>
                    <w:bottom w:val="single" w:sz="4" w:space="0" w:color="auto"/>
                    <w:right w:val="nil"/>
                  </w:tcBorders>
                </w:tcPr>
                <w:p w14:paraId="3045D51C" w14:textId="77777777" w:rsidR="006F33F5" w:rsidRPr="00DA6B5E" w:rsidRDefault="6D18DD9E" w:rsidP="006F33F5">
                  <w:pPr>
                    <w:spacing w:after="0"/>
                    <w:ind w:left="48"/>
                    <w:jc w:val="right"/>
                  </w:pPr>
                  <w:r>
                    <w:t>301,200</w:t>
                  </w:r>
                </w:p>
              </w:tc>
            </w:tr>
            <w:tr w:rsidR="006F33F5" w:rsidRPr="003351E6" w14:paraId="44CB7BDC" w14:textId="77777777" w:rsidTr="464B8A14">
              <w:trPr>
                <w:trHeight w:val="289"/>
              </w:trPr>
              <w:tc>
                <w:tcPr>
                  <w:tcW w:w="2951" w:type="dxa"/>
                  <w:tcBorders>
                    <w:top w:val="nil"/>
                    <w:left w:val="nil"/>
                    <w:bottom w:val="nil"/>
                    <w:right w:val="nil"/>
                  </w:tcBorders>
                </w:tcPr>
                <w:p w14:paraId="544A89BB" w14:textId="77777777" w:rsidR="006F33F5" w:rsidRPr="00DA6B5E" w:rsidRDefault="6D18DD9E" w:rsidP="006F33F5">
                  <w:pPr>
                    <w:spacing w:after="0"/>
                  </w:pPr>
                  <w:r>
                    <w:t>New South Wales</w:t>
                  </w:r>
                </w:p>
              </w:tc>
              <w:tc>
                <w:tcPr>
                  <w:tcW w:w="1160" w:type="dxa"/>
                  <w:tcBorders>
                    <w:top w:val="single" w:sz="4" w:space="0" w:color="auto"/>
                    <w:left w:val="nil"/>
                    <w:bottom w:val="nil"/>
                    <w:right w:val="nil"/>
                  </w:tcBorders>
                </w:tcPr>
                <w:p w14:paraId="4A92B868" w14:textId="77777777" w:rsidR="006F33F5" w:rsidRPr="00DA6B5E" w:rsidRDefault="6D18DD9E" w:rsidP="006F33F5">
                  <w:pPr>
                    <w:spacing w:after="0"/>
                    <w:ind w:left="113"/>
                    <w:jc w:val="right"/>
                  </w:pPr>
                  <w:r>
                    <w:t>24,600</w:t>
                  </w:r>
                </w:p>
              </w:tc>
              <w:tc>
                <w:tcPr>
                  <w:tcW w:w="934" w:type="dxa"/>
                  <w:tcBorders>
                    <w:top w:val="single" w:sz="4" w:space="0" w:color="auto"/>
                    <w:left w:val="nil"/>
                    <w:bottom w:val="nil"/>
                    <w:right w:val="nil"/>
                  </w:tcBorders>
                </w:tcPr>
                <w:p w14:paraId="79B946B8" w14:textId="77777777" w:rsidR="006F33F5" w:rsidRPr="00DA6B5E" w:rsidRDefault="6D18DD9E" w:rsidP="006F33F5">
                  <w:pPr>
                    <w:spacing w:after="0"/>
                    <w:jc w:val="right"/>
                  </w:pPr>
                  <w:r>
                    <w:t>49,100</w:t>
                  </w:r>
                </w:p>
              </w:tc>
              <w:tc>
                <w:tcPr>
                  <w:tcW w:w="1091" w:type="dxa"/>
                  <w:tcBorders>
                    <w:top w:val="single" w:sz="4" w:space="0" w:color="auto"/>
                    <w:left w:val="nil"/>
                    <w:bottom w:val="nil"/>
                    <w:right w:val="nil"/>
                  </w:tcBorders>
                </w:tcPr>
                <w:p w14:paraId="53DAF1FC" w14:textId="77777777" w:rsidR="006F33F5" w:rsidRPr="00DA6B5E" w:rsidRDefault="6D18DD9E" w:rsidP="006F33F5">
                  <w:pPr>
                    <w:spacing w:after="0"/>
                    <w:ind w:left="113"/>
                    <w:jc w:val="right"/>
                  </w:pPr>
                  <w:r>
                    <w:t>49,100</w:t>
                  </w:r>
                </w:p>
              </w:tc>
              <w:tc>
                <w:tcPr>
                  <w:tcW w:w="1054" w:type="dxa"/>
                  <w:tcBorders>
                    <w:top w:val="single" w:sz="4" w:space="0" w:color="auto"/>
                    <w:left w:val="nil"/>
                    <w:bottom w:val="nil"/>
                    <w:right w:val="nil"/>
                  </w:tcBorders>
                </w:tcPr>
                <w:p w14:paraId="1182352E" w14:textId="77777777" w:rsidR="006F33F5" w:rsidRPr="00DA6B5E" w:rsidRDefault="6D18DD9E" w:rsidP="006F33F5">
                  <w:pPr>
                    <w:spacing w:after="0"/>
                    <w:ind w:left="113"/>
                    <w:jc w:val="right"/>
                  </w:pPr>
                  <w:r>
                    <w:t>24,600</w:t>
                  </w:r>
                </w:p>
              </w:tc>
              <w:tc>
                <w:tcPr>
                  <w:tcW w:w="886" w:type="dxa"/>
                  <w:tcBorders>
                    <w:top w:val="single" w:sz="4" w:space="0" w:color="auto"/>
                    <w:left w:val="nil"/>
                    <w:bottom w:val="nil"/>
                    <w:right w:val="nil"/>
                  </w:tcBorders>
                </w:tcPr>
                <w:p w14:paraId="4B3ED703" w14:textId="77777777" w:rsidR="006F33F5" w:rsidRPr="00DA6B5E" w:rsidRDefault="6D18DD9E" w:rsidP="006F33F5">
                  <w:pPr>
                    <w:spacing w:after="0"/>
                    <w:ind w:left="48"/>
                    <w:jc w:val="right"/>
                  </w:pPr>
                  <w:r>
                    <w:t>147,400</w:t>
                  </w:r>
                </w:p>
              </w:tc>
            </w:tr>
            <w:tr w:rsidR="006F33F5" w:rsidRPr="003351E6" w14:paraId="56FBD379" w14:textId="77777777" w:rsidTr="464B8A14">
              <w:trPr>
                <w:trHeight w:val="289"/>
              </w:trPr>
              <w:tc>
                <w:tcPr>
                  <w:tcW w:w="2951" w:type="dxa"/>
                  <w:tcBorders>
                    <w:top w:val="nil"/>
                    <w:left w:val="nil"/>
                    <w:bottom w:val="nil"/>
                    <w:right w:val="nil"/>
                  </w:tcBorders>
                </w:tcPr>
                <w:p w14:paraId="4D5B84BB" w14:textId="77777777" w:rsidR="006F33F5" w:rsidRPr="00DA6B5E" w:rsidRDefault="6D18DD9E" w:rsidP="006F33F5">
                  <w:pPr>
                    <w:spacing w:after="0" w:line="259" w:lineRule="auto"/>
                    <w:ind w:left="0" w:firstLine="0"/>
                  </w:pPr>
                  <w:r>
                    <w:t xml:space="preserve">Victoria </w:t>
                  </w:r>
                </w:p>
              </w:tc>
              <w:tc>
                <w:tcPr>
                  <w:tcW w:w="1160" w:type="dxa"/>
                  <w:tcBorders>
                    <w:top w:val="nil"/>
                    <w:left w:val="nil"/>
                    <w:bottom w:val="nil"/>
                    <w:right w:val="nil"/>
                  </w:tcBorders>
                </w:tcPr>
                <w:p w14:paraId="4AFFE3A8" w14:textId="77777777" w:rsidR="006F33F5" w:rsidRPr="00DA6B5E" w:rsidRDefault="6D18DD9E" w:rsidP="006F33F5">
                  <w:pPr>
                    <w:spacing w:after="0" w:line="259" w:lineRule="auto"/>
                    <w:ind w:left="113" w:firstLine="0"/>
                    <w:jc w:val="right"/>
                  </w:pPr>
                  <w:r>
                    <w:t>10,500</w:t>
                  </w:r>
                </w:p>
              </w:tc>
              <w:tc>
                <w:tcPr>
                  <w:tcW w:w="934" w:type="dxa"/>
                  <w:tcBorders>
                    <w:top w:val="nil"/>
                    <w:left w:val="nil"/>
                    <w:bottom w:val="nil"/>
                    <w:right w:val="nil"/>
                  </w:tcBorders>
                </w:tcPr>
                <w:p w14:paraId="55CD892F" w14:textId="77777777" w:rsidR="006F33F5" w:rsidRPr="00DA6B5E" w:rsidRDefault="6D18DD9E" w:rsidP="006F33F5">
                  <w:pPr>
                    <w:spacing w:after="0" w:line="259" w:lineRule="auto"/>
                    <w:ind w:left="0" w:firstLine="0"/>
                    <w:jc w:val="right"/>
                  </w:pPr>
                  <w:r>
                    <w:t>20,900</w:t>
                  </w:r>
                </w:p>
              </w:tc>
              <w:tc>
                <w:tcPr>
                  <w:tcW w:w="1091" w:type="dxa"/>
                  <w:tcBorders>
                    <w:top w:val="nil"/>
                    <w:left w:val="nil"/>
                    <w:bottom w:val="nil"/>
                    <w:right w:val="nil"/>
                  </w:tcBorders>
                </w:tcPr>
                <w:p w14:paraId="4914B228" w14:textId="77777777" w:rsidR="006F33F5" w:rsidRPr="00DA6B5E" w:rsidRDefault="6D18DD9E" w:rsidP="006F33F5">
                  <w:pPr>
                    <w:spacing w:after="0" w:line="259" w:lineRule="auto"/>
                    <w:ind w:left="113" w:firstLine="0"/>
                    <w:jc w:val="right"/>
                  </w:pPr>
                  <w:r>
                    <w:t>20,900</w:t>
                  </w:r>
                </w:p>
              </w:tc>
              <w:tc>
                <w:tcPr>
                  <w:tcW w:w="1054" w:type="dxa"/>
                  <w:tcBorders>
                    <w:top w:val="nil"/>
                    <w:left w:val="nil"/>
                    <w:bottom w:val="nil"/>
                    <w:right w:val="nil"/>
                  </w:tcBorders>
                </w:tcPr>
                <w:p w14:paraId="3A037974" w14:textId="77777777" w:rsidR="006F33F5" w:rsidRPr="00DA6B5E" w:rsidRDefault="6D18DD9E" w:rsidP="006F33F5">
                  <w:pPr>
                    <w:spacing w:after="0" w:line="259" w:lineRule="auto"/>
                    <w:ind w:left="113" w:firstLine="0"/>
                    <w:jc w:val="right"/>
                  </w:pPr>
                  <w:r>
                    <w:t>10,500</w:t>
                  </w:r>
                </w:p>
              </w:tc>
              <w:tc>
                <w:tcPr>
                  <w:tcW w:w="886" w:type="dxa"/>
                  <w:tcBorders>
                    <w:top w:val="nil"/>
                    <w:left w:val="nil"/>
                    <w:bottom w:val="nil"/>
                    <w:right w:val="nil"/>
                  </w:tcBorders>
                </w:tcPr>
                <w:p w14:paraId="32573793" w14:textId="77777777" w:rsidR="006F33F5" w:rsidRPr="00DA6B5E" w:rsidRDefault="6D18DD9E" w:rsidP="006F33F5">
                  <w:pPr>
                    <w:spacing w:after="0" w:line="259" w:lineRule="auto"/>
                    <w:ind w:left="48" w:firstLine="0"/>
                    <w:jc w:val="right"/>
                  </w:pPr>
                  <w:r>
                    <w:t>62,800</w:t>
                  </w:r>
                </w:p>
              </w:tc>
            </w:tr>
            <w:tr w:rsidR="006F33F5" w:rsidRPr="003351E6" w14:paraId="7466587C" w14:textId="77777777" w:rsidTr="464B8A14">
              <w:trPr>
                <w:trHeight w:val="289"/>
              </w:trPr>
              <w:tc>
                <w:tcPr>
                  <w:tcW w:w="2951" w:type="dxa"/>
                  <w:tcBorders>
                    <w:top w:val="nil"/>
                    <w:left w:val="nil"/>
                    <w:bottom w:val="nil"/>
                    <w:right w:val="nil"/>
                  </w:tcBorders>
                </w:tcPr>
                <w:p w14:paraId="15ECB754" w14:textId="77777777" w:rsidR="006F33F5" w:rsidRPr="00DA6B5E" w:rsidRDefault="6D18DD9E" w:rsidP="006F33F5">
                  <w:pPr>
                    <w:spacing w:after="0" w:line="259" w:lineRule="auto"/>
                    <w:ind w:left="0" w:firstLine="0"/>
                  </w:pPr>
                  <w:r>
                    <w:t xml:space="preserve">Queensland </w:t>
                  </w:r>
                </w:p>
              </w:tc>
              <w:tc>
                <w:tcPr>
                  <w:tcW w:w="1160" w:type="dxa"/>
                  <w:tcBorders>
                    <w:top w:val="nil"/>
                    <w:left w:val="nil"/>
                    <w:bottom w:val="nil"/>
                    <w:right w:val="nil"/>
                  </w:tcBorders>
                </w:tcPr>
                <w:p w14:paraId="3541DA59" w14:textId="77777777" w:rsidR="006F33F5" w:rsidRPr="00DA6B5E" w:rsidRDefault="6D18DD9E" w:rsidP="006F33F5">
                  <w:pPr>
                    <w:spacing w:after="0" w:line="259" w:lineRule="auto"/>
                    <w:ind w:left="113" w:firstLine="0"/>
                    <w:jc w:val="right"/>
                  </w:pPr>
                  <w:r>
                    <w:t>7,200</w:t>
                  </w:r>
                </w:p>
              </w:tc>
              <w:tc>
                <w:tcPr>
                  <w:tcW w:w="934" w:type="dxa"/>
                  <w:tcBorders>
                    <w:top w:val="nil"/>
                    <w:left w:val="nil"/>
                    <w:bottom w:val="nil"/>
                    <w:right w:val="nil"/>
                  </w:tcBorders>
                </w:tcPr>
                <w:p w14:paraId="3A625117" w14:textId="77777777" w:rsidR="006F33F5" w:rsidRPr="00DA6B5E" w:rsidRDefault="6D18DD9E" w:rsidP="006F33F5">
                  <w:pPr>
                    <w:spacing w:after="0" w:line="259" w:lineRule="auto"/>
                    <w:ind w:left="0" w:firstLine="0"/>
                    <w:jc w:val="right"/>
                  </w:pPr>
                  <w:r>
                    <w:t>14,500</w:t>
                  </w:r>
                </w:p>
              </w:tc>
              <w:tc>
                <w:tcPr>
                  <w:tcW w:w="1091" w:type="dxa"/>
                  <w:tcBorders>
                    <w:top w:val="nil"/>
                    <w:left w:val="nil"/>
                    <w:bottom w:val="nil"/>
                    <w:right w:val="nil"/>
                  </w:tcBorders>
                </w:tcPr>
                <w:p w14:paraId="68CDA124" w14:textId="77777777" w:rsidR="006F33F5" w:rsidRPr="00DA6B5E" w:rsidRDefault="6D18DD9E" w:rsidP="006F33F5">
                  <w:pPr>
                    <w:spacing w:after="0" w:line="259" w:lineRule="auto"/>
                    <w:ind w:left="113" w:firstLine="0"/>
                    <w:jc w:val="right"/>
                  </w:pPr>
                  <w:r>
                    <w:t>14,500</w:t>
                  </w:r>
                </w:p>
              </w:tc>
              <w:tc>
                <w:tcPr>
                  <w:tcW w:w="1054" w:type="dxa"/>
                  <w:tcBorders>
                    <w:top w:val="nil"/>
                    <w:left w:val="nil"/>
                    <w:bottom w:val="nil"/>
                    <w:right w:val="nil"/>
                  </w:tcBorders>
                </w:tcPr>
                <w:p w14:paraId="33ABCE5A" w14:textId="77777777" w:rsidR="006F33F5" w:rsidRPr="00DA6B5E" w:rsidRDefault="6D18DD9E" w:rsidP="006F33F5">
                  <w:pPr>
                    <w:spacing w:after="0" w:line="259" w:lineRule="auto"/>
                    <w:ind w:left="113" w:firstLine="0"/>
                    <w:jc w:val="right"/>
                  </w:pPr>
                  <w:r>
                    <w:t>7,200</w:t>
                  </w:r>
                </w:p>
              </w:tc>
              <w:tc>
                <w:tcPr>
                  <w:tcW w:w="886" w:type="dxa"/>
                  <w:tcBorders>
                    <w:top w:val="nil"/>
                    <w:left w:val="nil"/>
                    <w:bottom w:val="nil"/>
                    <w:right w:val="nil"/>
                  </w:tcBorders>
                </w:tcPr>
                <w:p w14:paraId="6118183A" w14:textId="77777777" w:rsidR="006F33F5" w:rsidRPr="00DA6B5E" w:rsidRDefault="6D18DD9E" w:rsidP="006F33F5">
                  <w:pPr>
                    <w:spacing w:after="0" w:line="259" w:lineRule="auto"/>
                    <w:ind w:left="161" w:firstLine="0"/>
                    <w:jc w:val="right"/>
                  </w:pPr>
                  <w:r>
                    <w:t>43,400</w:t>
                  </w:r>
                </w:p>
              </w:tc>
            </w:tr>
            <w:tr w:rsidR="006F33F5" w:rsidRPr="003351E6" w14:paraId="3CE8A130" w14:textId="77777777" w:rsidTr="464B8A14">
              <w:trPr>
                <w:trHeight w:val="290"/>
              </w:trPr>
              <w:tc>
                <w:tcPr>
                  <w:tcW w:w="2951" w:type="dxa"/>
                  <w:tcBorders>
                    <w:top w:val="nil"/>
                    <w:left w:val="nil"/>
                    <w:bottom w:val="nil"/>
                    <w:right w:val="nil"/>
                  </w:tcBorders>
                </w:tcPr>
                <w:p w14:paraId="155D9113" w14:textId="77777777" w:rsidR="006F33F5" w:rsidRPr="00DA6B5E" w:rsidRDefault="6D18DD9E" w:rsidP="006F33F5">
                  <w:pPr>
                    <w:spacing w:after="0" w:line="259" w:lineRule="auto"/>
                    <w:ind w:left="0" w:firstLine="0"/>
                  </w:pPr>
                  <w:r>
                    <w:t xml:space="preserve">Western Australia </w:t>
                  </w:r>
                </w:p>
              </w:tc>
              <w:tc>
                <w:tcPr>
                  <w:tcW w:w="1160" w:type="dxa"/>
                  <w:tcBorders>
                    <w:top w:val="nil"/>
                    <w:left w:val="nil"/>
                    <w:bottom w:val="nil"/>
                    <w:right w:val="nil"/>
                  </w:tcBorders>
                </w:tcPr>
                <w:p w14:paraId="41933B7A" w14:textId="77777777" w:rsidR="006F33F5" w:rsidRPr="00DA6B5E" w:rsidRDefault="6D18DD9E" w:rsidP="006F33F5">
                  <w:pPr>
                    <w:spacing w:after="0" w:line="259" w:lineRule="auto"/>
                    <w:ind w:left="113" w:firstLine="0"/>
                    <w:jc w:val="right"/>
                  </w:pPr>
                  <w:r>
                    <w:t>3,700</w:t>
                  </w:r>
                </w:p>
              </w:tc>
              <w:tc>
                <w:tcPr>
                  <w:tcW w:w="934" w:type="dxa"/>
                  <w:tcBorders>
                    <w:top w:val="nil"/>
                    <w:left w:val="nil"/>
                    <w:bottom w:val="nil"/>
                    <w:right w:val="nil"/>
                  </w:tcBorders>
                </w:tcPr>
                <w:p w14:paraId="485D8C4A" w14:textId="77777777" w:rsidR="006F33F5" w:rsidRPr="00DA6B5E" w:rsidRDefault="6D18DD9E" w:rsidP="006F33F5">
                  <w:pPr>
                    <w:spacing w:after="0" w:line="259" w:lineRule="auto"/>
                    <w:ind w:left="0" w:firstLine="0"/>
                    <w:jc w:val="right"/>
                  </w:pPr>
                  <w:r>
                    <w:t>7,400</w:t>
                  </w:r>
                </w:p>
              </w:tc>
              <w:tc>
                <w:tcPr>
                  <w:tcW w:w="1091" w:type="dxa"/>
                  <w:tcBorders>
                    <w:top w:val="nil"/>
                    <w:left w:val="nil"/>
                    <w:bottom w:val="nil"/>
                    <w:right w:val="nil"/>
                  </w:tcBorders>
                </w:tcPr>
                <w:p w14:paraId="47DBCBF9" w14:textId="77777777" w:rsidR="006F33F5" w:rsidRPr="00DA6B5E" w:rsidRDefault="6D18DD9E" w:rsidP="006F33F5">
                  <w:pPr>
                    <w:spacing w:after="0" w:line="259" w:lineRule="auto"/>
                    <w:ind w:left="113" w:firstLine="0"/>
                    <w:jc w:val="right"/>
                  </w:pPr>
                  <w:r>
                    <w:t>7,400</w:t>
                  </w:r>
                </w:p>
              </w:tc>
              <w:tc>
                <w:tcPr>
                  <w:tcW w:w="1054" w:type="dxa"/>
                  <w:tcBorders>
                    <w:top w:val="nil"/>
                    <w:left w:val="nil"/>
                    <w:bottom w:val="nil"/>
                    <w:right w:val="nil"/>
                  </w:tcBorders>
                </w:tcPr>
                <w:p w14:paraId="562CE82C" w14:textId="77777777" w:rsidR="006F33F5" w:rsidRPr="00DA6B5E" w:rsidRDefault="6D18DD9E" w:rsidP="006F33F5">
                  <w:pPr>
                    <w:spacing w:after="0" w:line="259" w:lineRule="auto"/>
                    <w:ind w:left="113" w:firstLine="0"/>
                    <w:jc w:val="right"/>
                  </w:pPr>
                  <w:r>
                    <w:t>3,700</w:t>
                  </w:r>
                </w:p>
              </w:tc>
              <w:tc>
                <w:tcPr>
                  <w:tcW w:w="886" w:type="dxa"/>
                  <w:tcBorders>
                    <w:top w:val="nil"/>
                    <w:left w:val="nil"/>
                    <w:bottom w:val="nil"/>
                    <w:right w:val="nil"/>
                  </w:tcBorders>
                </w:tcPr>
                <w:p w14:paraId="13D3BC39" w14:textId="77777777" w:rsidR="006F33F5" w:rsidRPr="00DA6B5E" w:rsidRDefault="6D18DD9E" w:rsidP="006F33F5">
                  <w:pPr>
                    <w:spacing w:after="0" w:line="259" w:lineRule="auto"/>
                    <w:ind w:left="161" w:firstLine="0"/>
                    <w:jc w:val="right"/>
                  </w:pPr>
                  <w:r>
                    <w:t>22,200</w:t>
                  </w:r>
                </w:p>
              </w:tc>
            </w:tr>
            <w:tr w:rsidR="006F33F5" w:rsidRPr="003351E6" w14:paraId="3DF463A8" w14:textId="77777777" w:rsidTr="464B8A14">
              <w:trPr>
                <w:trHeight w:val="290"/>
              </w:trPr>
              <w:tc>
                <w:tcPr>
                  <w:tcW w:w="2951" w:type="dxa"/>
                  <w:tcBorders>
                    <w:top w:val="nil"/>
                    <w:left w:val="nil"/>
                    <w:bottom w:val="nil"/>
                    <w:right w:val="nil"/>
                  </w:tcBorders>
                </w:tcPr>
                <w:p w14:paraId="437C770B" w14:textId="77777777" w:rsidR="006F33F5" w:rsidRPr="00DA6B5E" w:rsidRDefault="6D18DD9E" w:rsidP="006F33F5">
                  <w:pPr>
                    <w:spacing w:after="0" w:line="259" w:lineRule="auto"/>
                    <w:ind w:left="0" w:firstLine="0"/>
                  </w:pPr>
                  <w:r>
                    <w:t xml:space="preserve">South Australia </w:t>
                  </w:r>
                </w:p>
              </w:tc>
              <w:tc>
                <w:tcPr>
                  <w:tcW w:w="1160" w:type="dxa"/>
                  <w:tcBorders>
                    <w:top w:val="nil"/>
                    <w:left w:val="nil"/>
                    <w:bottom w:val="nil"/>
                    <w:right w:val="nil"/>
                  </w:tcBorders>
                </w:tcPr>
                <w:p w14:paraId="18EFBB36" w14:textId="77777777" w:rsidR="006F33F5" w:rsidRPr="00DA6B5E" w:rsidRDefault="6D18DD9E" w:rsidP="006F33F5">
                  <w:pPr>
                    <w:spacing w:after="0" w:line="259" w:lineRule="auto"/>
                    <w:ind w:left="113" w:firstLine="0"/>
                    <w:jc w:val="right"/>
                  </w:pPr>
                  <w:r>
                    <w:t>2,500</w:t>
                  </w:r>
                </w:p>
              </w:tc>
              <w:tc>
                <w:tcPr>
                  <w:tcW w:w="934" w:type="dxa"/>
                  <w:tcBorders>
                    <w:top w:val="nil"/>
                    <w:left w:val="nil"/>
                    <w:bottom w:val="nil"/>
                    <w:right w:val="nil"/>
                  </w:tcBorders>
                </w:tcPr>
                <w:p w14:paraId="3FEDD4C5" w14:textId="77777777" w:rsidR="006F33F5" w:rsidRPr="00DA6B5E" w:rsidRDefault="6D18DD9E" w:rsidP="006F33F5">
                  <w:pPr>
                    <w:spacing w:after="0" w:line="259" w:lineRule="auto"/>
                    <w:ind w:left="0" w:firstLine="0"/>
                    <w:jc w:val="right"/>
                  </w:pPr>
                  <w:r>
                    <w:t>5,000</w:t>
                  </w:r>
                </w:p>
              </w:tc>
              <w:tc>
                <w:tcPr>
                  <w:tcW w:w="1091" w:type="dxa"/>
                  <w:tcBorders>
                    <w:top w:val="nil"/>
                    <w:left w:val="nil"/>
                    <w:bottom w:val="nil"/>
                    <w:right w:val="nil"/>
                  </w:tcBorders>
                </w:tcPr>
                <w:p w14:paraId="22084E5A" w14:textId="77777777" w:rsidR="006F33F5" w:rsidRPr="00DA6B5E" w:rsidRDefault="6D18DD9E" w:rsidP="006F33F5">
                  <w:pPr>
                    <w:spacing w:after="0" w:line="259" w:lineRule="auto"/>
                    <w:ind w:left="223" w:firstLine="0"/>
                    <w:jc w:val="right"/>
                  </w:pPr>
                  <w:r>
                    <w:t>5,000</w:t>
                  </w:r>
                </w:p>
              </w:tc>
              <w:tc>
                <w:tcPr>
                  <w:tcW w:w="1054" w:type="dxa"/>
                  <w:tcBorders>
                    <w:top w:val="nil"/>
                    <w:left w:val="nil"/>
                    <w:bottom w:val="nil"/>
                    <w:right w:val="nil"/>
                  </w:tcBorders>
                </w:tcPr>
                <w:p w14:paraId="33B2A2CB" w14:textId="77777777" w:rsidR="006F33F5" w:rsidRPr="00DA6B5E" w:rsidRDefault="6D18DD9E" w:rsidP="006F33F5">
                  <w:pPr>
                    <w:spacing w:after="0" w:line="259" w:lineRule="auto"/>
                    <w:ind w:left="223" w:firstLine="0"/>
                    <w:jc w:val="right"/>
                  </w:pPr>
                  <w:r>
                    <w:t>2,500</w:t>
                  </w:r>
                </w:p>
              </w:tc>
              <w:tc>
                <w:tcPr>
                  <w:tcW w:w="886" w:type="dxa"/>
                  <w:tcBorders>
                    <w:top w:val="nil"/>
                    <w:left w:val="nil"/>
                    <w:bottom w:val="nil"/>
                    <w:right w:val="nil"/>
                  </w:tcBorders>
                </w:tcPr>
                <w:p w14:paraId="671C2640" w14:textId="77777777" w:rsidR="006F33F5" w:rsidRPr="00DA6B5E" w:rsidRDefault="6D18DD9E" w:rsidP="006F33F5">
                  <w:pPr>
                    <w:spacing w:after="0" w:line="259" w:lineRule="auto"/>
                    <w:ind w:left="161" w:firstLine="0"/>
                    <w:jc w:val="right"/>
                  </w:pPr>
                  <w:r>
                    <w:t>15,000</w:t>
                  </w:r>
                </w:p>
              </w:tc>
            </w:tr>
            <w:tr w:rsidR="006F33F5" w:rsidRPr="003351E6" w14:paraId="1ED315C5" w14:textId="77777777" w:rsidTr="464B8A14">
              <w:trPr>
                <w:trHeight w:val="289"/>
              </w:trPr>
              <w:tc>
                <w:tcPr>
                  <w:tcW w:w="2951" w:type="dxa"/>
                  <w:tcBorders>
                    <w:top w:val="nil"/>
                    <w:left w:val="nil"/>
                    <w:bottom w:val="nil"/>
                    <w:right w:val="nil"/>
                  </w:tcBorders>
                </w:tcPr>
                <w:p w14:paraId="639FE7EA" w14:textId="77777777" w:rsidR="006F33F5" w:rsidRPr="00DA6B5E" w:rsidRDefault="6D18DD9E" w:rsidP="006F33F5">
                  <w:pPr>
                    <w:spacing w:after="0" w:line="259" w:lineRule="auto"/>
                    <w:ind w:left="0" w:firstLine="0"/>
                  </w:pPr>
                  <w:r>
                    <w:t xml:space="preserve">Tasmania </w:t>
                  </w:r>
                </w:p>
              </w:tc>
              <w:tc>
                <w:tcPr>
                  <w:tcW w:w="1160" w:type="dxa"/>
                  <w:tcBorders>
                    <w:top w:val="nil"/>
                    <w:left w:val="nil"/>
                    <w:bottom w:val="nil"/>
                    <w:right w:val="nil"/>
                  </w:tcBorders>
                </w:tcPr>
                <w:p w14:paraId="0890EB94" w14:textId="77777777" w:rsidR="006F33F5" w:rsidRPr="00DA6B5E" w:rsidRDefault="6D18DD9E" w:rsidP="006F33F5">
                  <w:pPr>
                    <w:spacing w:after="0" w:line="259" w:lineRule="auto"/>
                    <w:ind w:left="223" w:firstLine="0"/>
                    <w:jc w:val="right"/>
                  </w:pPr>
                  <w:r>
                    <w:t>800</w:t>
                  </w:r>
                </w:p>
              </w:tc>
              <w:tc>
                <w:tcPr>
                  <w:tcW w:w="934" w:type="dxa"/>
                  <w:tcBorders>
                    <w:top w:val="nil"/>
                    <w:left w:val="nil"/>
                    <w:bottom w:val="nil"/>
                    <w:right w:val="nil"/>
                  </w:tcBorders>
                </w:tcPr>
                <w:p w14:paraId="3AAA5200" w14:textId="77777777" w:rsidR="006F33F5" w:rsidRPr="00DA6B5E" w:rsidRDefault="6D18DD9E" w:rsidP="006F33F5">
                  <w:pPr>
                    <w:spacing w:after="0" w:line="259" w:lineRule="auto"/>
                    <w:ind w:left="0" w:firstLine="0"/>
                    <w:jc w:val="right"/>
                  </w:pPr>
                  <w:r>
                    <w:t>1,500</w:t>
                  </w:r>
                </w:p>
              </w:tc>
              <w:tc>
                <w:tcPr>
                  <w:tcW w:w="1091" w:type="dxa"/>
                  <w:tcBorders>
                    <w:top w:val="nil"/>
                    <w:left w:val="nil"/>
                    <w:bottom w:val="nil"/>
                    <w:right w:val="nil"/>
                  </w:tcBorders>
                </w:tcPr>
                <w:p w14:paraId="33189D8C" w14:textId="77777777" w:rsidR="006F33F5" w:rsidRPr="00DA6B5E" w:rsidRDefault="6D18DD9E" w:rsidP="006F33F5">
                  <w:pPr>
                    <w:spacing w:after="0" w:line="259" w:lineRule="auto"/>
                    <w:ind w:left="223" w:firstLine="0"/>
                    <w:jc w:val="right"/>
                  </w:pPr>
                  <w:r>
                    <w:t>1,500</w:t>
                  </w:r>
                </w:p>
              </w:tc>
              <w:tc>
                <w:tcPr>
                  <w:tcW w:w="1054" w:type="dxa"/>
                  <w:tcBorders>
                    <w:top w:val="nil"/>
                    <w:left w:val="nil"/>
                    <w:bottom w:val="nil"/>
                    <w:right w:val="nil"/>
                  </w:tcBorders>
                </w:tcPr>
                <w:p w14:paraId="5260CBA4" w14:textId="77777777" w:rsidR="006F33F5" w:rsidRPr="00DA6B5E" w:rsidRDefault="6D18DD9E" w:rsidP="006F33F5">
                  <w:pPr>
                    <w:spacing w:after="0" w:line="259" w:lineRule="auto"/>
                    <w:ind w:left="223" w:firstLine="0"/>
                    <w:jc w:val="right"/>
                  </w:pPr>
                  <w:r>
                    <w:t>800</w:t>
                  </w:r>
                </w:p>
              </w:tc>
              <w:tc>
                <w:tcPr>
                  <w:tcW w:w="886" w:type="dxa"/>
                  <w:tcBorders>
                    <w:top w:val="nil"/>
                    <w:left w:val="nil"/>
                    <w:bottom w:val="nil"/>
                    <w:right w:val="nil"/>
                  </w:tcBorders>
                </w:tcPr>
                <w:p w14:paraId="66712CDD" w14:textId="77777777" w:rsidR="006F33F5" w:rsidRPr="00DA6B5E" w:rsidRDefault="6D18DD9E" w:rsidP="006F33F5">
                  <w:pPr>
                    <w:spacing w:after="0" w:line="259" w:lineRule="auto"/>
                    <w:ind w:left="0" w:right="1" w:firstLine="0"/>
                    <w:jc w:val="right"/>
                  </w:pPr>
                  <w:r>
                    <w:t>4,600</w:t>
                  </w:r>
                </w:p>
              </w:tc>
            </w:tr>
            <w:tr w:rsidR="006F33F5" w:rsidRPr="003351E6" w14:paraId="545EAEB5" w14:textId="77777777" w:rsidTr="464B8A14">
              <w:trPr>
                <w:trHeight w:val="289"/>
              </w:trPr>
              <w:tc>
                <w:tcPr>
                  <w:tcW w:w="2951" w:type="dxa"/>
                  <w:tcBorders>
                    <w:top w:val="nil"/>
                    <w:left w:val="nil"/>
                    <w:bottom w:val="nil"/>
                    <w:right w:val="nil"/>
                  </w:tcBorders>
                </w:tcPr>
                <w:p w14:paraId="22F6E73B" w14:textId="77777777" w:rsidR="006F33F5" w:rsidRPr="00DA6B5E" w:rsidRDefault="6D18DD9E" w:rsidP="006F33F5">
                  <w:pPr>
                    <w:spacing w:after="0" w:line="259" w:lineRule="auto"/>
                    <w:ind w:left="0" w:firstLine="0"/>
                  </w:pPr>
                  <w:r>
                    <w:t xml:space="preserve">Australian Capital Territory </w:t>
                  </w:r>
                </w:p>
              </w:tc>
              <w:tc>
                <w:tcPr>
                  <w:tcW w:w="1160" w:type="dxa"/>
                  <w:tcBorders>
                    <w:top w:val="nil"/>
                    <w:left w:val="nil"/>
                    <w:bottom w:val="nil"/>
                    <w:right w:val="nil"/>
                  </w:tcBorders>
                </w:tcPr>
                <w:p w14:paraId="751192E7" w14:textId="77777777" w:rsidR="006F33F5" w:rsidRPr="00DA6B5E" w:rsidRDefault="6D18DD9E" w:rsidP="006F33F5">
                  <w:pPr>
                    <w:spacing w:after="0" w:line="259" w:lineRule="auto"/>
                    <w:ind w:left="223" w:firstLine="0"/>
                    <w:jc w:val="right"/>
                  </w:pPr>
                  <w:r>
                    <w:t>600</w:t>
                  </w:r>
                </w:p>
              </w:tc>
              <w:tc>
                <w:tcPr>
                  <w:tcW w:w="934" w:type="dxa"/>
                  <w:tcBorders>
                    <w:top w:val="nil"/>
                    <w:left w:val="nil"/>
                    <w:bottom w:val="nil"/>
                    <w:right w:val="nil"/>
                  </w:tcBorders>
                </w:tcPr>
                <w:p w14:paraId="3E3DAB45" w14:textId="77777777" w:rsidR="006F33F5" w:rsidRPr="00DA6B5E" w:rsidRDefault="6D18DD9E" w:rsidP="006F33F5">
                  <w:pPr>
                    <w:spacing w:after="0" w:line="259" w:lineRule="auto"/>
                    <w:ind w:left="0" w:firstLine="0"/>
                    <w:jc w:val="right"/>
                  </w:pPr>
                  <w:r>
                    <w:t>1,200</w:t>
                  </w:r>
                </w:p>
              </w:tc>
              <w:tc>
                <w:tcPr>
                  <w:tcW w:w="1091" w:type="dxa"/>
                  <w:tcBorders>
                    <w:top w:val="nil"/>
                    <w:left w:val="nil"/>
                    <w:bottom w:val="nil"/>
                    <w:right w:val="nil"/>
                  </w:tcBorders>
                </w:tcPr>
                <w:p w14:paraId="5EE03993" w14:textId="77777777" w:rsidR="006F33F5" w:rsidRPr="00DA6B5E" w:rsidRDefault="6D18DD9E" w:rsidP="006F33F5">
                  <w:pPr>
                    <w:spacing w:after="0" w:line="259" w:lineRule="auto"/>
                    <w:ind w:left="223" w:firstLine="0"/>
                    <w:jc w:val="right"/>
                  </w:pPr>
                  <w:r>
                    <w:t>1,200</w:t>
                  </w:r>
                </w:p>
              </w:tc>
              <w:tc>
                <w:tcPr>
                  <w:tcW w:w="1054" w:type="dxa"/>
                  <w:tcBorders>
                    <w:top w:val="nil"/>
                    <w:left w:val="nil"/>
                    <w:bottom w:val="nil"/>
                    <w:right w:val="nil"/>
                  </w:tcBorders>
                </w:tcPr>
                <w:p w14:paraId="5B0DAF7E" w14:textId="77777777" w:rsidR="006F33F5" w:rsidRPr="00DA6B5E" w:rsidRDefault="6D18DD9E" w:rsidP="006F33F5">
                  <w:pPr>
                    <w:spacing w:after="0" w:line="259" w:lineRule="auto"/>
                    <w:ind w:left="223" w:firstLine="0"/>
                    <w:jc w:val="right"/>
                  </w:pPr>
                  <w:r>
                    <w:t>600</w:t>
                  </w:r>
                </w:p>
              </w:tc>
              <w:tc>
                <w:tcPr>
                  <w:tcW w:w="886" w:type="dxa"/>
                  <w:tcBorders>
                    <w:top w:val="nil"/>
                    <w:left w:val="nil"/>
                    <w:bottom w:val="nil"/>
                    <w:right w:val="nil"/>
                  </w:tcBorders>
                </w:tcPr>
                <w:p w14:paraId="37124E9D" w14:textId="77777777" w:rsidR="006F33F5" w:rsidRPr="00DA6B5E" w:rsidRDefault="6D18DD9E" w:rsidP="006F33F5">
                  <w:pPr>
                    <w:spacing w:after="0" w:line="259" w:lineRule="auto"/>
                    <w:ind w:left="0" w:right="1" w:firstLine="0"/>
                    <w:jc w:val="right"/>
                  </w:pPr>
                  <w:r>
                    <w:t>3,600</w:t>
                  </w:r>
                </w:p>
              </w:tc>
            </w:tr>
            <w:tr w:rsidR="006F33F5" w:rsidRPr="003351E6" w14:paraId="5A77AD29" w14:textId="77777777" w:rsidTr="464B8A14">
              <w:trPr>
                <w:trHeight w:val="288"/>
              </w:trPr>
              <w:tc>
                <w:tcPr>
                  <w:tcW w:w="2951" w:type="dxa"/>
                  <w:tcBorders>
                    <w:top w:val="nil"/>
                    <w:left w:val="nil"/>
                    <w:bottom w:val="single" w:sz="8" w:space="0" w:color="000000" w:themeColor="text1"/>
                    <w:right w:val="nil"/>
                  </w:tcBorders>
                </w:tcPr>
                <w:p w14:paraId="4F612F25" w14:textId="77777777" w:rsidR="006F33F5" w:rsidRPr="00DA6B5E" w:rsidRDefault="6D18DD9E" w:rsidP="006F33F5">
                  <w:pPr>
                    <w:spacing w:after="0" w:line="259" w:lineRule="auto"/>
                    <w:ind w:left="0" w:firstLine="0"/>
                  </w:pPr>
                  <w:r>
                    <w:t xml:space="preserve">Northern Territory  </w:t>
                  </w:r>
                </w:p>
              </w:tc>
              <w:tc>
                <w:tcPr>
                  <w:tcW w:w="1160" w:type="dxa"/>
                  <w:tcBorders>
                    <w:top w:val="nil"/>
                    <w:left w:val="nil"/>
                    <w:bottom w:val="single" w:sz="8" w:space="0" w:color="000000" w:themeColor="text1"/>
                    <w:right w:val="nil"/>
                  </w:tcBorders>
                </w:tcPr>
                <w:p w14:paraId="5E5A6CAA" w14:textId="77777777" w:rsidR="006F33F5" w:rsidRPr="00DA6B5E" w:rsidRDefault="6D18DD9E" w:rsidP="006F33F5">
                  <w:pPr>
                    <w:spacing w:after="0" w:line="259" w:lineRule="auto"/>
                    <w:ind w:left="223" w:firstLine="0"/>
                    <w:jc w:val="right"/>
                  </w:pPr>
                  <w:r>
                    <w:t>400</w:t>
                  </w:r>
                </w:p>
              </w:tc>
              <w:tc>
                <w:tcPr>
                  <w:tcW w:w="934" w:type="dxa"/>
                  <w:tcBorders>
                    <w:top w:val="nil"/>
                    <w:left w:val="nil"/>
                    <w:bottom w:val="single" w:sz="8" w:space="0" w:color="000000" w:themeColor="text1"/>
                    <w:right w:val="nil"/>
                  </w:tcBorders>
                </w:tcPr>
                <w:p w14:paraId="4E07A7E0" w14:textId="77777777" w:rsidR="006F33F5" w:rsidRPr="00DA6B5E" w:rsidRDefault="6D18DD9E" w:rsidP="006F33F5">
                  <w:pPr>
                    <w:spacing w:after="0" w:line="259" w:lineRule="auto"/>
                    <w:ind w:left="0" w:firstLine="0"/>
                    <w:jc w:val="right"/>
                  </w:pPr>
                  <w:r>
                    <w:t>700</w:t>
                  </w:r>
                </w:p>
              </w:tc>
              <w:tc>
                <w:tcPr>
                  <w:tcW w:w="1091" w:type="dxa"/>
                  <w:tcBorders>
                    <w:top w:val="nil"/>
                    <w:left w:val="nil"/>
                    <w:bottom w:val="single" w:sz="8" w:space="0" w:color="000000" w:themeColor="text1"/>
                    <w:right w:val="nil"/>
                  </w:tcBorders>
                </w:tcPr>
                <w:p w14:paraId="16C0085B" w14:textId="77777777" w:rsidR="006F33F5" w:rsidRPr="00DA6B5E" w:rsidRDefault="6D18DD9E" w:rsidP="006F33F5">
                  <w:pPr>
                    <w:spacing w:after="0" w:line="259" w:lineRule="auto"/>
                    <w:ind w:left="223" w:firstLine="0"/>
                    <w:jc w:val="right"/>
                  </w:pPr>
                  <w:r>
                    <w:t>700</w:t>
                  </w:r>
                </w:p>
              </w:tc>
              <w:tc>
                <w:tcPr>
                  <w:tcW w:w="1054" w:type="dxa"/>
                  <w:tcBorders>
                    <w:top w:val="nil"/>
                    <w:left w:val="nil"/>
                    <w:bottom w:val="single" w:sz="8" w:space="0" w:color="000000" w:themeColor="text1"/>
                    <w:right w:val="nil"/>
                  </w:tcBorders>
                </w:tcPr>
                <w:p w14:paraId="600D4593" w14:textId="77777777" w:rsidR="006F33F5" w:rsidRPr="00DA6B5E" w:rsidRDefault="6D18DD9E" w:rsidP="006F33F5">
                  <w:pPr>
                    <w:spacing w:after="0" w:line="259" w:lineRule="auto"/>
                    <w:ind w:left="223" w:firstLine="0"/>
                    <w:jc w:val="right"/>
                  </w:pPr>
                  <w:r>
                    <w:t>400</w:t>
                  </w:r>
                </w:p>
              </w:tc>
              <w:tc>
                <w:tcPr>
                  <w:tcW w:w="886" w:type="dxa"/>
                  <w:tcBorders>
                    <w:top w:val="nil"/>
                    <w:left w:val="nil"/>
                    <w:bottom w:val="single" w:sz="4" w:space="0" w:color="000000" w:themeColor="text1"/>
                    <w:right w:val="nil"/>
                  </w:tcBorders>
                </w:tcPr>
                <w:p w14:paraId="78331348" w14:textId="77777777" w:rsidR="006F33F5" w:rsidRPr="00DA6B5E" w:rsidRDefault="6D18DD9E" w:rsidP="006F33F5">
                  <w:pPr>
                    <w:spacing w:after="0" w:line="259" w:lineRule="auto"/>
                    <w:ind w:left="0" w:right="1" w:firstLine="0"/>
                    <w:jc w:val="right"/>
                  </w:pPr>
                  <w:r>
                    <w:t>2,200</w:t>
                  </w:r>
                </w:p>
              </w:tc>
            </w:tr>
          </w:tbl>
          <w:p w14:paraId="3E1A0228" w14:textId="68022080" w:rsidR="0029427C" w:rsidRPr="003351E6" w:rsidRDefault="73BB4977" w:rsidP="464B8A14">
            <w:pPr>
              <w:spacing w:after="101" w:line="259" w:lineRule="auto"/>
              <w:ind w:left="14" w:firstLine="0"/>
              <w:rPr>
                <w:sz w:val="24"/>
              </w:rPr>
            </w:pPr>
            <w:r>
              <w:t xml:space="preserve">Governments are committed to delivering 480,000 Fee-Free TAFE places. </w:t>
            </w:r>
          </w:p>
          <w:p w14:paraId="4623801D" w14:textId="702855F1" w:rsidR="00336F1D" w:rsidRPr="004F28E3" w:rsidRDefault="00336F1D" w:rsidP="003B0ED3">
            <w:pPr>
              <w:spacing w:after="79" w:line="259" w:lineRule="auto"/>
              <w:rPr>
                <w:sz w:val="4"/>
                <w:szCs w:val="4"/>
              </w:rPr>
            </w:pPr>
          </w:p>
          <w:p w14:paraId="7C5F5D29" w14:textId="29BAB127" w:rsidR="006C0F7E" w:rsidRPr="003B0ED3" w:rsidRDefault="1C8D5480" w:rsidP="1DFBE243">
            <w:pPr>
              <w:spacing w:after="79" w:line="259" w:lineRule="auto"/>
              <w:ind w:left="14" w:firstLine="0"/>
              <w:rPr>
                <w:rFonts w:cstheme="minorBidi"/>
              </w:rPr>
            </w:pPr>
            <w:r w:rsidRPr="003B0ED3">
              <w:rPr>
                <w:rFonts w:eastAsia="Corbel"/>
              </w:rPr>
              <w:t>To support</w:t>
            </w:r>
            <w:r w:rsidR="192CF2E3" w:rsidRPr="003B0ED3">
              <w:rPr>
                <w:rFonts w:eastAsia="Corbel"/>
              </w:rPr>
              <w:t xml:space="preserve"> </w:t>
            </w:r>
            <w:r w:rsidR="192CF2E3" w:rsidRPr="003B0ED3">
              <w:rPr>
                <w:rStyle w:val="normaltextrun"/>
              </w:rPr>
              <w:t xml:space="preserve">Fee-Free Construction, new Implementation Plans must be submitted by all States by </w:t>
            </w:r>
            <w:r w:rsidR="00620247" w:rsidRPr="003B0ED3">
              <w:rPr>
                <w:rStyle w:val="normaltextrun"/>
              </w:rPr>
              <w:t>18 October</w:t>
            </w:r>
            <w:r w:rsidR="192CF2E3" w:rsidRPr="003B0ED3">
              <w:rPr>
                <w:rStyle w:val="normaltextrun"/>
              </w:rPr>
              <w:t xml:space="preserve"> 2024 or as negotiated between senior officials.</w:t>
            </w:r>
            <w:r w:rsidR="0DE084D8" w:rsidRPr="003B0ED3">
              <w:rPr>
                <w:rStyle w:val="normaltextrun"/>
              </w:rPr>
              <w:t xml:space="preserve"> </w:t>
            </w:r>
            <w:r w:rsidR="192CF2E3" w:rsidRPr="003B0ED3">
              <w:rPr>
                <w:rFonts w:cstheme="minorBidi"/>
              </w:rPr>
              <w:t xml:space="preserve">Fee-Free Construction places for each jurisdiction are set out in Tables </w:t>
            </w:r>
            <w:r w:rsidR="00E3341D" w:rsidRPr="003B0ED3">
              <w:rPr>
                <w:rFonts w:cstheme="minorBidi"/>
              </w:rPr>
              <w:t>7</w:t>
            </w:r>
            <w:r w:rsidR="192CF2E3" w:rsidRPr="003B0ED3">
              <w:rPr>
                <w:rFonts w:cstheme="minorBidi"/>
              </w:rPr>
              <w:t xml:space="preserve"> and </w:t>
            </w:r>
            <w:r w:rsidR="00E3341D" w:rsidRPr="003B0ED3">
              <w:rPr>
                <w:rFonts w:cstheme="minorBidi"/>
              </w:rPr>
              <w:t>7</w:t>
            </w:r>
            <w:r w:rsidR="6FF7B7C2" w:rsidRPr="003B0ED3">
              <w:rPr>
                <w:rFonts w:cstheme="minorBidi"/>
              </w:rPr>
              <w:t>a</w:t>
            </w:r>
            <w:r w:rsidR="192CF2E3" w:rsidRPr="003B0ED3">
              <w:rPr>
                <w:rFonts w:cstheme="minorBidi"/>
              </w:rPr>
              <w:t>.</w:t>
            </w:r>
          </w:p>
          <w:p w14:paraId="6F9BC8B9" w14:textId="7FD1632F" w:rsidR="009800E0" w:rsidRPr="003B0ED3" w:rsidRDefault="003E49CC" w:rsidP="006C0F7E">
            <w:pPr>
              <w:widowControl w:val="0"/>
              <w:adjustRightInd w:val="0"/>
              <w:spacing w:line="260" w:lineRule="exact"/>
              <w:jc w:val="both"/>
              <w:textAlignment w:val="baseline"/>
              <w:rPr>
                <w:rFonts w:cstheme="minorBidi"/>
              </w:rPr>
            </w:pPr>
            <w:r w:rsidRPr="003B0ED3">
              <w:rPr>
                <w:rFonts w:cstheme="minorBidi"/>
              </w:rPr>
              <w:t>Table</w:t>
            </w:r>
            <w:r w:rsidR="00310FF8" w:rsidRPr="003B0ED3">
              <w:rPr>
                <w:rFonts w:cstheme="minorBidi"/>
              </w:rPr>
              <w:t xml:space="preserve"> 7</w:t>
            </w:r>
            <w:r w:rsidRPr="003B0ED3">
              <w:rPr>
                <w:rFonts w:cstheme="minorBidi"/>
              </w:rPr>
              <w:t>: F</w:t>
            </w:r>
            <w:r w:rsidR="003D5F6B" w:rsidRPr="003B0ED3">
              <w:rPr>
                <w:rFonts w:cstheme="minorBidi"/>
              </w:rPr>
              <w:t>ee-</w:t>
            </w:r>
            <w:r w:rsidRPr="003B0ED3">
              <w:rPr>
                <w:rFonts w:cstheme="minorBidi"/>
              </w:rPr>
              <w:t>F</w:t>
            </w:r>
            <w:r w:rsidR="003D5F6B" w:rsidRPr="003B0ED3">
              <w:rPr>
                <w:rFonts w:cstheme="minorBidi"/>
              </w:rPr>
              <w:t xml:space="preserve">ree </w:t>
            </w:r>
            <w:r w:rsidRPr="003B0ED3">
              <w:rPr>
                <w:rFonts w:cstheme="minorBidi"/>
              </w:rPr>
              <w:t>C</w:t>
            </w:r>
            <w:r w:rsidR="003D5F6B" w:rsidRPr="003B0ED3">
              <w:rPr>
                <w:rFonts w:cstheme="minorBidi"/>
              </w:rPr>
              <w:t>onstruction</w:t>
            </w:r>
            <w:r w:rsidRPr="003B0ED3">
              <w:rPr>
                <w:rFonts w:cstheme="minorBidi"/>
              </w:rPr>
              <w:t xml:space="preserve"> Places by Jurisdiction</w:t>
            </w:r>
            <w:r w:rsidR="00BB2DD8" w:rsidRPr="003B0ED3">
              <w:rPr>
                <w:rFonts w:cstheme="minorBidi"/>
              </w:rPr>
              <w:t>, to be allocated across 2025 and 2026</w:t>
            </w:r>
            <w:r w:rsidR="00883D02" w:rsidRPr="003B0ED3">
              <w:rPr>
                <w:rFonts w:cstheme="minorBidi"/>
              </w:rPr>
              <w:t xml:space="preserve"> calendar years</w:t>
            </w:r>
            <w:r w:rsidR="00F258BD" w:rsidRPr="003B0ED3">
              <w:rPr>
                <w:rFonts w:cstheme="minorBidi"/>
              </w:rPr>
              <w:t>.</w:t>
            </w:r>
          </w:p>
          <w:p w14:paraId="45EE66F0" w14:textId="36089E16" w:rsidR="009800E0" w:rsidRPr="003B0ED3" w:rsidRDefault="009800E0" w:rsidP="009800E0">
            <w:pPr>
              <w:tabs>
                <w:tab w:val="center" w:pos="3520"/>
                <w:tab w:val="center" w:pos="4520"/>
                <w:tab w:val="left" w:pos="5860"/>
                <w:tab w:val="center" w:pos="7877"/>
              </w:tabs>
              <w:spacing w:after="19" w:line="259" w:lineRule="auto"/>
              <w:ind w:left="0" w:firstLine="0"/>
            </w:pPr>
            <w:r w:rsidRPr="003B0ED3">
              <w:rPr>
                <w:b/>
              </w:rPr>
              <w:t xml:space="preserve">Estimated total places </w:t>
            </w:r>
            <w:r w:rsidRPr="003B0ED3">
              <w:tab/>
              <w:t xml:space="preserve">15,000 </w:t>
            </w:r>
          </w:p>
          <w:p w14:paraId="65EFE684" w14:textId="521068E8" w:rsidR="009800E0" w:rsidRPr="003B0ED3" w:rsidRDefault="009800E0" w:rsidP="009800E0">
            <w:pPr>
              <w:tabs>
                <w:tab w:val="center" w:pos="3520"/>
                <w:tab w:val="center" w:pos="4576"/>
                <w:tab w:val="center" w:pos="7877"/>
              </w:tabs>
              <w:spacing w:after="7" w:line="259" w:lineRule="auto"/>
              <w:ind w:left="0" w:firstLine="0"/>
            </w:pPr>
            <w:r w:rsidRPr="003B0ED3">
              <w:t xml:space="preserve">New South Wales </w:t>
            </w:r>
            <w:r w:rsidR="00352773" w:rsidRPr="003B0ED3">
              <w:tab/>
              <w:t xml:space="preserve"> 4,700</w:t>
            </w:r>
          </w:p>
          <w:p w14:paraId="3F6B5448" w14:textId="149E2C26" w:rsidR="009800E0" w:rsidRPr="003B0ED3" w:rsidRDefault="009800E0" w:rsidP="009800E0">
            <w:pPr>
              <w:tabs>
                <w:tab w:val="center" w:pos="3520"/>
                <w:tab w:val="center" w:pos="4576"/>
                <w:tab w:val="center" w:pos="5457"/>
                <w:tab w:val="center" w:pos="6338"/>
                <w:tab w:val="center" w:pos="6996"/>
                <w:tab w:val="center" w:pos="7572"/>
              </w:tabs>
              <w:spacing w:after="9" w:line="259" w:lineRule="auto"/>
              <w:ind w:left="0" w:firstLine="0"/>
            </w:pPr>
            <w:r w:rsidRPr="003B0ED3">
              <w:t xml:space="preserve">Victoria </w:t>
            </w:r>
            <w:r w:rsidRPr="003B0ED3">
              <w:tab/>
            </w:r>
            <w:r w:rsidR="00302534" w:rsidRPr="003B0ED3">
              <w:t xml:space="preserve">   3,9</w:t>
            </w:r>
            <w:r w:rsidRPr="003B0ED3">
              <w:t xml:space="preserve">00  </w:t>
            </w:r>
          </w:p>
          <w:p w14:paraId="138D3170" w14:textId="19733FFE" w:rsidR="009800E0" w:rsidRPr="003B0ED3" w:rsidRDefault="009800E0" w:rsidP="009800E0">
            <w:pPr>
              <w:tabs>
                <w:tab w:val="center" w:pos="3576"/>
                <w:tab w:val="center" w:pos="4576"/>
                <w:tab w:val="center" w:pos="5457"/>
                <w:tab w:val="center" w:pos="6393"/>
                <w:tab w:val="center" w:pos="6996"/>
                <w:tab w:val="center" w:pos="7572"/>
              </w:tabs>
              <w:spacing w:after="7" w:line="259" w:lineRule="auto"/>
              <w:ind w:left="0" w:firstLine="0"/>
            </w:pPr>
            <w:r w:rsidRPr="003B0ED3">
              <w:t xml:space="preserve">Queensland </w:t>
            </w:r>
            <w:r w:rsidRPr="003B0ED3">
              <w:tab/>
            </w:r>
            <w:r w:rsidR="001F6670" w:rsidRPr="003B0ED3">
              <w:t xml:space="preserve"> </w:t>
            </w:r>
            <w:r w:rsidR="002F5FB3" w:rsidRPr="003B0ED3">
              <w:t>3</w:t>
            </w:r>
            <w:r w:rsidRPr="003B0ED3">
              <w:t>,</w:t>
            </w:r>
            <w:r w:rsidR="002F5FB3" w:rsidRPr="003B0ED3">
              <w:t>1</w:t>
            </w:r>
            <w:r w:rsidRPr="003B0ED3">
              <w:t xml:space="preserve">00  </w:t>
            </w:r>
          </w:p>
          <w:p w14:paraId="2AAE6304" w14:textId="5718188A" w:rsidR="009800E0" w:rsidRPr="003B0ED3" w:rsidRDefault="009800E0" w:rsidP="009800E0">
            <w:pPr>
              <w:tabs>
                <w:tab w:val="center" w:pos="3576"/>
                <w:tab w:val="center" w:pos="4632"/>
                <w:tab w:val="center" w:pos="5512"/>
                <w:tab w:val="center" w:pos="6393"/>
                <w:tab w:val="center" w:pos="6996"/>
                <w:tab w:val="center" w:pos="7572"/>
              </w:tabs>
              <w:spacing w:after="9" w:line="259" w:lineRule="auto"/>
              <w:ind w:left="0" w:firstLine="0"/>
            </w:pPr>
            <w:r w:rsidRPr="003B0ED3">
              <w:t xml:space="preserve">West Australia </w:t>
            </w:r>
            <w:r w:rsidRPr="003B0ED3">
              <w:tab/>
            </w:r>
            <w:r w:rsidR="002F5FB3" w:rsidRPr="003B0ED3">
              <w:t xml:space="preserve"> 1</w:t>
            </w:r>
            <w:r w:rsidRPr="003B0ED3">
              <w:t>,</w:t>
            </w:r>
            <w:r w:rsidR="002F5FB3" w:rsidRPr="003B0ED3">
              <w:t>6</w:t>
            </w:r>
            <w:r w:rsidRPr="003B0ED3">
              <w:t xml:space="preserve">00  </w:t>
            </w:r>
          </w:p>
          <w:p w14:paraId="7F19554F" w14:textId="796BB727" w:rsidR="009800E0" w:rsidRPr="003B0ED3" w:rsidRDefault="009800E0" w:rsidP="009800E0">
            <w:pPr>
              <w:tabs>
                <w:tab w:val="center" w:pos="3576"/>
                <w:tab w:val="center" w:pos="4632"/>
                <w:tab w:val="center" w:pos="5512"/>
                <w:tab w:val="center" w:pos="6393"/>
                <w:tab w:val="center" w:pos="6996"/>
                <w:tab w:val="center" w:pos="7572"/>
              </w:tabs>
              <w:spacing w:after="7" w:line="259" w:lineRule="auto"/>
              <w:ind w:left="0" w:firstLine="0"/>
            </w:pPr>
            <w:r w:rsidRPr="003B0ED3">
              <w:t xml:space="preserve">South Australia </w:t>
            </w:r>
            <w:r w:rsidRPr="003B0ED3">
              <w:tab/>
            </w:r>
            <w:r w:rsidR="002F5FB3" w:rsidRPr="003B0ED3">
              <w:t xml:space="preserve"> 1</w:t>
            </w:r>
            <w:r w:rsidRPr="003B0ED3">
              <w:t>,</w:t>
            </w:r>
            <w:r w:rsidR="002F5FB3" w:rsidRPr="003B0ED3">
              <w:t>0</w:t>
            </w:r>
            <w:r w:rsidRPr="003B0ED3">
              <w:t xml:space="preserve">00  </w:t>
            </w:r>
          </w:p>
          <w:p w14:paraId="09EAB522" w14:textId="7E145C02" w:rsidR="009800E0" w:rsidRPr="003B0ED3" w:rsidRDefault="009800E0" w:rsidP="009800E0">
            <w:pPr>
              <w:tabs>
                <w:tab w:val="center" w:pos="3660"/>
                <w:tab w:val="center" w:pos="4632"/>
                <w:tab w:val="center" w:pos="5512"/>
                <w:tab w:val="center" w:pos="6477"/>
                <w:tab w:val="center" w:pos="6996"/>
                <w:tab w:val="center" w:pos="7627"/>
              </w:tabs>
              <w:spacing w:after="9" w:line="259" w:lineRule="auto"/>
              <w:ind w:left="0" w:firstLine="0"/>
            </w:pPr>
            <w:r w:rsidRPr="003B0ED3">
              <w:t xml:space="preserve">Tasmania </w:t>
            </w:r>
            <w:r w:rsidRPr="003B0ED3">
              <w:tab/>
            </w:r>
            <w:r w:rsidR="00FB052E" w:rsidRPr="003B0ED3">
              <w:t>31</w:t>
            </w:r>
            <w:r w:rsidRPr="003B0ED3">
              <w:t xml:space="preserve">0 </w:t>
            </w:r>
          </w:p>
          <w:p w14:paraId="0C338F87" w14:textId="74CDA313" w:rsidR="009800E0" w:rsidRPr="003B0ED3" w:rsidRDefault="009800E0" w:rsidP="009800E0">
            <w:pPr>
              <w:tabs>
                <w:tab w:val="center" w:pos="3660"/>
                <w:tab w:val="center" w:pos="4632"/>
                <w:tab w:val="center" w:pos="5512"/>
                <w:tab w:val="center" w:pos="6477"/>
                <w:tab w:val="center" w:pos="6996"/>
                <w:tab w:val="center" w:pos="7627"/>
              </w:tabs>
              <w:spacing w:after="7" w:line="259" w:lineRule="auto"/>
              <w:ind w:left="0" w:firstLine="0"/>
            </w:pPr>
            <w:r w:rsidRPr="003B0ED3">
              <w:t xml:space="preserve">Australian Capital Territory </w:t>
            </w:r>
            <w:r w:rsidRPr="003B0ED3">
              <w:tab/>
            </w:r>
            <w:r w:rsidR="00FB052E" w:rsidRPr="003B0ED3">
              <w:t>26</w:t>
            </w:r>
            <w:r w:rsidRPr="003B0ED3">
              <w:t xml:space="preserve">0 </w:t>
            </w:r>
          </w:p>
          <w:p w14:paraId="3115EE08" w14:textId="755141E1" w:rsidR="009800E0" w:rsidRPr="003B0ED3" w:rsidRDefault="1D34131B" w:rsidP="009800E0">
            <w:pPr>
              <w:tabs>
                <w:tab w:val="center" w:pos="3660"/>
                <w:tab w:val="center" w:pos="4716"/>
                <w:tab w:val="center" w:pos="5596"/>
                <w:tab w:val="center" w:pos="6477"/>
                <w:tab w:val="center" w:pos="6996"/>
                <w:tab w:val="center" w:pos="7627"/>
              </w:tabs>
              <w:spacing w:after="0" w:line="259" w:lineRule="auto"/>
              <w:ind w:left="0" w:firstLine="0"/>
            </w:pPr>
            <w:r w:rsidRPr="003B0ED3">
              <w:t xml:space="preserve">Northern Territory </w:t>
            </w:r>
            <w:r w:rsidR="009800E0" w:rsidRPr="003B0ED3">
              <w:tab/>
            </w:r>
            <w:r w:rsidR="0ECB6658" w:rsidRPr="003B0ED3">
              <w:t>13</w:t>
            </w:r>
            <w:r w:rsidRPr="003B0ED3">
              <w:t xml:space="preserve">0 </w:t>
            </w:r>
          </w:p>
          <w:p w14:paraId="167F45B6" w14:textId="77777777" w:rsidR="00DF4B64" w:rsidRPr="003B0ED3" w:rsidRDefault="00DF4B64" w:rsidP="003B0ED3">
            <w:pPr>
              <w:widowControl w:val="0"/>
              <w:adjustRightInd w:val="0"/>
              <w:spacing w:after="0" w:line="260" w:lineRule="exact"/>
              <w:ind w:left="369" w:hanging="369"/>
              <w:jc w:val="both"/>
              <w:textAlignment w:val="baseline"/>
              <w:rPr>
                <w:rFonts w:cstheme="minorBidi"/>
                <w:sz w:val="16"/>
                <w:szCs w:val="18"/>
              </w:rPr>
            </w:pPr>
          </w:p>
          <w:p w14:paraId="5B31463D" w14:textId="2CC7697A" w:rsidR="00DF4B64" w:rsidRPr="003B0ED3" w:rsidRDefault="00DF4B64" w:rsidP="00DF4B64">
            <w:pPr>
              <w:widowControl w:val="0"/>
              <w:adjustRightInd w:val="0"/>
              <w:spacing w:line="260" w:lineRule="exact"/>
              <w:jc w:val="both"/>
              <w:textAlignment w:val="baseline"/>
              <w:rPr>
                <w:rFonts w:cstheme="minorBidi"/>
              </w:rPr>
            </w:pPr>
            <w:r w:rsidRPr="003B0ED3">
              <w:rPr>
                <w:rFonts w:cstheme="minorBidi"/>
              </w:rPr>
              <w:t xml:space="preserve">Table </w:t>
            </w:r>
            <w:r w:rsidR="009D3D4F" w:rsidRPr="003B0ED3">
              <w:rPr>
                <w:rFonts w:cstheme="minorBidi"/>
              </w:rPr>
              <w:t>7</w:t>
            </w:r>
            <w:r w:rsidR="002D255F" w:rsidRPr="003B0ED3">
              <w:rPr>
                <w:rFonts w:cstheme="minorBidi"/>
              </w:rPr>
              <w:t>a</w:t>
            </w:r>
            <w:r w:rsidRPr="003B0ED3">
              <w:rPr>
                <w:rFonts w:cstheme="minorBidi"/>
              </w:rPr>
              <w:t xml:space="preserve">: </w:t>
            </w:r>
            <w:r w:rsidR="001D09A8" w:rsidRPr="003B0ED3">
              <w:rPr>
                <w:rFonts w:cstheme="minorBidi"/>
              </w:rPr>
              <w:t xml:space="preserve">Fee-Free </w:t>
            </w:r>
            <w:r w:rsidR="009800E0" w:rsidRPr="003B0ED3">
              <w:rPr>
                <w:rFonts w:cstheme="minorBidi"/>
              </w:rPr>
              <w:t>Pre-apprenticeship places</w:t>
            </w:r>
            <w:r w:rsidRPr="003B0ED3">
              <w:rPr>
                <w:rFonts w:cstheme="minorBidi"/>
              </w:rPr>
              <w:t xml:space="preserve"> by Jurisdiction</w:t>
            </w:r>
          </w:p>
          <w:p w14:paraId="0E451465" w14:textId="2DD2CC3D" w:rsidR="003747F7" w:rsidRPr="003B0ED3" w:rsidRDefault="003747F7" w:rsidP="003747F7">
            <w:pPr>
              <w:tabs>
                <w:tab w:val="center" w:pos="3520"/>
                <w:tab w:val="center" w:pos="4520"/>
                <w:tab w:val="left" w:pos="5860"/>
                <w:tab w:val="center" w:pos="7877"/>
              </w:tabs>
              <w:spacing w:after="19" w:line="259" w:lineRule="auto"/>
              <w:ind w:left="0" w:firstLine="0"/>
            </w:pPr>
            <w:r w:rsidRPr="003B0ED3">
              <w:rPr>
                <w:b/>
              </w:rPr>
              <w:t xml:space="preserve">Estimated total places </w:t>
            </w:r>
            <w:r w:rsidR="00352773" w:rsidRPr="003B0ED3">
              <w:tab/>
            </w:r>
            <w:r w:rsidR="00352773" w:rsidRPr="003B0ED3">
              <w:rPr>
                <w:b/>
              </w:rPr>
              <w:t xml:space="preserve"> 5,000</w:t>
            </w:r>
            <w:r w:rsidRPr="003B0ED3">
              <w:t xml:space="preserve"> </w:t>
            </w:r>
          </w:p>
          <w:p w14:paraId="0B2C1334" w14:textId="24374DB9" w:rsidR="003747F7" w:rsidRPr="003B0ED3" w:rsidRDefault="003747F7" w:rsidP="003747F7">
            <w:pPr>
              <w:tabs>
                <w:tab w:val="center" w:pos="3520"/>
                <w:tab w:val="center" w:pos="4576"/>
                <w:tab w:val="center" w:pos="7877"/>
              </w:tabs>
              <w:spacing w:after="7" w:line="259" w:lineRule="auto"/>
              <w:ind w:left="0" w:firstLine="0"/>
            </w:pPr>
            <w:r w:rsidRPr="003B0ED3">
              <w:t xml:space="preserve">New South Wales </w:t>
            </w:r>
            <w:r w:rsidRPr="003B0ED3">
              <w:tab/>
              <w:t xml:space="preserve"> 1,600</w:t>
            </w:r>
          </w:p>
          <w:p w14:paraId="34E96152" w14:textId="4D298038" w:rsidR="003747F7" w:rsidRPr="003B0ED3" w:rsidRDefault="003747F7" w:rsidP="003747F7">
            <w:pPr>
              <w:tabs>
                <w:tab w:val="center" w:pos="3520"/>
                <w:tab w:val="center" w:pos="4576"/>
                <w:tab w:val="center" w:pos="5457"/>
                <w:tab w:val="center" w:pos="6338"/>
                <w:tab w:val="center" w:pos="6996"/>
                <w:tab w:val="center" w:pos="7572"/>
              </w:tabs>
              <w:spacing w:after="9" w:line="259" w:lineRule="auto"/>
              <w:ind w:left="0" w:firstLine="0"/>
            </w:pPr>
            <w:r w:rsidRPr="003B0ED3">
              <w:t xml:space="preserve">Victoria </w:t>
            </w:r>
            <w:r w:rsidRPr="003B0ED3">
              <w:tab/>
              <w:t xml:space="preserve">   1,300  </w:t>
            </w:r>
          </w:p>
          <w:p w14:paraId="78475FCD" w14:textId="0B490271" w:rsidR="003747F7" w:rsidRPr="003B0ED3" w:rsidRDefault="003747F7" w:rsidP="003747F7">
            <w:pPr>
              <w:tabs>
                <w:tab w:val="center" w:pos="3576"/>
                <w:tab w:val="center" w:pos="4576"/>
                <w:tab w:val="center" w:pos="5457"/>
                <w:tab w:val="center" w:pos="6393"/>
                <w:tab w:val="center" w:pos="6996"/>
                <w:tab w:val="center" w:pos="7572"/>
              </w:tabs>
              <w:spacing w:after="7" w:line="259" w:lineRule="auto"/>
              <w:ind w:left="0" w:firstLine="0"/>
            </w:pPr>
            <w:r w:rsidRPr="003B0ED3">
              <w:t xml:space="preserve">Queensland </w:t>
            </w:r>
            <w:r w:rsidRPr="003B0ED3">
              <w:tab/>
              <w:t xml:space="preserve"> </w:t>
            </w:r>
            <w:r w:rsidR="00DC3F63" w:rsidRPr="003B0ED3">
              <w:t>1</w:t>
            </w:r>
            <w:r w:rsidRPr="003B0ED3">
              <w:t>,</w:t>
            </w:r>
            <w:r w:rsidR="00DC3F63" w:rsidRPr="003B0ED3">
              <w:t>0</w:t>
            </w:r>
            <w:r w:rsidRPr="003B0ED3">
              <w:t xml:space="preserve">00  </w:t>
            </w:r>
          </w:p>
          <w:p w14:paraId="65333395" w14:textId="7B5340F8" w:rsidR="003747F7" w:rsidRPr="003B0ED3" w:rsidRDefault="003747F7" w:rsidP="003747F7">
            <w:pPr>
              <w:tabs>
                <w:tab w:val="center" w:pos="3576"/>
                <w:tab w:val="center" w:pos="4632"/>
                <w:tab w:val="center" w:pos="5512"/>
                <w:tab w:val="center" w:pos="6393"/>
                <w:tab w:val="center" w:pos="6996"/>
                <w:tab w:val="center" w:pos="7572"/>
              </w:tabs>
              <w:spacing w:after="9" w:line="259" w:lineRule="auto"/>
              <w:ind w:left="0" w:firstLine="0"/>
            </w:pPr>
            <w:r w:rsidRPr="003B0ED3">
              <w:t xml:space="preserve">West Australia </w:t>
            </w:r>
            <w:r w:rsidRPr="003B0ED3">
              <w:tab/>
              <w:t xml:space="preserve"> </w:t>
            </w:r>
            <w:r w:rsidR="0074216F" w:rsidRPr="003B0ED3">
              <w:t xml:space="preserve">   </w:t>
            </w:r>
            <w:r w:rsidR="00B4439F" w:rsidRPr="003B0ED3">
              <w:t>54</w:t>
            </w:r>
            <w:r w:rsidRPr="003B0ED3">
              <w:t xml:space="preserve">0  </w:t>
            </w:r>
          </w:p>
          <w:p w14:paraId="784EBB8F" w14:textId="2C43B5B2" w:rsidR="003747F7" w:rsidRPr="003B0ED3" w:rsidRDefault="003747F7" w:rsidP="003747F7">
            <w:pPr>
              <w:tabs>
                <w:tab w:val="center" w:pos="3576"/>
                <w:tab w:val="center" w:pos="4632"/>
                <w:tab w:val="center" w:pos="5512"/>
                <w:tab w:val="center" w:pos="6393"/>
                <w:tab w:val="center" w:pos="6996"/>
                <w:tab w:val="center" w:pos="7572"/>
              </w:tabs>
              <w:spacing w:after="7" w:line="259" w:lineRule="auto"/>
              <w:ind w:left="0" w:firstLine="0"/>
            </w:pPr>
            <w:r w:rsidRPr="003B0ED3">
              <w:t xml:space="preserve">South Australia </w:t>
            </w:r>
            <w:r w:rsidRPr="003B0ED3">
              <w:tab/>
            </w:r>
            <w:r w:rsidR="00AA57B6" w:rsidRPr="003B0ED3">
              <w:t xml:space="preserve">   340</w:t>
            </w:r>
          </w:p>
          <w:p w14:paraId="7F7E5462" w14:textId="0C41F008" w:rsidR="003747F7" w:rsidRPr="003B0ED3" w:rsidRDefault="003747F7" w:rsidP="003747F7">
            <w:pPr>
              <w:tabs>
                <w:tab w:val="center" w:pos="3660"/>
                <w:tab w:val="center" w:pos="4632"/>
                <w:tab w:val="center" w:pos="5512"/>
                <w:tab w:val="center" w:pos="6477"/>
                <w:tab w:val="center" w:pos="6996"/>
                <w:tab w:val="center" w:pos="7627"/>
              </w:tabs>
              <w:spacing w:after="9" w:line="259" w:lineRule="auto"/>
              <w:ind w:left="0" w:firstLine="0"/>
            </w:pPr>
            <w:r w:rsidRPr="003B0ED3">
              <w:t xml:space="preserve">Tasmania </w:t>
            </w:r>
            <w:r w:rsidRPr="003B0ED3">
              <w:tab/>
            </w:r>
            <w:r w:rsidR="003E7B63" w:rsidRPr="003B0ED3">
              <w:t>100</w:t>
            </w:r>
            <w:r w:rsidRPr="003B0ED3">
              <w:t xml:space="preserve"> </w:t>
            </w:r>
          </w:p>
          <w:p w14:paraId="2C78221F" w14:textId="643CF339" w:rsidR="003747F7" w:rsidRPr="005C7765" w:rsidRDefault="003747F7" w:rsidP="003747F7">
            <w:pPr>
              <w:tabs>
                <w:tab w:val="center" w:pos="3660"/>
                <w:tab w:val="center" w:pos="4632"/>
                <w:tab w:val="center" w:pos="5512"/>
                <w:tab w:val="center" w:pos="6477"/>
                <w:tab w:val="center" w:pos="6996"/>
                <w:tab w:val="center" w:pos="7627"/>
              </w:tabs>
              <w:spacing w:after="7" w:line="259" w:lineRule="auto"/>
              <w:ind w:left="0" w:firstLine="0"/>
            </w:pPr>
            <w:r w:rsidRPr="003B0ED3">
              <w:t xml:space="preserve">Australian Capital Territory </w:t>
            </w:r>
            <w:r w:rsidRPr="003B0ED3">
              <w:tab/>
            </w:r>
            <w:r w:rsidR="003E7B63" w:rsidRPr="003B0ED3">
              <w:t xml:space="preserve">   80</w:t>
            </w:r>
          </w:p>
          <w:p w14:paraId="7C6DCE2D" w14:textId="43EFE1DE" w:rsidR="00DF4B64" w:rsidRDefault="003747F7" w:rsidP="004F28E3">
            <w:pPr>
              <w:tabs>
                <w:tab w:val="center" w:pos="3660"/>
                <w:tab w:val="center" w:pos="4716"/>
                <w:tab w:val="center" w:pos="5596"/>
                <w:tab w:val="center" w:pos="6477"/>
                <w:tab w:val="center" w:pos="6996"/>
                <w:tab w:val="center" w:pos="7627"/>
              </w:tabs>
              <w:spacing w:after="0" w:line="259" w:lineRule="auto"/>
              <w:ind w:left="0" w:firstLine="0"/>
            </w:pPr>
            <w:r w:rsidRPr="003B0ED3">
              <w:t xml:space="preserve">Northern Territory </w:t>
            </w:r>
            <w:r w:rsidRPr="003B0ED3">
              <w:tab/>
            </w:r>
            <w:r w:rsidR="003E7B63" w:rsidRPr="003B0ED3">
              <w:t xml:space="preserve">   4</w:t>
            </w:r>
            <w:r w:rsidRPr="003B0ED3">
              <w:t xml:space="preserve">0 </w:t>
            </w:r>
          </w:p>
          <w:p w14:paraId="2355F5BF" w14:textId="77777777" w:rsidR="004F28E3" w:rsidRPr="004F28E3" w:rsidRDefault="004F28E3" w:rsidP="004F28E3">
            <w:pPr>
              <w:tabs>
                <w:tab w:val="center" w:pos="3660"/>
                <w:tab w:val="center" w:pos="4716"/>
                <w:tab w:val="center" w:pos="5596"/>
                <w:tab w:val="center" w:pos="6477"/>
                <w:tab w:val="center" w:pos="6996"/>
                <w:tab w:val="center" w:pos="7627"/>
              </w:tabs>
              <w:spacing w:after="0" w:line="259" w:lineRule="auto"/>
              <w:ind w:left="0" w:firstLine="0"/>
            </w:pPr>
          </w:p>
          <w:p w14:paraId="6173B14D" w14:textId="77777777" w:rsidR="009003AC" w:rsidRPr="003351E6" w:rsidRDefault="237B807D" w:rsidP="004F28E3">
            <w:pPr>
              <w:spacing w:after="240" w:line="231" w:lineRule="auto"/>
              <w:ind w:left="2" w:firstLine="0"/>
              <w:rPr>
                <w:rFonts w:eastAsia="Corbel"/>
              </w:rPr>
            </w:pPr>
            <w:r w:rsidRPr="1DFBE243">
              <w:rPr>
                <w:rFonts w:eastAsia="Corbel"/>
              </w:rPr>
              <w:t xml:space="preserve">Through Implementation Plans, officials will agree implementation arrangements so that Fee-Free TAFE places are available across each year of the Agreement to avoid service gaps.   </w:t>
            </w:r>
          </w:p>
          <w:p w14:paraId="2E65CD23" w14:textId="77777777" w:rsidR="009003AC" w:rsidRPr="007E177A" w:rsidRDefault="009003AC" w:rsidP="007E177A">
            <w:pPr>
              <w:spacing w:after="240" w:line="231" w:lineRule="auto"/>
              <w:ind w:left="15" w:firstLine="0"/>
              <w:rPr>
                <w:rFonts w:eastAsia="Corbel"/>
              </w:rPr>
            </w:pPr>
            <w:r w:rsidRPr="003351E6">
              <w:rPr>
                <w:rFonts w:eastAsia="Corbel"/>
              </w:rPr>
              <w:t xml:space="preserve">Implementation plans can be varied by agreement between the relevant senior Commonwealth and state officials to assist States to manage demand for places, including by counting over-enrolments in areas of national priority towards places for the following year. </w:t>
            </w:r>
          </w:p>
          <w:p w14:paraId="127B7C5A" w14:textId="77777777" w:rsidR="009003AC" w:rsidRPr="007E177A" w:rsidRDefault="009003AC" w:rsidP="007E177A">
            <w:pPr>
              <w:spacing w:after="240" w:line="231" w:lineRule="auto"/>
              <w:ind w:left="15" w:firstLine="0"/>
              <w:rPr>
                <w:rFonts w:eastAsia="Corbel"/>
              </w:rPr>
            </w:pPr>
            <w:r w:rsidRPr="003351E6">
              <w:rPr>
                <w:rFonts w:eastAsia="Corbel"/>
              </w:rPr>
              <w:t xml:space="preserve">Changes to the appendices of this Schedule may be agreed in writing between the state and Commonwealth Skills Ministers, either multilaterally or bilaterally where the changes will not affect other States. </w:t>
            </w:r>
          </w:p>
          <w:p w14:paraId="265E4ADC" w14:textId="77777777" w:rsidR="009003AC" w:rsidRPr="007E177A" w:rsidRDefault="009003AC" w:rsidP="007E177A">
            <w:pPr>
              <w:spacing w:after="240" w:line="231" w:lineRule="auto"/>
              <w:ind w:left="15" w:firstLine="0"/>
              <w:rPr>
                <w:rFonts w:eastAsia="Corbel"/>
              </w:rPr>
            </w:pPr>
            <w:r w:rsidRPr="003351E6">
              <w:rPr>
                <w:rFonts w:eastAsia="Corbel"/>
              </w:rPr>
              <w:t xml:space="preserve">Given the importance of addressing key skills shortages in the economy, regular reporting is considered necessary. </w:t>
            </w:r>
          </w:p>
          <w:p w14:paraId="35EABBD0" w14:textId="77777777" w:rsidR="00840C2F" w:rsidRDefault="00840C2F" w:rsidP="007E177A">
            <w:pPr>
              <w:spacing w:after="240" w:line="231" w:lineRule="auto"/>
              <w:ind w:left="15" w:firstLine="0"/>
              <w:rPr>
                <w:rFonts w:eastAsia="Corbel"/>
              </w:rPr>
            </w:pPr>
            <w:r w:rsidRPr="00CA47E4">
              <w:rPr>
                <w:rFonts w:eastAsia="Corbel"/>
              </w:rPr>
              <w:t>The parties also agree to share the costs of the debt-not-expected-to-be-repaid for Government Subsidised students under the VET Student Loans Program set out in Appendix D.</w:t>
            </w:r>
            <w:r w:rsidRPr="003351E6">
              <w:rPr>
                <w:rFonts w:eastAsia="Corbel"/>
              </w:rPr>
              <w:t xml:space="preserve"> </w:t>
            </w:r>
          </w:p>
          <w:p w14:paraId="07B71E51" w14:textId="7185D7B1" w:rsidR="00840C2F" w:rsidRPr="003351E6" w:rsidRDefault="00840C2F" w:rsidP="0040155D">
            <w:pPr>
              <w:spacing w:after="0" w:line="259" w:lineRule="auto"/>
              <w:ind w:left="15" w:firstLine="0"/>
            </w:pPr>
          </w:p>
        </w:tc>
      </w:tr>
    </w:tbl>
    <w:p w14:paraId="4C65A0EC" w14:textId="1EEAA6AA" w:rsidR="0029427C" w:rsidRPr="003351E6" w:rsidRDefault="00CD24A0" w:rsidP="00EA2154">
      <w:pPr>
        <w:spacing w:after="0" w:line="259" w:lineRule="auto"/>
        <w:ind w:left="0" w:firstLine="0"/>
      </w:pPr>
      <w:r w:rsidRPr="003351E6">
        <w:lastRenderedPageBreak/>
        <w:t xml:space="preserve">   </w:t>
      </w:r>
      <w:r w:rsidRPr="003351E6">
        <w:tab/>
        <w:t xml:space="preserve"> </w:t>
      </w:r>
    </w:p>
    <w:p w14:paraId="71DB64E8" w14:textId="77777777" w:rsidR="0029427C" w:rsidRPr="003351E6" w:rsidRDefault="0029427C" w:rsidP="00CC2197">
      <w:pPr>
        <w:ind w:left="0" w:firstLine="0"/>
        <w:sectPr w:rsidR="0029427C" w:rsidRPr="003351E6" w:rsidSect="00527D0E">
          <w:headerReference w:type="even" r:id="rId11"/>
          <w:headerReference w:type="default" r:id="rId12"/>
          <w:footerReference w:type="even" r:id="rId13"/>
          <w:footerReference w:type="default" r:id="rId14"/>
          <w:headerReference w:type="first" r:id="rId15"/>
          <w:footerReference w:type="first" r:id="rId16"/>
          <w:pgSz w:w="11906" w:h="16838"/>
          <w:pgMar w:top="761" w:right="1134" w:bottom="1164" w:left="1133" w:header="720" w:footer="730" w:gutter="0"/>
          <w:pgNumType w:start="1"/>
          <w:cols w:space="720"/>
          <w:docGrid w:linePitch="299"/>
        </w:sectPr>
      </w:pPr>
    </w:p>
    <w:p w14:paraId="7D089653" w14:textId="766EEF7A" w:rsidR="00CC2197" w:rsidRPr="003351E6" w:rsidRDefault="00CC2197">
      <w:pPr>
        <w:spacing w:after="0" w:line="259" w:lineRule="auto"/>
        <w:ind w:left="0" w:firstLine="0"/>
      </w:pPr>
    </w:p>
    <w:tbl>
      <w:tblPr>
        <w:tblStyle w:val="TableGrid1"/>
        <w:tblW w:w="14545" w:type="dxa"/>
        <w:tblInd w:w="13" w:type="dxa"/>
        <w:tblCellMar>
          <w:top w:w="114" w:type="dxa"/>
          <w:left w:w="107" w:type="dxa"/>
          <w:right w:w="104" w:type="dxa"/>
        </w:tblCellMar>
        <w:tblLook w:val="04A0" w:firstRow="1" w:lastRow="0" w:firstColumn="1" w:lastColumn="0" w:noHBand="0" w:noVBand="1"/>
      </w:tblPr>
      <w:tblGrid>
        <w:gridCol w:w="5800"/>
        <w:gridCol w:w="4256"/>
        <w:gridCol w:w="4489"/>
      </w:tblGrid>
      <w:tr w:rsidR="0029427C" w:rsidRPr="003351E6" w14:paraId="665AF5C6" w14:textId="77777777" w:rsidTr="2BD32C30">
        <w:trPr>
          <w:trHeight w:val="467"/>
        </w:trPr>
        <w:tc>
          <w:tcPr>
            <w:tcW w:w="5800" w:type="dxa"/>
            <w:tcBorders>
              <w:top w:val="single" w:sz="8" w:space="0" w:color="4F81BD"/>
              <w:left w:val="single" w:sz="8" w:space="0" w:color="4F81BD"/>
              <w:bottom w:val="single" w:sz="8" w:space="0" w:color="4F81BD"/>
              <w:right w:val="nil"/>
            </w:tcBorders>
            <w:shd w:val="clear" w:color="auto" w:fill="DEEAF6"/>
            <w:vAlign w:val="center"/>
          </w:tcPr>
          <w:p w14:paraId="7458B263" w14:textId="77777777" w:rsidR="0029427C" w:rsidRPr="003351E6" w:rsidRDefault="00CD24A0">
            <w:pPr>
              <w:spacing w:after="0" w:line="259" w:lineRule="auto"/>
              <w:ind w:left="0" w:firstLine="0"/>
            </w:pPr>
            <w:r w:rsidRPr="003351E6">
              <w:rPr>
                <w:rFonts w:eastAsia="Corbel"/>
                <w:b/>
              </w:rPr>
              <w:t xml:space="preserve">Part 2: Performance milestones and payment summary  </w:t>
            </w:r>
          </w:p>
        </w:tc>
        <w:tc>
          <w:tcPr>
            <w:tcW w:w="4256" w:type="dxa"/>
            <w:tcBorders>
              <w:top w:val="single" w:sz="8" w:space="0" w:color="4F81BD"/>
              <w:left w:val="nil"/>
              <w:bottom w:val="single" w:sz="8" w:space="0" w:color="4F81BD"/>
              <w:right w:val="single" w:sz="8" w:space="0" w:color="4F81BD"/>
            </w:tcBorders>
            <w:shd w:val="clear" w:color="auto" w:fill="DEEAF6"/>
          </w:tcPr>
          <w:p w14:paraId="09C08172" w14:textId="77777777" w:rsidR="0029427C" w:rsidRPr="003351E6" w:rsidRDefault="0029427C">
            <w:pPr>
              <w:spacing w:after="160" w:line="259" w:lineRule="auto"/>
              <w:ind w:left="0" w:firstLine="0"/>
            </w:pPr>
          </w:p>
        </w:tc>
        <w:tc>
          <w:tcPr>
            <w:tcW w:w="4489" w:type="dxa"/>
            <w:tcBorders>
              <w:top w:val="nil"/>
              <w:left w:val="single" w:sz="8" w:space="0" w:color="4F81BD"/>
              <w:bottom w:val="single" w:sz="8" w:space="0" w:color="4F81BD"/>
              <w:right w:val="nil"/>
            </w:tcBorders>
          </w:tcPr>
          <w:p w14:paraId="3932A118" w14:textId="77777777" w:rsidR="0029427C" w:rsidRPr="003351E6" w:rsidRDefault="0029427C">
            <w:pPr>
              <w:spacing w:after="160" w:line="259" w:lineRule="auto"/>
              <w:ind w:left="0" w:firstLine="0"/>
            </w:pPr>
          </w:p>
        </w:tc>
      </w:tr>
      <w:tr w:rsidR="0029427C" w:rsidRPr="003351E6" w14:paraId="02D271A1" w14:textId="77777777" w:rsidTr="2BD32C30">
        <w:trPr>
          <w:trHeight w:val="1706"/>
        </w:trPr>
        <w:tc>
          <w:tcPr>
            <w:tcW w:w="5800" w:type="dxa"/>
            <w:tcBorders>
              <w:top w:val="single" w:sz="8" w:space="0" w:color="4F81BD"/>
              <w:left w:val="single" w:sz="8" w:space="0" w:color="4F81BD"/>
              <w:bottom w:val="single" w:sz="8" w:space="0" w:color="4F81BD"/>
              <w:right w:val="single" w:sz="8" w:space="0" w:color="4F81BD"/>
            </w:tcBorders>
            <w:shd w:val="clear" w:color="auto" w:fill="E7E6E6"/>
            <w:vAlign w:val="center"/>
          </w:tcPr>
          <w:p w14:paraId="4A93A7E3" w14:textId="1815CB61" w:rsidR="0029427C" w:rsidRPr="003351E6" w:rsidRDefault="104D332B">
            <w:pPr>
              <w:spacing w:after="77" w:line="261" w:lineRule="auto"/>
              <w:ind w:left="0" w:firstLine="0"/>
            </w:pPr>
            <w:r w:rsidRPr="2BD32C30">
              <w:rPr>
                <w:rFonts w:eastAsia="Corbel"/>
                <w:b/>
                <w:bCs/>
              </w:rPr>
              <w:t>Performance Milestones and Payments for the Fee-Free TAFE Fund (</w:t>
            </w:r>
            <w:r w:rsidR="20BA4EFF" w:rsidRPr="2BD32C30">
              <w:rPr>
                <w:rFonts w:eastAsia="Corbel"/>
                <w:b/>
                <w:bCs/>
              </w:rPr>
              <w:t>Tranche 1</w:t>
            </w:r>
            <w:r w:rsidRPr="2BD32C30">
              <w:rPr>
                <w:rFonts w:eastAsia="Corbel"/>
                <w:b/>
                <w:bCs/>
              </w:rPr>
              <w:t xml:space="preserve">) </w:t>
            </w:r>
          </w:p>
          <w:p w14:paraId="1D9C8C14" w14:textId="77777777" w:rsidR="0029427C" w:rsidRPr="003351E6" w:rsidRDefault="00CD24A0">
            <w:pPr>
              <w:spacing w:after="0" w:line="259" w:lineRule="auto"/>
              <w:ind w:left="0" w:firstLine="0"/>
            </w:pPr>
            <w:r w:rsidRPr="003351E6">
              <w:rPr>
                <w:rFonts w:eastAsia="Corbel"/>
                <w:b/>
                <w:i/>
              </w:rPr>
              <w:t>Provision of additional Fee-Free training places in areas of identified skills need in accordance with principles outlined at Appendix A</w:t>
            </w:r>
            <w:r w:rsidRPr="003351E6">
              <w:rPr>
                <w:rFonts w:eastAsia="Corbel"/>
                <w:b/>
              </w:rPr>
              <w:t xml:space="preserve">. </w:t>
            </w:r>
          </w:p>
        </w:tc>
        <w:tc>
          <w:tcPr>
            <w:tcW w:w="4256" w:type="dxa"/>
            <w:tcBorders>
              <w:top w:val="single" w:sz="8" w:space="0" w:color="4F81BD"/>
              <w:left w:val="single" w:sz="8" w:space="0" w:color="4F81BD"/>
              <w:bottom w:val="single" w:sz="8" w:space="0" w:color="4F81BD"/>
              <w:right w:val="single" w:sz="8" w:space="0" w:color="4F81BD"/>
            </w:tcBorders>
            <w:shd w:val="clear" w:color="auto" w:fill="E7E6E6"/>
          </w:tcPr>
          <w:p w14:paraId="19B6A23A" w14:textId="77777777" w:rsidR="0029427C" w:rsidRPr="003351E6" w:rsidRDefault="00CD24A0">
            <w:pPr>
              <w:spacing w:after="0" w:line="259" w:lineRule="auto"/>
              <w:ind w:left="1" w:firstLine="0"/>
            </w:pPr>
            <w:r w:rsidRPr="003351E6">
              <w:rPr>
                <w:rFonts w:eastAsia="Corbel"/>
                <w:b/>
              </w:rPr>
              <w:t xml:space="preserve">Due </w:t>
            </w:r>
          </w:p>
        </w:tc>
        <w:tc>
          <w:tcPr>
            <w:tcW w:w="4489" w:type="dxa"/>
            <w:tcBorders>
              <w:top w:val="single" w:sz="8" w:space="0" w:color="4F81BD"/>
              <w:left w:val="single" w:sz="8" w:space="0" w:color="4F81BD"/>
              <w:bottom w:val="single" w:sz="8" w:space="0" w:color="4F81BD"/>
              <w:right w:val="single" w:sz="8" w:space="0" w:color="4F81BD"/>
            </w:tcBorders>
            <w:shd w:val="clear" w:color="auto" w:fill="E7E6E6"/>
          </w:tcPr>
          <w:p w14:paraId="0E7A3F13" w14:textId="77777777" w:rsidR="0029427C" w:rsidRPr="003351E6" w:rsidRDefault="00CD24A0">
            <w:pPr>
              <w:spacing w:after="0" w:line="259" w:lineRule="auto"/>
              <w:ind w:left="0" w:firstLine="0"/>
            </w:pPr>
            <w:r w:rsidRPr="003351E6">
              <w:rPr>
                <w:rFonts w:eastAsia="Corbel"/>
                <w:b/>
              </w:rPr>
              <w:t xml:space="preserve">Payment </w:t>
            </w:r>
          </w:p>
        </w:tc>
      </w:tr>
      <w:tr w:rsidR="0029427C" w:rsidRPr="003351E6" w14:paraId="1CEEFCFE" w14:textId="77777777" w:rsidTr="2BD32C30">
        <w:trPr>
          <w:trHeight w:val="5465"/>
        </w:trPr>
        <w:tc>
          <w:tcPr>
            <w:tcW w:w="5800" w:type="dxa"/>
            <w:tcBorders>
              <w:top w:val="single" w:sz="8" w:space="0" w:color="4F81BD"/>
              <w:left w:val="single" w:sz="8" w:space="0" w:color="4F81BD"/>
              <w:bottom w:val="single" w:sz="8" w:space="0" w:color="4F81BD"/>
              <w:right w:val="single" w:sz="8" w:space="0" w:color="4F81BD"/>
            </w:tcBorders>
          </w:tcPr>
          <w:p w14:paraId="5E5DEA07" w14:textId="77777777" w:rsidR="0029427C" w:rsidRPr="003351E6" w:rsidRDefault="00CD24A0">
            <w:pPr>
              <w:spacing w:after="57" w:line="259" w:lineRule="auto"/>
              <w:ind w:left="0" w:firstLine="0"/>
            </w:pPr>
            <w:r w:rsidRPr="003351E6">
              <w:rPr>
                <w:rFonts w:eastAsia="Corbel"/>
                <w:b/>
              </w:rPr>
              <w:t xml:space="preserve">Performance Milestone 1  </w:t>
            </w:r>
          </w:p>
          <w:p w14:paraId="53E805C1" w14:textId="77777777" w:rsidR="0029427C" w:rsidRPr="003351E6" w:rsidRDefault="00CD24A0">
            <w:pPr>
              <w:spacing w:after="59" w:line="259" w:lineRule="auto"/>
              <w:ind w:left="0" w:firstLine="0"/>
            </w:pPr>
            <w:r w:rsidRPr="003351E6">
              <w:rPr>
                <w:rFonts w:eastAsia="Corbel"/>
              </w:rPr>
              <w:t xml:space="preserve">States agree and sign up to the Schedule. </w:t>
            </w:r>
          </w:p>
          <w:p w14:paraId="0731AD96" w14:textId="77777777" w:rsidR="0029427C" w:rsidRPr="003351E6" w:rsidRDefault="00CD24A0">
            <w:pPr>
              <w:spacing w:after="88" w:line="259" w:lineRule="auto"/>
              <w:ind w:left="0" w:firstLine="0"/>
            </w:pPr>
            <w:r w:rsidRPr="003351E6">
              <w:rPr>
                <w:rFonts w:eastAsia="Corbel"/>
              </w:rPr>
              <w:t xml:space="preserve">Commonwealth and States agree to the FFT Fund Implementation Plan. In doing this: </w:t>
            </w:r>
          </w:p>
          <w:p w14:paraId="17DCF942" w14:textId="77777777" w:rsidR="0029427C" w:rsidRPr="003351E6" w:rsidRDefault="00CD24A0">
            <w:pPr>
              <w:numPr>
                <w:ilvl w:val="0"/>
                <w:numId w:val="11"/>
              </w:numPr>
              <w:spacing w:after="2"/>
              <w:ind w:hanging="360"/>
            </w:pPr>
            <w:r w:rsidRPr="003351E6">
              <w:rPr>
                <w:rFonts w:eastAsia="Corbel"/>
              </w:rPr>
              <w:t xml:space="preserve">The State has provided an Implementation Plan that outlines how they will operationalise Fee-Free TAFE </w:t>
            </w:r>
          </w:p>
          <w:p w14:paraId="1353216F" w14:textId="77777777" w:rsidR="0029427C" w:rsidRPr="003351E6" w:rsidRDefault="00CD24A0">
            <w:pPr>
              <w:spacing w:after="89" w:line="258" w:lineRule="auto"/>
              <w:ind w:left="720" w:firstLine="0"/>
            </w:pPr>
            <w:r w:rsidRPr="003351E6">
              <w:rPr>
                <w:rFonts w:eastAsia="Corbel"/>
              </w:rPr>
              <w:t xml:space="preserve">in their jurisdiction, consistent with the principles and areas requiring Commonwealth agreement in Appendix A and including any specific bilateral parameters and local fraud and integrity measures.  </w:t>
            </w:r>
          </w:p>
          <w:p w14:paraId="77366B99" w14:textId="77777777" w:rsidR="0029427C" w:rsidRPr="003351E6" w:rsidRDefault="00CD24A0">
            <w:pPr>
              <w:numPr>
                <w:ilvl w:val="0"/>
                <w:numId w:val="11"/>
              </w:numPr>
              <w:spacing w:after="89" w:line="258" w:lineRule="auto"/>
              <w:ind w:hanging="360"/>
            </w:pPr>
            <w:r w:rsidRPr="003351E6">
              <w:rPr>
                <w:rFonts w:eastAsia="Corbel"/>
              </w:rPr>
              <w:t xml:space="preserve">Commonwealth senior officials to review and either confirm agreement or provide feedback within two weeks of receiving an Implementation Plan from the State. </w:t>
            </w:r>
          </w:p>
          <w:p w14:paraId="7DCAC956" w14:textId="77777777" w:rsidR="0029427C" w:rsidRPr="003351E6" w:rsidRDefault="00CD24A0">
            <w:pPr>
              <w:numPr>
                <w:ilvl w:val="0"/>
                <w:numId w:val="11"/>
              </w:numPr>
              <w:spacing w:after="57" w:line="259" w:lineRule="auto"/>
              <w:ind w:hanging="360"/>
            </w:pPr>
            <w:r w:rsidRPr="003351E6">
              <w:rPr>
                <w:rFonts w:eastAsia="Corbel"/>
              </w:rPr>
              <w:t xml:space="preserve">If updates are required, the State to provide revised Implementation Plan within 2 weeks. </w:t>
            </w:r>
          </w:p>
          <w:p w14:paraId="679AD2B7" w14:textId="77777777" w:rsidR="0029427C" w:rsidRPr="003351E6" w:rsidRDefault="00CD24A0">
            <w:pPr>
              <w:spacing w:after="0" w:line="259" w:lineRule="auto"/>
              <w:ind w:left="1" w:firstLine="0"/>
            </w:pPr>
            <w:r w:rsidRPr="003351E6">
              <w:rPr>
                <w:rFonts w:eastAsia="Corbel"/>
              </w:rPr>
              <w:t xml:space="preserve"> </w:t>
            </w:r>
          </w:p>
        </w:tc>
        <w:tc>
          <w:tcPr>
            <w:tcW w:w="4256" w:type="dxa"/>
            <w:tcBorders>
              <w:top w:val="single" w:sz="8" w:space="0" w:color="4F81BD"/>
              <w:left w:val="single" w:sz="8" w:space="0" w:color="4F81BD"/>
              <w:bottom w:val="single" w:sz="8" w:space="0" w:color="4F81BD"/>
              <w:right w:val="single" w:sz="8" w:space="0" w:color="4F81BD"/>
            </w:tcBorders>
            <w:vAlign w:val="center"/>
          </w:tcPr>
          <w:p w14:paraId="399294AB" w14:textId="31F19729" w:rsidR="0029427C" w:rsidRPr="003351E6" w:rsidRDefault="00CD24A0">
            <w:pPr>
              <w:spacing w:after="0" w:line="259" w:lineRule="auto"/>
              <w:ind w:left="1" w:right="77" w:firstLine="1"/>
            </w:pPr>
            <w:r w:rsidRPr="003351E6">
              <w:rPr>
                <w:rFonts w:eastAsia="Corbel"/>
              </w:rPr>
              <w:t xml:space="preserve">Within 30 days of signing the schedule or 1 January 2023 or following Commonwealth and State agreement to the State’s FFT Fund Implementation Plan, whichever is later. </w:t>
            </w:r>
          </w:p>
        </w:tc>
        <w:tc>
          <w:tcPr>
            <w:tcW w:w="4489" w:type="dxa"/>
            <w:tcBorders>
              <w:top w:val="single" w:sz="8" w:space="0" w:color="4F81BD"/>
              <w:left w:val="single" w:sz="8" w:space="0" w:color="4F81BD"/>
              <w:bottom w:val="single" w:sz="8" w:space="0" w:color="4F81BD"/>
              <w:right w:val="single" w:sz="8" w:space="0" w:color="4F81BD"/>
            </w:tcBorders>
            <w:vAlign w:val="center"/>
          </w:tcPr>
          <w:p w14:paraId="475E23F6" w14:textId="77777777" w:rsidR="0029427C" w:rsidRPr="003351E6" w:rsidRDefault="00CD24A0">
            <w:pPr>
              <w:spacing w:after="88" w:line="259" w:lineRule="auto"/>
              <w:ind w:left="0" w:firstLine="0"/>
            </w:pPr>
            <w:r w:rsidRPr="003351E6">
              <w:rPr>
                <w:rFonts w:eastAsia="Corbel"/>
              </w:rPr>
              <w:t xml:space="preserve">The total of: </w:t>
            </w:r>
          </w:p>
          <w:p w14:paraId="019664EB" w14:textId="77777777" w:rsidR="0029427C" w:rsidRPr="003351E6" w:rsidRDefault="00CD24A0">
            <w:pPr>
              <w:numPr>
                <w:ilvl w:val="0"/>
                <w:numId w:val="12"/>
              </w:numPr>
              <w:spacing w:after="89" w:line="258" w:lineRule="auto"/>
              <w:ind w:left="360" w:hanging="360"/>
            </w:pPr>
            <w:r w:rsidRPr="003351E6">
              <w:rPr>
                <w:rFonts w:eastAsia="Corbel"/>
              </w:rPr>
              <w:t xml:space="preserve">40% of the State’s allocation of funding for Fee-Free TAFE </w:t>
            </w:r>
            <w:proofErr w:type="gramStart"/>
            <w:r w:rsidRPr="003351E6">
              <w:rPr>
                <w:rFonts w:eastAsia="Corbel"/>
              </w:rPr>
              <w:t>places;</w:t>
            </w:r>
            <w:proofErr w:type="gramEnd"/>
            <w:r w:rsidRPr="003351E6">
              <w:rPr>
                <w:rFonts w:eastAsia="Corbel"/>
              </w:rPr>
              <w:t xml:space="preserve"> </w:t>
            </w:r>
            <w:r w:rsidRPr="003351E6">
              <w:t xml:space="preserve"> </w:t>
            </w:r>
          </w:p>
          <w:p w14:paraId="01AA48F7" w14:textId="77777777" w:rsidR="0029427C" w:rsidRPr="003351E6" w:rsidRDefault="00CD24A0">
            <w:pPr>
              <w:numPr>
                <w:ilvl w:val="0"/>
                <w:numId w:val="12"/>
              </w:numPr>
              <w:spacing w:after="84" w:line="260" w:lineRule="auto"/>
              <w:ind w:left="360" w:hanging="360"/>
            </w:pPr>
            <w:r w:rsidRPr="003351E6">
              <w:rPr>
                <w:rFonts w:eastAsia="Corbel"/>
              </w:rPr>
              <w:t>100% of the State’s allocation of funding for Student Support Services; and</w:t>
            </w:r>
            <w:r w:rsidRPr="003351E6">
              <w:t xml:space="preserve"> </w:t>
            </w:r>
          </w:p>
          <w:p w14:paraId="7CBDEB0B" w14:textId="77777777" w:rsidR="0029427C" w:rsidRPr="003351E6" w:rsidRDefault="00CD24A0">
            <w:pPr>
              <w:numPr>
                <w:ilvl w:val="0"/>
                <w:numId w:val="12"/>
              </w:numPr>
              <w:spacing w:after="0" w:line="259" w:lineRule="auto"/>
              <w:ind w:left="360" w:hanging="360"/>
            </w:pPr>
            <w:r w:rsidRPr="003351E6">
              <w:rPr>
                <w:rFonts w:eastAsia="Corbel"/>
              </w:rPr>
              <w:t>40% of the State’s allocation of Ancillary funding.</w:t>
            </w:r>
            <w:r w:rsidRPr="003351E6">
              <w:t xml:space="preserve"> </w:t>
            </w:r>
          </w:p>
        </w:tc>
      </w:tr>
      <w:tr w:rsidR="0029427C" w:rsidRPr="003351E6" w14:paraId="0E47457D" w14:textId="77777777" w:rsidTr="2BD32C30">
        <w:trPr>
          <w:trHeight w:val="4382"/>
        </w:trPr>
        <w:tc>
          <w:tcPr>
            <w:tcW w:w="5800" w:type="dxa"/>
            <w:tcBorders>
              <w:top w:val="single" w:sz="8" w:space="0" w:color="4F81BD"/>
              <w:left w:val="single" w:sz="8" w:space="0" w:color="4F81BD"/>
              <w:bottom w:val="single" w:sz="8" w:space="0" w:color="4F81BD"/>
              <w:right w:val="single" w:sz="8" w:space="0" w:color="4F81BD"/>
            </w:tcBorders>
            <w:vAlign w:val="center"/>
          </w:tcPr>
          <w:p w14:paraId="176C6E79" w14:textId="77777777" w:rsidR="0029427C" w:rsidRPr="003351E6" w:rsidRDefault="00CD24A0">
            <w:pPr>
              <w:spacing w:after="59" w:line="259" w:lineRule="auto"/>
              <w:ind w:left="3" w:firstLine="0"/>
            </w:pPr>
            <w:r w:rsidRPr="003351E6">
              <w:rPr>
                <w:rFonts w:eastAsia="Corbel"/>
                <w:b/>
              </w:rPr>
              <w:lastRenderedPageBreak/>
              <w:t xml:space="preserve">Performance Milestone 2 </w:t>
            </w:r>
          </w:p>
          <w:p w14:paraId="35D6D566" w14:textId="77777777" w:rsidR="0029427C" w:rsidRPr="003351E6" w:rsidRDefault="00CD24A0">
            <w:pPr>
              <w:spacing w:after="0" w:line="259" w:lineRule="auto"/>
              <w:ind w:left="3" w:firstLine="0"/>
            </w:pPr>
            <w:r w:rsidRPr="003351E6">
              <w:rPr>
                <w:rFonts w:eastAsia="Corbel"/>
              </w:rPr>
              <w:t xml:space="preserve">The State has provided quarterly reporting consistent with Part 3 of this Schedule which shows that enrolments in eligible training places have committed a minimum of 40 per </w:t>
            </w:r>
          </w:p>
          <w:p w14:paraId="0DC581CD" w14:textId="77777777" w:rsidR="0029427C" w:rsidRPr="003351E6" w:rsidRDefault="00CD24A0">
            <w:pPr>
              <w:spacing w:after="62" w:line="256" w:lineRule="auto"/>
              <w:ind w:left="3" w:firstLine="0"/>
            </w:pPr>
            <w:r w:rsidRPr="003351E6">
              <w:rPr>
                <w:rFonts w:eastAsia="Corbel"/>
              </w:rPr>
              <w:t xml:space="preserve">cent of the total of the Fee-Free Places and Ancillary Purposes funds for expenditure.   </w:t>
            </w:r>
          </w:p>
          <w:p w14:paraId="6D113D7B" w14:textId="77777777" w:rsidR="0029427C" w:rsidRPr="003351E6" w:rsidRDefault="00CD24A0">
            <w:pPr>
              <w:spacing w:after="0" w:line="259" w:lineRule="auto"/>
              <w:ind w:left="3" w:firstLine="0"/>
            </w:pPr>
            <w:r w:rsidRPr="003351E6">
              <w:rPr>
                <w:rFonts w:eastAsia="Corbel"/>
              </w:rPr>
              <w:t xml:space="preserve">State funding for ancillary purposes will count toward meeting this milestone on a pro-rata basis. For example: To meet the 40 per cent committed funding utilisation milestone, a minimum of 36 per cent utilisation must be met through enrolments, with a maximum of 4 per cent met through ancillary funding. </w:t>
            </w:r>
          </w:p>
        </w:tc>
        <w:tc>
          <w:tcPr>
            <w:tcW w:w="4256" w:type="dxa"/>
            <w:tcBorders>
              <w:top w:val="single" w:sz="8" w:space="0" w:color="4F81BD"/>
              <w:left w:val="single" w:sz="8" w:space="0" w:color="4F81BD"/>
              <w:bottom w:val="single" w:sz="8" w:space="0" w:color="4F81BD"/>
              <w:right w:val="single" w:sz="8" w:space="0" w:color="4F81BD"/>
            </w:tcBorders>
            <w:vAlign w:val="center"/>
          </w:tcPr>
          <w:p w14:paraId="5F247933" w14:textId="77777777" w:rsidR="002A21AF" w:rsidRDefault="00CD24A0">
            <w:pPr>
              <w:spacing w:after="0" w:line="259" w:lineRule="auto"/>
              <w:ind w:left="1049" w:right="956" w:firstLine="0"/>
              <w:jc w:val="center"/>
              <w:rPr>
                <w:rFonts w:eastAsia="Corbel"/>
              </w:rPr>
            </w:pPr>
            <w:r w:rsidRPr="003351E6">
              <w:rPr>
                <w:rFonts w:eastAsia="Corbel"/>
              </w:rPr>
              <w:t xml:space="preserve">May </w:t>
            </w:r>
            <w:r w:rsidR="00865BE8" w:rsidRPr="003351E6">
              <w:rPr>
                <w:rFonts w:eastAsia="Corbel"/>
              </w:rPr>
              <w:t xml:space="preserve">2023 </w:t>
            </w:r>
          </w:p>
          <w:p w14:paraId="497097BC" w14:textId="3DBEE358" w:rsidR="0029427C" w:rsidRPr="003351E6" w:rsidRDefault="00865BE8">
            <w:pPr>
              <w:spacing w:after="0" w:line="259" w:lineRule="auto"/>
              <w:ind w:left="1049" w:right="956" w:firstLine="0"/>
              <w:jc w:val="center"/>
            </w:pPr>
            <w:r w:rsidRPr="003351E6">
              <w:rPr>
                <w:rFonts w:eastAsia="Corbel"/>
              </w:rPr>
              <w:t>(</w:t>
            </w:r>
            <w:r w:rsidR="00CD24A0" w:rsidRPr="003351E6">
              <w:rPr>
                <w:rFonts w:eastAsia="Corbel"/>
              </w:rPr>
              <w:t xml:space="preserve">Estimated) </w:t>
            </w:r>
          </w:p>
        </w:tc>
        <w:tc>
          <w:tcPr>
            <w:tcW w:w="4489" w:type="dxa"/>
            <w:tcBorders>
              <w:top w:val="single" w:sz="8" w:space="0" w:color="4F81BD"/>
              <w:left w:val="single" w:sz="8" w:space="0" w:color="4F81BD"/>
              <w:bottom w:val="single" w:sz="8" w:space="0" w:color="4F81BD"/>
              <w:right w:val="single" w:sz="8" w:space="0" w:color="4F81BD"/>
            </w:tcBorders>
            <w:vAlign w:val="center"/>
          </w:tcPr>
          <w:p w14:paraId="7F79F177" w14:textId="77777777" w:rsidR="0029427C" w:rsidRPr="003351E6" w:rsidRDefault="00CD24A0">
            <w:pPr>
              <w:spacing w:after="88" w:line="259" w:lineRule="auto"/>
              <w:ind w:left="2" w:firstLine="0"/>
            </w:pPr>
            <w:r w:rsidRPr="003351E6">
              <w:rPr>
                <w:rFonts w:eastAsia="Corbel"/>
              </w:rPr>
              <w:t xml:space="preserve">The total of: </w:t>
            </w:r>
          </w:p>
          <w:p w14:paraId="04317133" w14:textId="77777777" w:rsidR="0029427C" w:rsidRPr="003351E6" w:rsidRDefault="00CD24A0">
            <w:pPr>
              <w:numPr>
                <w:ilvl w:val="0"/>
                <w:numId w:val="13"/>
              </w:numPr>
              <w:spacing w:after="85" w:line="259" w:lineRule="auto"/>
              <w:ind w:hanging="360"/>
            </w:pPr>
            <w:r w:rsidRPr="003351E6">
              <w:rPr>
                <w:rFonts w:eastAsia="Corbel"/>
              </w:rPr>
              <w:t xml:space="preserve">30% of the State’s allocation of Fee-Free TAFE places; and </w:t>
            </w:r>
          </w:p>
          <w:p w14:paraId="77D05484" w14:textId="77777777" w:rsidR="0029427C" w:rsidRPr="003351E6" w:rsidRDefault="00CD24A0">
            <w:pPr>
              <w:numPr>
                <w:ilvl w:val="0"/>
                <w:numId w:val="13"/>
              </w:numPr>
              <w:spacing w:after="0" w:line="259" w:lineRule="auto"/>
              <w:ind w:hanging="360"/>
            </w:pPr>
            <w:r w:rsidRPr="003351E6">
              <w:rPr>
                <w:rFonts w:eastAsia="Corbel"/>
              </w:rPr>
              <w:t xml:space="preserve">30% of the State’s allocation of funding for Ancillary Purposes. </w:t>
            </w:r>
          </w:p>
        </w:tc>
      </w:tr>
      <w:tr w:rsidR="0029427C" w:rsidRPr="003351E6" w14:paraId="077FB6CB" w14:textId="77777777" w:rsidTr="2BD32C30">
        <w:trPr>
          <w:trHeight w:val="3739"/>
        </w:trPr>
        <w:tc>
          <w:tcPr>
            <w:tcW w:w="5800" w:type="dxa"/>
            <w:tcBorders>
              <w:top w:val="single" w:sz="8" w:space="0" w:color="4F81BD"/>
              <w:left w:val="single" w:sz="8" w:space="0" w:color="4F81BD"/>
              <w:bottom w:val="single" w:sz="8" w:space="0" w:color="4F81BD"/>
              <w:right w:val="single" w:sz="8" w:space="0" w:color="4F81BD"/>
            </w:tcBorders>
          </w:tcPr>
          <w:p w14:paraId="5F4197DD" w14:textId="77777777" w:rsidR="0029427C" w:rsidRPr="003351E6" w:rsidRDefault="00CD24A0">
            <w:pPr>
              <w:spacing w:after="59" w:line="259" w:lineRule="auto"/>
              <w:ind w:left="3" w:firstLine="0"/>
            </w:pPr>
            <w:r w:rsidRPr="003351E6">
              <w:rPr>
                <w:rFonts w:eastAsia="Corbel"/>
                <w:b/>
              </w:rPr>
              <w:t xml:space="preserve">Performance Milestone 3 </w:t>
            </w:r>
          </w:p>
          <w:p w14:paraId="726BCFC0" w14:textId="77777777" w:rsidR="0029427C" w:rsidRPr="003351E6" w:rsidRDefault="00CD24A0">
            <w:pPr>
              <w:spacing w:line="258" w:lineRule="auto"/>
              <w:ind w:left="3" w:firstLine="0"/>
            </w:pPr>
            <w:r w:rsidRPr="003351E6">
              <w:rPr>
                <w:rFonts w:eastAsia="Corbel"/>
              </w:rPr>
              <w:t xml:space="preserve">The State has provided quarterly reporting consistent with Part 3 of this Schedule which shows that enrolments in eligible training places have committed a minimum of 70 per cent of the Fee-Free TAFE Places and Ancillary Purposes funds for expenditure.  </w:t>
            </w:r>
          </w:p>
          <w:p w14:paraId="2D0DEA1E" w14:textId="77777777" w:rsidR="0029427C" w:rsidRPr="003351E6" w:rsidRDefault="00CD24A0">
            <w:pPr>
              <w:spacing w:after="0" w:line="259" w:lineRule="auto"/>
              <w:ind w:left="3" w:firstLine="0"/>
            </w:pPr>
            <w:r w:rsidRPr="003351E6">
              <w:rPr>
                <w:rFonts w:eastAsia="Corbel"/>
              </w:rPr>
              <w:t>State funding for ancillary purposes will count toward meeting this milestone on a pro-rata basis. For example: To meet the 70 per cent committed funding utilisation milestone, a minimum of 64 per cent utilisation must be met through enrolments, with a maximum of 6 per cent met through ancillary funding.</w:t>
            </w:r>
            <w:r w:rsidRPr="003351E6">
              <w:t xml:space="preserve"> </w:t>
            </w:r>
          </w:p>
        </w:tc>
        <w:tc>
          <w:tcPr>
            <w:tcW w:w="4256" w:type="dxa"/>
            <w:tcBorders>
              <w:top w:val="single" w:sz="8" w:space="0" w:color="4F81BD"/>
              <w:left w:val="single" w:sz="8" w:space="0" w:color="4F81BD"/>
              <w:bottom w:val="single" w:sz="8" w:space="0" w:color="4F81BD"/>
              <w:right w:val="single" w:sz="8" w:space="0" w:color="4F81BD"/>
            </w:tcBorders>
            <w:vAlign w:val="center"/>
          </w:tcPr>
          <w:p w14:paraId="691B1690" w14:textId="77777777" w:rsidR="002A21AF" w:rsidRDefault="00CD24A0">
            <w:pPr>
              <w:spacing w:after="0" w:line="259" w:lineRule="auto"/>
              <w:ind w:left="764" w:right="713" w:firstLine="0"/>
              <w:jc w:val="center"/>
              <w:rPr>
                <w:rFonts w:eastAsia="Corbel"/>
              </w:rPr>
            </w:pPr>
            <w:r w:rsidRPr="003351E6">
              <w:rPr>
                <w:rFonts w:eastAsia="Corbel"/>
              </w:rPr>
              <w:t xml:space="preserve">November 2023 </w:t>
            </w:r>
          </w:p>
          <w:p w14:paraId="09DB53FF" w14:textId="154A93F7" w:rsidR="0029427C" w:rsidRPr="003351E6" w:rsidRDefault="00CD24A0">
            <w:pPr>
              <w:spacing w:after="0" w:line="259" w:lineRule="auto"/>
              <w:ind w:left="764" w:right="713" w:firstLine="0"/>
              <w:jc w:val="center"/>
            </w:pPr>
            <w:r w:rsidRPr="003351E6">
              <w:rPr>
                <w:rFonts w:eastAsia="Corbel"/>
              </w:rPr>
              <w:t xml:space="preserve">(Estimated) </w:t>
            </w:r>
          </w:p>
        </w:tc>
        <w:tc>
          <w:tcPr>
            <w:tcW w:w="4489" w:type="dxa"/>
            <w:tcBorders>
              <w:top w:val="single" w:sz="8" w:space="0" w:color="4F81BD"/>
              <w:left w:val="single" w:sz="8" w:space="0" w:color="4F81BD"/>
              <w:bottom w:val="single" w:sz="8" w:space="0" w:color="4F81BD"/>
              <w:right w:val="single" w:sz="8" w:space="0" w:color="4F81BD"/>
            </w:tcBorders>
            <w:vAlign w:val="center"/>
          </w:tcPr>
          <w:p w14:paraId="3E3221F9" w14:textId="77777777" w:rsidR="0029427C" w:rsidRPr="003351E6" w:rsidRDefault="00CD24A0">
            <w:pPr>
              <w:spacing w:after="88" w:line="259" w:lineRule="auto"/>
              <w:ind w:left="0" w:firstLine="0"/>
            </w:pPr>
            <w:r w:rsidRPr="003351E6">
              <w:rPr>
                <w:rFonts w:eastAsia="Corbel"/>
              </w:rPr>
              <w:t xml:space="preserve">The total of: </w:t>
            </w:r>
          </w:p>
          <w:p w14:paraId="244E1A1C" w14:textId="10B74755" w:rsidR="0029427C" w:rsidRPr="003351E6" w:rsidRDefault="00CD24A0">
            <w:pPr>
              <w:numPr>
                <w:ilvl w:val="0"/>
                <w:numId w:val="14"/>
              </w:numPr>
              <w:spacing w:after="90"/>
              <w:ind w:hanging="360"/>
            </w:pPr>
            <w:r w:rsidRPr="003351E6">
              <w:rPr>
                <w:rFonts w:eastAsia="Corbel"/>
              </w:rPr>
              <w:t>30% of the State’s allocation of the Fee</w:t>
            </w:r>
            <w:r w:rsidR="00B60F61" w:rsidRPr="003351E6">
              <w:rPr>
                <w:rFonts w:eastAsia="Corbel"/>
              </w:rPr>
              <w:t xml:space="preserve"> </w:t>
            </w:r>
            <w:r w:rsidRPr="003351E6">
              <w:rPr>
                <w:rFonts w:eastAsia="Corbel"/>
              </w:rPr>
              <w:t xml:space="preserve">Free TAFE places: and </w:t>
            </w:r>
          </w:p>
          <w:p w14:paraId="634C770A" w14:textId="77777777" w:rsidR="0029427C" w:rsidRPr="003351E6" w:rsidRDefault="00CD24A0">
            <w:pPr>
              <w:numPr>
                <w:ilvl w:val="0"/>
                <w:numId w:val="14"/>
              </w:numPr>
              <w:spacing w:after="0" w:line="259" w:lineRule="auto"/>
              <w:ind w:hanging="360"/>
            </w:pPr>
            <w:r w:rsidRPr="003351E6">
              <w:rPr>
                <w:rFonts w:eastAsia="Corbel"/>
              </w:rPr>
              <w:t xml:space="preserve">30% of the State’s allocation of funding for Ancillary Purposes. </w:t>
            </w:r>
          </w:p>
        </w:tc>
      </w:tr>
    </w:tbl>
    <w:p w14:paraId="49943C66" w14:textId="77777777" w:rsidR="0029427C" w:rsidRPr="003351E6" w:rsidRDefault="00CD24A0">
      <w:pPr>
        <w:spacing w:after="2" w:line="231" w:lineRule="auto"/>
        <w:ind w:left="0" w:right="8330" w:firstLine="0"/>
        <w:jc w:val="both"/>
      </w:pPr>
      <w:r w:rsidRPr="003351E6">
        <w:rPr>
          <w:b/>
        </w:rPr>
        <w:t xml:space="preserve">   </w:t>
      </w:r>
    </w:p>
    <w:p w14:paraId="56DDE6CD" w14:textId="77777777" w:rsidR="0029427C" w:rsidRPr="003351E6" w:rsidRDefault="00CD24A0">
      <w:pPr>
        <w:spacing w:after="0" w:line="231" w:lineRule="auto"/>
        <w:ind w:left="0" w:right="8330" w:firstLine="0"/>
        <w:jc w:val="both"/>
      </w:pPr>
      <w:r w:rsidRPr="003351E6">
        <w:rPr>
          <w:b/>
        </w:rPr>
        <w:t xml:space="preserve">  </w:t>
      </w:r>
    </w:p>
    <w:p w14:paraId="7FD7B13C" w14:textId="77777777" w:rsidR="00B60F61" w:rsidRPr="003351E6" w:rsidRDefault="00B60F61">
      <w:pPr>
        <w:spacing w:after="0" w:line="259" w:lineRule="auto"/>
        <w:ind w:left="0" w:firstLine="0"/>
        <w:rPr>
          <w:rFonts w:eastAsia="Corbel"/>
          <w:b/>
        </w:rPr>
      </w:pPr>
    </w:p>
    <w:p w14:paraId="19EC26D5" w14:textId="08F5172F" w:rsidR="0029427C" w:rsidRPr="003351E6" w:rsidRDefault="0029427C">
      <w:pPr>
        <w:spacing w:after="0" w:line="259" w:lineRule="auto"/>
        <w:ind w:left="0" w:firstLine="0"/>
      </w:pPr>
    </w:p>
    <w:tbl>
      <w:tblPr>
        <w:tblStyle w:val="TableGrid1"/>
        <w:tblW w:w="14548" w:type="dxa"/>
        <w:tblInd w:w="13" w:type="dxa"/>
        <w:tblCellMar>
          <w:top w:w="114" w:type="dxa"/>
          <w:right w:w="115" w:type="dxa"/>
        </w:tblCellMar>
        <w:tblLook w:val="04A0" w:firstRow="1" w:lastRow="0" w:firstColumn="1" w:lastColumn="0" w:noHBand="0" w:noVBand="1"/>
      </w:tblPr>
      <w:tblGrid>
        <w:gridCol w:w="5798"/>
        <w:gridCol w:w="4255"/>
        <w:gridCol w:w="467"/>
        <w:gridCol w:w="4028"/>
      </w:tblGrid>
      <w:tr w:rsidR="0029427C" w:rsidRPr="003351E6" w14:paraId="6BC07D7E" w14:textId="77777777">
        <w:trPr>
          <w:trHeight w:val="755"/>
        </w:trPr>
        <w:tc>
          <w:tcPr>
            <w:tcW w:w="5797" w:type="dxa"/>
            <w:tcBorders>
              <w:top w:val="single" w:sz="8" w:space="0" w:color="4F81BD"/>
              <w:left w:val="single" w:sz="8" w:space="0" w:color="4F81BD"/>
              <w:bottom w:val="single" w:sz="8" w:space="0" w:color="4F81BD"/>
              <w:right w:val="single" w:sz="8" w:space="0" w:color="4F81BD"/>
            </w:tcBorders>
            <w:shd w:val="clear" w:color="auto" w:fill="E7E6E6"/>
            <w:vAlign w:val="center"/>
          </w:tcPr>
          <w:p w14:paraId="139A837C" w14:textId="77777777" w:rsidR="0029427C" w:rsidRPr="003351E6" w:rsidRDefault="00CD24A0">
            <w:pPr>
              <w:spacing w:after="0" w:line="259" w:lineRule="auto"/>
              <w:ind w:left="107" w:firstLine="0"/>
            </w:pPr>
            <w:r w:rsidRPr="003351E6">
              <w:rPr>
                <w:rFonts w:eastAsia="Corbel"/>
                <w:b/>
              </w:rPr>
              <w:lastRenderedPageBreak/>
              <w:t xml:space="preserve">Performance Milestones and Payments for the Fee-Free </w:t>
            </w:r>
          </w:p>
          <w:p w14:paraId="29B2F82D" w14:textId="67232DCA" w:rsidR="0029427C" w:rsidRPr="003351E6" w:rsidRDefault="00CD24A0">
            <w:pPr>
              <w:spacing w:after="0" w:line="259" w:lineRule="auto"/>
              <w:ind w:left="107" w:firstLine="0"/>
            </w:pPr>
            <w:r w:rsidRPr="003351E6">
              <w:rPr>
                <w:rFonts w:eastAsia="Corbel"/>
                <w:b/>
              </w:rPr>
              <w:t xml:space="preserve">TAFE Fund (FFT Fund) </w:t>
            </w:r>
            <w:r w:rsidR="000D00DC" w:rsidRPr="003351E6">
              <w:rPr>
                <w:rFonts w:eastAsia="Corbel"/>
                <w:b/>
              </w:rPr>
              <w:t>Fee-Free TAFE Tranche 2</w:t>
            </w:r>
          </w:p>
        </w:tc>
        <w:tc>
          <w:tcPr>
            <w:tcW w:w="4255" w:type="dxa"/>
            <w:tcBorders>
              <w:top w:val="single" w:sz="8" w:space="0" w:color="4F81BD"/>
              <w:left w:val="single" w:sz="8" w:space="0" w:color="4F81BD"/>
              <w:bottom w:val="single" w:sz="8" w:space="0" w:color="4F81BD"/>
              <w:right w:val="single" w:sz="8" w:space="0" w:color="4F81BD"/>
            </w:tcBorders>
            <w:vAlign w:val="center"/>
          </w:tcPr>
          <w:p w14:paraId="51E79ECD" w14:textId="77777777" w:rsidR="0029427C" w:rsidRPr="003351E6" w:rsidRDefault="00CD24A0">
            <w:pPr>
              <w:spacing w:after="0" w:line="259" w:lineRule="auto"/>
              <w:ind w:left="118" w:firstLine="0"/>
              <w:jc w:val="center"/>
            </w:pPr>
            <w:r w:rsidRPr="003351E6">
              <w:rPr>
                <w:rFonts w:eastAsia="Corbel"/>
                <w:b/>
              </w:rPr>
              <w:t xml:space="preserve">Due </w:t>
            </w:r>
          </w:p>
        </w:tc>
        <w:tc>
          <w:tcPr>
            <w:tcW w:w="467" w:type="dxa"/>
            <w:tcBorders>
              <w:top w:val="single" w:sz="8" w:space="0" w:color="4F81BD"/>
              <w:left w:val="single" w:sz="8" w:space="0" w:color="4F81BD"/>
              <w:bottom w:val="single" w:sz="8" w:space="0" w:color="4F81BD"/>
              <w:right w:val="nil"/>
            </w:tcBorders>
          </w:tcPr>
          <w:p w14:paraId="3DC4111D" w14:textId="77777777" w:rsidR="0029427C" w:rsidRPr="003351E6" w:rsidRDefault="0029427C">
            <w:pPr>
              <w:spacing w:after="160" w:line="259" w:lineRule="auto"/>
              <w:ind w:left="0" w:firstLine="0"/>
            </w:pPr>
          </w:p>
        </w:tc>
        <w:tc>
          <w:tcPr>
            <w:tcW w:w="4028" w:type="dxa"/>
            <w:tcBorders>
              <w:top w:val="single" w:sz="8" w:space="0" w:color="4F81BD"/>
              <w:left w:val="nil"/>
              <w:bottom w:val="single" w:sz="8" w:space="0" w:color="4F81BD"/>
              <w:right w:val="single" w:sz="8" w:space="0" w:color="4F81BD"/>
            </w:tcBorders>
            <w:vAlign w:val="center"/>
          </w:tcPr>
          <w:p w14:paraId="25D15BEE" w14:textId="77777777" w:rsidR="0029427C" w:rsidRPr="003351E6" w:rsidRDefault="00CD24A0">
            <w:pPr>
              <w:spacing w:after="0" w:line="259" w:lineRule="auto"/>
              <w:ind w:left="1347" w:firstLine="0"/>
            </w:pPr>
            <w:r w:rsidRPr="003351E6">
              <w:rPr>
                <w:rFonts w:eastAsia="Corbel"/>
                <w:b/>
              </w:rPr>
              <w:t xml:space="preserve">Payment </w:t>
            </w:r>
          </w:p>
        </w:tc>
      </w:tr>
      <w:tr w:rsidR="0029427C" w:rsidRPr="003351E6" w14:paraId="0C27A1BF" w14:textId="77777777">
        <w:trPr>
          <w:trHeight w:val="1771"/>
        </w:trPr>
        <w:tc>
          <w:tcPr>
            <w:tcW w:w="5797" w:type="dxa"/>
            <w:tcBorders>
              <w:top w:val="single" w:sz="8" w:space="0" w:color="4F81BD"/>
              <w:left w:val="single" w:sz="8" w:space="0" w:color="4F81BD"/>
              <w:bottom w:val="single" w:sz="8" w:space="0" w:color="4F81BD"/>
              <w:right w:val="single" w:sz="8" w:space="0" w:color="4F81BD"/>
            </w:tcBorders>
          </w:tcPr>
          <w:p w14:paraId="529B4847" w14:textId="77777777" w:rsidR="0029427C" w:rsidRPr="003351E6" w:rsidRDefault="00CD24A0">
            <w:pPr>
              <w:spacing w:after="59" w:line="259" w:lineRule="auto"/>
              <w:ind w:left="107" w:firstLine="0"/>
            </w:pPr>
            <w:r w:rsidRPr="003351E6">
              <w:rPr>
                <w:rFonts w:eastAsia="Corbel"/>
                <w:b/>
              </w:rPr>
              <w:t xml:space="preserve">Performance Milestone 1  </w:t>
            </w:r>
          </w:p>
          <w:p w14:paraId="2A30AF39" w14:textId="77777777" w:rsidR="0029427C" w:rsidRPr="003351E6" w:rsidRDefault="00CD24A0">
            <w:pPr>
              <w:spacing w:after="59" w:line="259" w:lineRule="auto"/>
              <w:ind w:left="107" w:firstLine="0"/>
            </w:pPr>
            <w:r w:rsidRPr="003351E6">
              <w:rPr>
                <w:rFonts w:eastAsia="Corbel"/>
              </w:rPr>
              <w:t xml:space="preserve">States agree and sign up to the Deed of Variation. </w:t>
            </w:r>
          </w:p>
          <w:p w14:paraId="28BEF8F9" w14:textId="77777777" w:rsidR="0029427C" w:rsidRPr="003351E6" w:rsidRDefault="00CD24A0">
            <w:pPr>
              <w:spacing w:after="57" w:line="259" w:lineRule="auto"/>
              <w:ind w:left="107" w:firstLine="0"/>
            </w:pPr>
            <w:r w:rsidRPr="003351E6">
              <w:rPr>
                <w:rFonts w:eastAsia="Corbel"/>
              </w:rPr>
              <w:t xml:space="preserve"> </w:t>
            </w:r>
          </w:p>
          <w:p w14:paraId="41622513" w14:textId="77777777" w:rsidR="0029427C" w:rsidRPr="003351E6" w:rsidRDefault="00CD24A0">
            <w:pPr>
              <w:spacing w:after="0" w:line="259" w:lineRule="auto"/>
              <w:ind w:left="107" w:firstLine="0"/>
            </w:pPr>
            <w:r w:rsidRPr="003351E6">
              <w:rPr>
                <w:rFonts w:eastAsia="Corbel"/>
              </w:rPr>
              <w:t xml:space="preserve">Commonwealth and States senior officials agree to the FFTT2 Implementation Plan.  </w:t>
            </w:r>
          </w:p>
        </w:tc>
        <w:tc>
          <w:tcPr>
            <w:tcW w:w="4255" w:type="dxa"/>
            <w:tcBorders>
              <w:top w:val="single" w:sz="8" w:space="0" w:color="4F81BD"/>
              <w:left w:val="single" w:sz="8" w:space="0" w:color="4F81BD"/>
              <w:bottom w:val="single" w:sz="8" w:space="0" w:color="4F81BD"/>
              <w:right w:val="single" w:sz="8" w:space="0" w:color="4F81BD"/>
            </w:tcBorders>
            <w:vAlign w:val="center"/>
          </w:tcPr>
          <w:p w14:paraId="6D3521B7" w14:textId="77777777" w:rsidR="0029427C" w:rsidRPr="003351E6" w:rsidRDefault="00CD24A0">
            <w:pPr>
              <w:spacing w:after="0" w:line="259" w:lineRule="auto"/>
              <w:ind w:left="116" w:firstLine="0"/>
              <w:jc w:val="center"/>
            </w:pPr>
            <w:r w:rsidRPr="003351E6">
              <w:rPr>
                <w:rFonts w:eastAsia="Corbel"/>
              </w:rPr>
              <w:t xml:space="preserve">Within 30 days of signing this Deed of </w:t>
            </w:r>
          </w:p>
          <w:p w14:paraId="2A5B6530" w14:textId="77777777" w:rsidR="0029427C" w:rsidRPr="003351E6" w:rsidRDefault="00CD24A0">
            <w:pPr>
              <w:spacing w:after="0" w:line="259" w:lineRule="auto"/>
              <w:ind w:left="81" w:firstLine="0"/>
              <w:jc w:val="center"/>
            </w:pPr>
            <w:r w:rsidRPr="003351E6">
              <w:rPr>
                <w:rFonts w:eastAsia="Corbel"/>
              </w:rPr>
              <w:t xml:space="preserve">Variation or 1 January 2024, whichever is later </w:t>
            </w:r>
          </w:p>
        </w:tc>
        <w:tc>
          <w:tcPr>
            <w:tcW w:w="467" w:type="dxa"/>
            <w:tcBorders>
              <w:top w:val="single" w:sz="8" w:space="0" w:color="4F81BD"/>
              <w:left w:val="single" w:sz="8" w:space="0" w:color="4F81BD"/>
              <w:bottom w:val="single" w:sz="8" w:space="0" w:color="4F81BD"/>
              <w:right w:val="nil"/>
            </w:tcBorders>
          </w:tcPr>
          <w:p w14:paraId="0F45B815" w14:textId="6BC42823" w:rsidR="0029427C" w:rsidRPr="003351E6" w:rsidRDefault="00CD24A0">
            <w:pPr>
              <w:spacing w:after="0" w:line="259" w:lineRule="auto"/>
              <w:ind w:left="108" w:firstLine="0"/>
            </w:pPr>
            <w:r w:rsidRPr="003351E6">
              <w:rPr>
                <w:rFonts w:eastAsia="Arial"/>
              </w:rPr>
              <w:t xml:space="preserve"> </w:t>
            </w:r>
          </w:p>
        </w:tc>
        <w:tc>
          <w:tcPr>
            <w:tcW w:w="4028" w:type="dxa"/>
            <w:tcBorders>
              <w:top w:val="single" w:sz="8" w:space="0" w:color="4F81BD"/>
              <w:left w:val="nil"/>
              <w:bottom w:val="single" w:sz="8" w:space="0" w:color="4F81BD"/>
              <w:right w:val="single" w:sz="8" w:space="0" w:color="4F81BD"/>
            </w:tcBorders>
            <w:vAlign w:val="center"/>
          </w:tcPr>
          <w:p w14:paraId="00B3C8B6" w14:textId="3CC1A42D" w:rsidR="0029427C" w:rsidRPr="003351E6" w:rsidRDefault="00B00929" w:rsidP="00845E32">
            <w:pPr>
              <w:spacing w:after="0" w:line="259" w:lineRule="auto"/>
            </w:pPr>
            <w:r w:rsidRPr="003351E6">
              <w:rPr>
                <w:rFonts w:eastAsia="Segoe UI Symbol"/>
              </w:rPr>
              <w:t>•</w:t>
            </w:r>
            <w:r>
              <w:rPr>
                <w:rFonts w:eastAsia="Segoe UI Symbol"/>
              </w:rPr>
              <w:t xml:space="preserve"> </w:t>
            </w:r>
            <w:r w:rsidR="00CD24A0" w:rsidRPr="003351E6">
              <w:rPr>
                <w:rFonts w:eastAsia="Corbel"/>
              </w:rPr>
              <w:t xml:space="preserve">A first payment of 40% of the State’s FFTT2 funding. </w:t>
            </w:r>
          </w:p>
        </w:tc>
      </w:tr>
      <w:tr w:rsidR="0029427C" w:rsidRPr="003351E6" w14:paraId="3ACF3A8B" w14:textId="77777777">
        <w:trPr>
          <w:trHeight w:val="1649"/>
        </w:trPr>
        <w:tc>
          <w:tcPr>
            <w:tcW w:w="5797" w:type="dxa"/>
            <w:tcBorders>
              <w:top w:val="single" w:sz="8" w:space="0" w:color="4F81BD"/>
              <w:left w:val="single" w:sz="8" w:space="0" w:color="4F81BD"/>
              <w:bottom w:val="single" w:sz="8" w:space="0" w:color="4F81BD"/>
              <w:right w:val="single" w:sz="8" w:space="0" w:color="4F81BD"/>
            </w:tcBorders>
          </w:tcPr>
          <w:p w14:paraId="6774D5A2" w14:textId="77777777" w:rsidR="0029427C" w:rsidRPr="003351E6" w:rsidRDefault="00CD24A0">
            <w:pPr>
              <w:spacing w:after="59" w:line="259" w:lineRule="auto"/>
              <w:ind w:left="107" w:firstLine="0"/>
            </w:pPr>
            <w:r w:rsidRPr="003351E6">
              <w:rPr>
                <w:rFonts w:eastAsia="Corbel"/>
                <w:b/>
              </w:rPr>
              <w:t xml:space="preserve">Performance Milestone 2  </w:t>
            </w:r>
          </w:p>
          <w:p w14:paraId="08348481" w14:textId="77777777" w:rsidR="0029427C" w:rsidRPr="003351E6" w:rsidRDefault="00CD24A0">
            <w:pPr>
              <w:spacing w:after="0" w:line="259" w:lineRule="auto"/>
              <w:ind w:left="107" w:firstLine="0"/>
            </w:pPr>
            <w:r w:rsidRPr="003351E6">
              <w:rPr>
                <w:rFonts w:eastAsia="Corbel"/>
              </w:rPr>
              <w:t xml:space="preserve">The State has provided quarterly reporting consistent with Part 3 of this Schedule which shows that the value of enrolments in eligible training places in the jurisdiction has reached a minimum of 40 per cent of the FFTT2 </w:t>
            </w:r>
            <w:r w:rsidRPr="003351E6">
              <w:t>expenditure.</w:t>
            </w:r>
            <w:r w:rsidRPr="003351E6">
              <w:rPr>
                <w:rFonts w:eastAsia="Corbel"/>
                <w:b/>
              </w:rPr>
              <w:t xml:space="preserve"> </w:t>
            </w:r>
          </w:p>
        </w:tc>
        <w:tc>
          <w:tcPr>
            <w:tcW w:w="4255" w:type="dxa"/>
            <w:tcBorders>
              <w:top w:val="single" w:sz="8" w:space="0" w:color="4F81BD"/>
              <w:left w:val="single" w:sz="8" w:space="0" w:color="4F81BD"/>
              <w:bottom w:val="single" w:sz="8" w:space="0" w:color="4F81BD"/>
              <w:right w:val="single" w:sz="8" w:space="0" w:color="4F81BD"/>
            </w:tcBorders>
            <w:vAlign w:val="center"/>
          </w:tcPr>
          <w:p w14:paraId="61CC0029" w14:textId="77777777" w:rsidR="0029427C" w:rsidRPr="003351E6" w:rsidRDefault="00CD24A0">
            <w:pPr>
              <w:spacing w:after="0" w:line="259" w:lineRule="auto"/>
              <w:ind w:left="118" w:firstLine="0"/>
              <w:jc w:val="center"/>
            </w:pPr>
            <w:r w:rsidRPr="003351E6">
              <w:rPr>
                <w:rFonts w:eastAsia="Corbel"/>
              </w:rPr>
              <w:t xml:space="preserve">Estimated for July 2025 </w:t>
            </w:r>
          </w:p>
        </w:tc>
        <w:tc>
          <w:tcPr>
            <w:tcW w:w="467" w:type="dxa"/>
            <w:tcBorders>
              <w:top w:val="single" w:sz="8" w:space="0" w:color="4F81BD"/>
              <w:left w:val="single" w:sz="8" w:space="0" w:color="4F81BD"/>
              <w:bottom w:val="single" w:sz="8" w:space="0" w:color="4F81BD"/>
              <w:right w:val="nil"/>
            </w:tcBorders>
          </w:tcPr>
          <w:p w14:paraId="6A2F00AE" w14:textId="24EF94DF" w:rsidR="0029427C" w:rsidRPr="003351E6" w:rsidRDefault="0029427C">
            <w:pPr>
              <w:spacing w:after="0" w:line="259" w:lineRule="auto"/>
              <w:ind w:left="108" w:firstLine="0"/>
            </w:pPr>
          </w:p>
        </w:tc>
        <w:tc>
          <w:tcPr>
            <w:tcW w:w="4028" w:type="dxa"/>
            <w:tcBorders>
              <w:top w:val="single" w:sz="8" w:space="0" w:color="4F81BD"/>
              <w:left w:val="nil"/>
              <w:bottom w:val="single" w:sz="8" w:space="0" w:color="4F81BD"/>
              <w:right w:val="single" w:sz="8" w:space="0" w:color="4F81BD"/>
            </w:tcBorders>
            <w:vAlign w:val="center"/>
          </w:tcPr>
          <w:p w14:paraId="283A009C" w14:textId="0FA3CF0B" w:rsidR="0029427C" w:rsidRPr="003351E6" w:rsidRDefault="00B00929">
            <w:pPr>
              <w:spacing w:after="0" w:line="259" w:lineRule="auto"/>
              <w:ind w:left="0" w:firstLine="0"/>
            </w:pPr>
            <w:r w:rsidRPr="003351E6">
              <w:rPr>
                <w:rFonts w:eastAsia="Segoe UI Symbol"/>
              </w:rPr>
              <w:t>•</w:t>
            </w:r>
            <w:r>
              <w:rPr>
                <w:rFonts w:eastAsia="Segoe UI Symbol"/>
              </w:rPr>
              <w:t xml:space="preserve"> </w:t>
            </w:r>
            <w:r w:rsidR="00CD24A0" w:rsidRPr="003351E6">
              <w:rPr>
                <w:rFonts w:eastAsia="Corbel"/>
              </w:rPr>
              <w:t xml:space="preserve">A second payment of 30% of the State’s </w:t>
            </w:r>
          </w:p>
          <w:p w14:paraId="54361BA4" w14:textId="77777777" w:rsidR="0029427C" w:rsidRPr="003351E6" w:rsidRDefault="00CD24A0">
            <w:pPr>
              <w:spacing w:after="0" w:line="259" w:lineRule="auto"/>
              <w:ind w:left="0" w:firstLine="0"/>
            </w:pPr>
            <w:r w:rsidRPr="003351E6">
              <w:rPr>
                <w:rFonts w:eastAsia="Corbel"/>
              </w:rPr>
              <w:t xml:space="preserve">FFTT2 funding, </w:t>
            </w:r>
            <w:r w:rsidRPr="003351E6">
              <w:t>based on achievement of 40% of the total expenditure of FFTT2 funds.</w:t>
            </w:r>
            <w:r w:rsidRPr="003351E6">
              <w:rPr>
                <w:rFonts w:eastAsia="Corbel"/>
              </w:rPr>
              <w:t xml:space="preserve"> </w:t>
            </w:r>
          </w:p>
        </w:tc>
      </w:tr>
      <w:tr w:rsidR="0029427C" w:rsidRPr="003351E6" w14:paraId="248D441C" w14:textId="77777777">
        <w:trPr>
          <w:trHeight w:val="1649"/>
        </w:trPr>
        <w:tc>
          <w:tcPr>
            <w:tcW w:w="5797" w:type="dxa"/>
            <w:tcBorders>
              <w:top w:val="single" w:sz="8" w:space="0" w:color="4F81BD"/>
              <w:left w:val="single" w:sz="8" w:space="0" w:color="4F81BD"/>
              <w:bottom w:val="single" w:sz="8" w:space="0" w:color="4F81BD"/>
              <w:right w:val="single" w:sz="8" w:space="0" w:color="4F81BD"/>
            </w:tcBorders>
          </w:tcPr>
          <w:p w14:paraId="3B05C9C7" w14:textId="77777777" w:rsidR="0029427C" w:rsidRPr="003351E6" w:rsidRDefault="00CD24A0">
            <w:pPr>
              <w:spacing w:after="59" w:line="259" w:lineRule="auto"/>
              <w:ind w:left="107" w:firstLine="0"/>
            </w:pPr>
            <w:r w:rsidRPr="003351E6">
              <w:rPr>
                <w:rFonts w:eastAsia="Corbel"/>
                <w:b/>
              </w:rPr>
              <w:t xml:space="preserve">Performance Milestone 3  </w:t>
            </w:r>
          </w:p>
          <w:p w14:paraId="681AA49E" w14:textId="77777777" w:rsidR="0029427C" w:rsidRPr="003351E6" w:rsidRDefault="00CD24A0">
            <w:pPr>
              <w:spacing w:after="0" w:line="259" w:lineRule="auto"/>
              <w:ind w:left="107" w:firstLine="0"/>
            </w:pPr>
            <w:r w:rsidRPr="003351E6">
              <w:rPr>
                <w:rFonts w:eastAsia="Corbel"/>
              </w:rPr>
              <w:t xml:space="preserve">The State has provided quarterly reporting consistent with Part 3 of this Schedule which shows that the value of enrolments in eligible training places in the jurisdiction has reached a minimum of 70 per cent of the FFTT2 </w:t>
            </w:r>
            <w:r w:rsidRPr="003351E6">
              <w:t xml:space="preserve">expenditure. </w:t>
            </w:r>
            <w:r w:rsidRPr="003351E6">
              <w:rPr>
                <w:rFonts w:eastAsia="Corbel"/>
                <w:b/>
              </w:rPr>
              <w:t xml:space="preserve"> </w:t>
            </w:r>
          </w:p>
        </w:tc>
        <w:tc>
          <w:tcPr>
            <w:tcW w:w="4255" w:type="dxa"/>
            <w:tcBorders>
              <w:top w:val="single" w:sz="8" w:space="0" w:color="4F81BD"/>
              <w:left w:val="single" w:sz="8" w:space="0" w:color="4F81BD"/>
              <w:bottom w:val="single" w:sz="8" w:space="0" w:color="4F81BD"/>
              <w:right w:val="single" w:sz="8" w:space="0" w:color="4F81BD"/>
            </w:tcBorders>
            <w:vAlign w:val="center"/>
          </w:tcPr>
          <w:p w14:paraId="612A2C9E" w14:textId="77777777" w:rsidR="0029427C" w:rsidRPr="003351E6" w:rsidRDefault="00CD24A0">
            <w:pPr>
              <w:spacing w:after="0" w:line="259" w:lineRule="auto"/>
              <w:ind w:left="116" w:firstLine="0"/>
              <w:jc w:val="center"/>
            </w:pPr>
            <w:r w:rsidRPr="003351E6">
              <w:rPr>
                <w:rFonts w:eastAsia="Corbel"/>
              </w:rPr>
              <w:t xml:space="preserve">Estimated for December 2026 </w:t>
            </w:r>
          </w:p>
        </w:tc>
        <w:tc>
          <w:tcPr>
            <w:tcW w:w="467" w:type="dxa"/>
            <w:tcBorders>
              <w:top w:val="single" w:sz="8" w:space="0" w:color="4F81BD"/>
              <w:left w:val="single" w:sz="8" w:space="0" w:color="4F81BD"/>
              <w:bottom w:val="single" w:sz="8" w:space="0" w:color="4F81BD"/>
              <w:right w:val="nil"/>
            </w:tcBorders>
          </w:tcPr>
          <w:p w14:paraId="29FEA6D4" w14:textId="348E6958" w:rsidR="0029427C" w:rsidRPr="003351E6" w:rsidRDefault="0029427C">
            <w:pPr>
              <w:spacing w:after="0" w:line="259" w:lineRule="auto"/>
              <w:ind w:left="108" w:firstLine="0"/>
            </w:pPr>
          </w:p>
        </w:tc>
        <w:tc>
          <w:tcPr>
            <w:tcW w:w="4028" w:type="dxa"/>
            <w:tcBorders>
              <w:top w:val="single" w:sz="8" w:space="0" w:color="4F81BD"/>
              <w:left w:val="nil"/>
              <w:bottom w:val="single" w:sz="8" w:space="0" w:color="4F81BD"/>
              <w:right w:val="single" w:sz="8" w:space="0" w:color="4F81BD"/>
            </w:tcBorders>
            <w:vAlign w:val="center"/>
          </w:tcPr>
          <w:p w14:paraId="2952EF67" w14:textId="30B9AC8F" w:rsidR="0029427C" w:rsidRPr="003351E6" w:rsidRDefault="00B00929">
            <w:pPr>
              <w:spacing w:after="0" w:line="259" w:lineRule="auto"/>
              <w:ind w:left="1" w:firstLine="0"/>
            </w:pPr>
            <w:r w:rsidRPr="003351E6">
              <w:rPr>
                <w:rFonts w:eastAsia="Segoe UI Symbol"/>
              </w:rPr>
              <w:t>•</w:t>
            </w:r>
            <w:r>
              <w:rPr>
                <w:rFonts w:eastAsia="Segoe UI Symbol"/>
              </w:rPr>
              <w:t xml:space="preserve"> </w:t>
            </w:r>
            <w:r w:rsidR="00CD24A0" w:rsidRPr="003351E6">
              <w:rPr>
                <w:rFonts w:eastAsia="Corbel"/>
              </w:rPr>
              <w:t xml:space="preserve">A final payment of 30% of the State’s </w:t>
            </w:r>
          </w:p>
          <w:p w14:paraId="6DB71AD5" w14:textId="77777777" w:rsidR="0029427C" w:rsidRPr="003351E6" w:rsidRDefault="00CD24A0">
            <w:pPr>
              <w:spacing w:after="0" w:line="259" w:lineRule="auto"/>
              <w:ind w:left="1" w:firstLine="0"/>
            </w:pPr>
            <w:r w:rsidRPr="003351E6">
              <w:rPr>
                <w:rFonts w:eastAsia="Corbel"/>
              </w:rPr>
              <w:t xml:space="preserve">FFTT2 funding, </w:t>
            </w:r>
            <w:r w:rsidRPr="003351E6">
              <w:t xml:space="preserve">based on achievement of 70% of the total expenditure of FFTT2 funds. </w:t>
            </w:r>
            <w:r w:rsidRPr="003351E6">
              <w:rPr>
                <w:rFonts w:eastAsia="Corbel"/>
              </w:rPr>
              <w:t xml:space="preserve"> </w:t>
            </w:r>
          </w:p>
        </w:tc>
      </w:tr>
    </w:tbl>
    <w:p w14:paraId="313FB6D2" w14:textId="5A1A32A3" w:rsidR="00C52662" w:rsidRDefault="00CD24A0">
      <w:pPr>
        <w:spacing w:after="0" w:line="259" w:lineRule="auto"/>
        <w:ind w:left="0" w:firstLine="0"/>
        <w:jc w:val="both"/>
      </w:pPr>
      <w:r w:rsidRPr="003351E6">
        <w:t xml:space="preserve"> </w:t>
      </w:r>
      <w:r w:rsidRPr="003351E6">
        <w:tab/>
      </w:r>
    </w:p>
    <w:p w14:paraId="096CC81C" w14:textId="7707FB46" w:rsidR="00DE7168" w:rsidRDefault="00DE7168">
      <w:pPr>
        <w:spacing w:after="160" w:line="278" w:lineRule="auto"/>
        <w:ind w:left="0" w:firstLine="0"/>
      </w:pPr>
      <w:r>
        <w:br w:type="page"/>
      </w:r>
    </w:p>
    <w:p w14:paraId="083FB34E" w14:textId="77777777" w:rsidR="00DE7168" w:rsidRPr="003351E6" w:rsidRDefault="00DE7168">
      <w:pPr>
        <w:spacing w:after="0" w:line="259" w:lineRule="auto"/>
        <w:ind w:left="0" w:firstLine="0"/>
        <w:jc w:val="both"/>
      </w:pPr>
    </w:p>
    <w:tbl>
      <w:tblPr>
        <w:tblStyle w:val="TableGrid1"/>
        <w:tblW w:w="14586" w:type="dxa"/>
        <w:tblInd w:w="13" w:type="dxa"/>
        <w:tblCellMar>
          <w:top w:w="113" w:type="dxa"/>
          <w:left w:w="107" w:type="dxa"/>
          <w:right w:w="64" w:type="dxa"/>
        </w:tblCellMar>
        <w:tblLook w:val="04A0" w:firstRow="1" w:lastRow="0" w:firstColumn="1" w:lastColumn="0" w:noHBand="0" w:noVBand="1"/>
      </w:tblPr>
      <w:tblGrid>
        <w:gridCol w:w="6385"/>
        <w:gridCol w:w="1705"/>
        <w:gridCol w:w="6496"/>
      </w:tblGrid>
      <w:tr w:rsidR="0029427C" w:rsidRPr="003351E6" w14:paraId="44EA4A31" w14:textId="77777777" w:rsidTr="00827A56">
        <w:trPr>
          <w:trHeight w:val="1704"/>
        </w:trPr>
        <w:tc>
          <w:tcPr>
            <w:tcW w:w="6385" w:type="dxa"/>
            <w:tcBorders>
              <w:top w:val="single" w:sz="8" w:space="0" w:color="4F81BD"/>
              <w:left w:val="single" w:sz="8" w:space="0" w:color="4F81BD"/>
              <w:bottom w:val="single" w:sz="8" w:space="0" w:color="4F81BD"/>
              <w:right w:val="single" w:sz="8" w:space="0" w:color="4F81BD"/>
            </w:tcBorders>
            <w:shd w:val="clear" w:color="auto" w:fill="E7E6E6"/>
            <w:vAlign w:val="center"/>
          </w:tcPr>
          <w:p w14:paraId="2C9344E9" w14:textId="6FBEC508" w:rsidR="0029427C" w:rsidRPr="003351E6" w:rsidRDefault="00CD24A0">
            <w:pPr>
              <w:spacing w:after="79" w:line="259" w:lineRule="auto"/>
              <w:ind w:left="0" w:firstLine="0"/>
              <w:jc w:val="both"/>
            </w:pPr>
            <w:r w:rsidRPr="003351E6">
              <w:rPr>
                <w:rFonts w:eastAsia="Corbel"/>
                <w:b/>
              </w:rPr>
              <w:t xml:space="preserve">Milestones and Payments – TAFE Technology Fund Committed Projects (Appendix B) </w:t>
            </w:r>
          </w:p>
          <w:p w14:paraId="28C75C76" w14:textId="77777777" w:rsidR="0029427C" w:rsidRPr="003351E6" w:rsidRDefault="00CD24A0">
            <w:pPr>
              <w:spacing w:after="0" w:line="259" w:lineRule="auto"/>
              <w:ind w:left="0" w:firstLine="0"/>
            </w:pPr>
            <w:r w:rsidRPr="003351E6">
              <w:rPr>
                <w:rFonts w:eastAsia="Corbel"/>
                <w:b/>
                <w:i/>
              </w:rPr>
              <w:t xml:space="preserve">*Performance Milestones for projects agreed from the TAFE Technology Funding Pool will be considered in the application assessment process. </w:t>
            </w:r>
          </w:p>
        </w:tc>
        <w:tc>
          <w:tcPr>
            <w:tcW w:w="1705" w:type="dxa"/>
            <w:tcBorders>
              <w:top w:val="single" w:sz="8" w:space="0" w:color="4F81BD"/>
              <w:left w:val="single" w:sz="8" w:space="0" w:color="4F81BD"/>
              <w:bottom w:val="single" w:sz="8" w:space="0" w:color="4F81BD"/>
              <w:right w:val="single" w:sz="8" w:space="0" w:color="4F81BD"/>
            </w:tcBorders>
            <w:shd w:val="clear" w:color="auto" w:fill="E7E6E6"/>
          </w:tcPr>
          <w:p w14:paraId="0332EF17" w14:textId="77777777" w:rsidR="0029427C" w:rsidRPr="003351E6" w:rsidRDefault="00CD24A0">
            <w:pPr>
              <w:spacing w:after="0" w:line="259" w:lineRule="auto"/>
              <w:ind w:left="0" w:firstLine="0"/>
            </w:pPr>
            <w:r w:rsidRPr="003351E6">
              <w:rPr>
                <w:rFonts w:eastAsia="Corbel"/>
                <w:b/>
              </w:rPr>
              <w:t xml:space="preserve">Due </w:t>
            </w:r>
          </w:p>
        </w:tc>
        <w:tc>
          <w:tcPr>
            <w:tcW w:w="6496" w:type="dxa"/>
            <w:tcBorders>
              <w:top w:val="single" w:sz="8" w:space="0" w:color="4F81BD"/>
              <w:left w:val="single" w:sz="8" w:space="0" w:color="4F81BD"/>
              <w:bottom w:val="single" w:sz="8" w:space="0" w:color="4F81BD"/>
              <w:right w:val="single" w:sz="8" w:space="0" w:color="4F81BD"/>
            </w:tcBorders>
            <w:shd w:val="clear" w:color="auto" w:fill="E7E6E6"/>
          </w:tcPr>
          <w:p w14:paraId="540AFF20" w14:textId="77777777" w:rsidR="0029427C" w:rsidRPr="003351E6" w:rsidRDefault="00CD24A0">
            <w:pPr>
              <w:spacing w:after="0" w:line="259" w:lineRule="auto"/>
              <w:ind w:left="1" w:firstLine="0"/>
            </w:pPr>
            <w:r w:rsidRPr="003351E6">
              <w:rPr>
                <w:rFonts w:eastAsia="Corbel"/>
                <w:b/>
              </w:rPr>
              <w:t xml:space="preserve">Payment </w:t>
            </w:r>
          </w:p>
        </w:tc>
      </w:tr>
      <w:tr w:rsidR="0029427C" w:rsidRPr="003351E6" w14:paraId="097106EB" w14:textId="77777777" w:rsidTr="00827A56">
        <w:trPr>
          <w:trHeight w:val="1751"/>
        </w:trPr>
        <w:tc>
          <w:tcPr>
            <w:tcW w:w="6385" w:type="dxa"/>
            <w:tcBorders>
              <w:top w:val="single" w:sz="8" w:space="0" w:color="4F81BD"/>
              <w:left w:val="single" w:sz="8" w:space="0" w:color="4F81BD"/>
              <w:bottom w:val="single" w:sz="8" w:space="0" w:color="4F81BD"/>
              <w:right w:val="single" w:sz="8" w:space="0" w:color="4F81BD"/>
            </w:tcBorders>
          </w:tcPr>
          <w:p w14:paraId="6B2D02EE" w14:textId="77777777" w:rsidR="0029427C" w:rsidRPr="003351E6" w:rsidRDefault="00CD24A0">
            <w:pPr>
              <w:spacing w:after="59" w:line="259" w:lineRule="auto"/>
              <w:ind w:left="0" w:firstLine="0"/>
            </w:pPr>
            <w:r w:rsidRPr="003351E6">
              <w:rPr>
                <w:rFonts w:eastAsia="Corbel"/>
                <w:b/>
              </w:rPr>
              <w:t xml:space="preserve">Performance Milestone 1  </w:t>
            </w:r>
          </w:p>
          <w:p w14:paraId="38D64917" w14:textId="77777777" w:rsidR="0029427C" w:rsidRPr="003351E6" w:rsidRDefault="00CD24A0">
            <w:pPr>
              <w:spacing w:after="60" w:line="259" w:lineRule="auto"/>
              <w:ind w:left="0" w:firstLine="0"/>
            </w:pPr>
            <w:r w:rsidRPr="003351E6">
              <w:rPr>
                <w:rFonts w:eastAsia="Corbel"/>
              </w:rPr>
              <w:t xml:space="preserve">States and Commonwealth agreement to (individual) TAFE Technology Fund Project Plan(s).   </w:t>
            </w:r>
          </w:p>
          <w:p w14:paraId="0FBECF1A" w14:textId="77777777" w:rsidR="0029427C" w:rsidRPr="003351E6" w:rsidRDefault="00CD24A0">
            <w:pPr>
              <w:spacing w:after="57" w:line="259" w:lineRule="auto"/>
              <w:ind w:left="0" w:firstLine="0"/>
            </w:pPr>
            <w:r w:rsidRPr="003351E6">
              <w:rPr>
                <w:rFonts w:eastAsia="Corbel"/>
              </w:rPr>
              <w:t xml:space="preserve"> </w:t>
            </w:r>
          </w:p>
          <w:p w14:paraId="261BC075" w14:textId="77777777" w:rsidR="0029427C" w:rsidRPr="003351E6" w:rsidRDefault="00CD24A0">
            <w:pPr>
              <w:spacing w:after="0" w:line="259" w:lineRule="auto"/>
              <w:ind w:left="0" w:firstLine="0"/>
            </w:pPr>
            <w:r w:rsidRPr="003351E6">
              <w:rPr>
                <w:rFonts w:eastAsia="Corbel"/>
              </w:rPr>
              <w:t xml:space="preserve">State and territory and Commonwealth senior officials will agree to (individual) TAFE Technology Fund Project Plan(s).   </w:t>
            </w:r>
          </w:p>
        </w:tc>
        <w:tc>
          <w:tcPr>
            <w:tcW w:w="1705" w:type="dxa"/>
            <w:tcBorders>
              <w:top w:val="single" w:sz="8" w:space="0" w:color="4F81BD"/>
              <w:left w:val="single" w:sz="8" w:space="0" w:color="4F81BD"/>
              <w:bottom w:val="single" w:sz="8" w:space="0" w:color="4F81BD"/>
              <w:right w:val="single" w:sz="8" w:space="0" w:color="4F81BD"/>
            </w:tcBorders>
            <w:vAlign w:val="center"/>
          </w:tcPr>
          <w:p w14:paraId="11B32232" w14:textId="77777777" w:rsidR="0029427C" w:rsidRPr="003351E6" w:rsidRDefault="00CD24A0">
            <w:pPr>
              <w:spacing w:after="0" w:line="259" w:lineRule="auto"/>
              <w:ind w:left="0" w:firstLine="0"/>
            </w:pPr>
            <w:r w:rsidRPr="003351E6">
              <w:rPr>
                <w:rFonts w:eastAsia="Corbel"/>
              </w:rPr>
              <w:t xml:space="preserve">From 31 March </w:t>
            </w:r>
          </w:p>
          <w:p w14:paraId="20339BE7" w14:textId="77777777" w:rsidR="0029427C" w:rsidRPr="003351E6" w:rsidRDefault="00CD24A0">
            <w:pPr>
              <w:spacing w:after="0" w:line="259" w:lineRule="auto"/>
              <w:ind w:left="0" w:firstLine="0"/>
            </w:pPr>
            <w:r w:rsidRPr="003351E6">
              <w:rPr>
                <w:rFonts w:eastAsia="Corbel"/>
              </w:rPr>
              <w:t xml:space="preserve">2023 </w:t>
            </w:r>
          </w:p>
        </w:tc>
        <w:tc>
          <w:tcPr>
            <w:tcW w:w="6496" w:type="dxa"/>
            <w:tcBorders>
              <w:top w:val="single" w:sz="8" w:space="0" w:color="4F81BD"/>
              <w:left w:val="single" w:sz="8" w:space="0" w:color="4F81BD"/>
              <w:bottom w:val="single" w:sz="8" w:space="0" w:color="4F81BD"/>
              <w:right w:val="single" w:sz="8" w:space="0" w:color="4F81BD"/>
            </w:tcBorders>
            <w:vAlign w:val="center"/>
          </w:tcPr>
          <w:p w14:paraId="76F0A82F" w14:textId="77777777" w:rsidR="0029427C" w:rsidRPr="003351E6" w:rsidRDefault="00CD24A0">
            <w:pPr>
              <w:spacing w:after="0" w:line="259" w:lineRule="auto"/>
              <w:ind w:left="1" w:firstLine="0"/>
            </w:pPr>
            <w:r w:rsidRPr="003351E6">
              <w:t>70% allocation for TAFE Technology Fund project.</w:t>
            </w:r>
            <w:r w:rsidRPr="003351E6">
              <w:rPr>
                <w:rFonts w:eastAsia="Corbel"/>
              </w:rPr>
              <w:t xml:space="preserve"> </w:t>
            </w:r>
          </w:p>
        </w:tc>
      </w:tr>
      <w:tr w:rsidR="0029427C" w:rsidRPr="003351E6" w14:paraId="62892A67" w14:textId="77777777" w:rsidTr="00827A56">
        <w:trPr>
          <w:trHeight w:val="2390"/>
        </w:trPr>
        <w:tc>
          <w:tcPr>
            <w:tcW w:w="6385" w:type="dxa"/>
            <w:tcBorders>
              <w:top w:val="single" w:sz="8" w:space="0" w:color="4F81BD"/>
              <w:left w:val="single" w:sz="8" w:space="0" w:color="4F81BD"/>
              <w:bottom w:val="single" w:sz="8" w:space="0" w:color="4F81BD"/>
              <w:right w:val="single" w:sz="8" w:space="0" w:color="4F81BD"/>
            </w:tcBorders>
          </w:tcPr>
          <w:p w14:paraId="502311F4" w14:textId="77777777" w:rsidR="0029427C" w:rsidRPr="003351E6" w:rsidRDefault="00CD24A0">
            <w:pPr>
              <w:spacing w:after="59" w:line="259" w:lineRule="auto"/>
              <w:ind w:left="0" w:firstLine="0"/>
            </w:pPr>
            <w:r w:rsidRPr="003351E6">
              <w:rPr>
                <w:rFonts w:eastAsia="Corbel"/>
                <w:b/>
              </w:rPr>
              <w:t xml:space="preserve">Performance Milestone 2 </w:t>
            </w:r>
          </w:p>
          <w:p w14:paraId="6C749A66" w14:textId="77777777" w:rsidR="0029427C" w:rsidRPr="003351E6" w:rsidRDefault="00CD24A0">
            <w:pPr>
              <w:spacing w:after="60" w:line="259" w:lineRule="auto"/>
              <w:ind w:left="0" w:firstLine="0"/>
            </w:pPr>
            <w:r w:rsidRPr="003351E6">
              <w:rPr>
                <w:rFonts w:eastAsia="Corbel"/>
              </w:rPr>
              <w:t xml:space="preserve">Finalisation of project, as demonstrated by agreement completion criteria and final project acquittal report to the Commonwealth. </w:t>
            </w:r>
          </w:p>
          <w:p w14:paraId="50543650" w14:textId="77777777" w:rsidR="0029427C" w:rsidRPr="003351E6" w:rsidRDefault="00CD24A0">
            <w:pPr>
              <w:spacing w:after="57" w:line="259" w:lineRule="auto"/>
              <w:ind w:left="0" w:firstLine="0"/>
            </w:pPr>
            <w:r w:rsidRPr="003351E6">
              <w:rPr>
                <w:rFonts w:eastAsia="Corbel"/>
              </w:rPr>
              <w:t xml:space="preserve"> </w:t>
            </w:r>
          </w:p>
          <w:p w14:paraId="49B46D42" w14:textId="77777777" w:rsidR="0029427C" w:rsidRPr="003351E6" w:rsidRDefault="00CD24A0">
            <w:pPr>
              <w:spacing w:after="0" w:line="259" w:lineRule="auto"/>
              <w:ind w:left="0" w:right="32" w:firstLine="0"/>
            </w:pPr>
            <w:r w:rsidRPr="003351E6">
              <w:rPr>
                <w:rFonts w:eastAsia="Corbel"/>
              </w:rPr>
              <w:t xml:space="preserve">Finalisation of project, as demonstrated by completion criteria outlined in the project plan agreed by Commonwealth and state and territory senior officials and final project acquittal report to the </w:t>
            </w:r>
          </w:p>
          <w:p w14:paraId="29D060C8" w14:textId="77777777" w:rsidR="0029427C" w:rsidRPr="003351E6" w:rsidRDefault="00CD24A0">
            <w:pPr>
              <w:spacing w:after="0" w:line="259" w:lineRule="auto"/>
              <w:ind w:left="0" w:firstLine="0"/>
            </w:pPr>
            <w:r w:rsidRPr="003351E6">
              <w:rPr>
                <w:rFonts w:eastAsia="Corbel"/>
              </w:rPr>
              <w:t xml:space="preserve">Commonwealth. </w:t>
            </w:r>
          </w:p>
        </w:tc>
        <w:tc>
          <w:tcPr>
            <w:tcW w:w="1705" w:type="dxa"/>
            <w:tcBorders>
              <w:top w:val="single" w:sz="8" w:space="0" w:color="4F81BD"/>
              <w:left w:val="single" w:sz="8" w:space="0" w:color="4F81BD"/>
              <w:bottom w:val="single" w:sz="8" w:space="0" w:color="4F81BD"/>
              <w:right w:val="single" w:sz="8" w:space="0" w:color="4F81BD"/>
            </w:tcBorders>
          </w:tcPr>
          <w:p w14:paraId="3A1DB066" w14:textId="77777777" w:rsidR="0029427C" w:rsidRPr="003351E6" w:rsidRDefault="00CD24A0">
            <w:pPr>
              <w:spacing w:after="0" w:line="259" w:lineRule="auto"/>
              <w:ind w:left="0" w:firstLine="0"/>
            </w:pPr>
            <w:r w:rsidRPr="003351E6">
              <w:rPr>
                <w:rFonts w:eastAsia="Corbel"/>
              </w:rPr>
              <w:t xml:space="preserve"> </w:t>
            </w:r>
          </w:p>
          <w:p w14:paraId="2005076F" w14:textId="77777777" w:rsidR="0029427C" w:rsidRPr="003351E6" w:rsidRDefault="00CD24A0">
            <w:pPr>
              <w:spacing w:after="0" w:line="259" w:lineRule="auto"/>
              <w:ind w:left="0" w:firstLine="0"/>
            </w:pPr>
            <w:r w:rsidRPr="003351E6">
              <w:rPr>
                <w:rFonts w:eastAsia="Corbel"/>
              </w:rPr>
              <w:t xml:space="preserve">As outlined in the (individual) Project Plan.  </w:t>
            </w:r>
          </w:p>
        </w:tc>
        <w:tc>
          <w:tcPr>
            <w:tcW w:w="6496" w:type="dxa"/>
            <w:tcBorders>
              <w:top w:val="single" w:sz="8" w:space="0" w:color="4F81BD"/>
              <w:left w:val="single" w:sz="8" w:space="0" w:color="4F81BD"/>
              <w:bottom w:val="single" w:sz="8" w:space="0" w:color="4F81BD"/>
              <w:right w:val="single" w:sz="8" w:space="0" w:color="4F81BD"/>
            </w:tcBorders>
            <w:vAlign w:val="center"/>
          </w:tcPr>
          <w:p w14:paraId="7BFAE0A6" w14:textId="77777777" w:rsidR="0029427C" w:rsidRPr="003351E6" w:rsidRDefault="00CD24A0">
            <w:pPr>
              <w:spacing w:after="0" w:line="259" w:lineRule="auto"/>
              <w:ind w:left="2" w:firstLine="0"/>
            </w:pPr>
            <w:r w:rsidRPr="003351E6">
              <w:t>30% allocation for TAFE Technology Fund project.</w:t>
            </w:r>
            <w:r w:rsidRPr="003351E6">
              <w:rPr>
                <w:rFonts w:eastAsia="Corbel"/>
              </w:rPr>
              <w:t xml:space="preserve"> </w:t>
            </w:r>
          </w:p>
        </w:tc>
      </w:tr>
      <w:tr w:rsidR="00D04E35" w:rsidRPr="003351E6" w14:paraId="7AAB6FD7" w14:textId="77777777" w:rsidTr="00D04E35">
        <w:trPr>
          <w:trHeight w:val="600"/>
        </w:trPr>
        <w:tc>
          <w:tcPr>
            <w:tcW w:w="6385" w:type="dxa"/>
            <w:tcBorders>
              <w:top w:val="single" w:sz="8" w:space="0" w:color="4F81BD"/>
              <w:left w:val="single" w:sz="8" w:space="0" w:color="4F81BD"/>
              <w:bottom w:val="single" w:sz="8" w:space="0" w:color="4F81BD"/>
              <w:right w:val="single" w:sz="8" w:space="0" w:color="4F81BD"/>
            </w:tcBorders>
            <w:shd w:val="clear" w:color="auto" w:fill="E8E8E8" w:themeFill="background2"/>
          </w:tcPr>
          <w:p w14:paraId="0226ED39" w14:textId="77777777" w:rsidR="00D04E35" w:rsidRPr="0084193D" w:rsidRDefault="00D04E35" w:rsidP="00D04E35">
            <w:pPr>
              <w:spacing w:after="0" w:line="259" w:lineRule="auto"/>
              <w:ind w:left="0" w:firstLine="0"/>
            </w:pPr>
            <w:r w:rsidRPr="0084193D">
              <w:rPr>
                <w:rFonts w:eastAsia="Corbel"/>
                <w:b/>
              </w:rPr>
              <w:t xml:space="preserve">Milestones and Payments - Strengthening VET Data  </w:t>
            </w:r>
          </w:p>
          <w:p w14:paraId="771FFC8C" w14:textId="2A6749B3" w:rsidR="00D04E35" w:rsidRPr="0084193D" w:rsidRDefault="00D04E35" w:rsidP="00D04E35">
            <w:pPr>
              <w:spacing w:after="59" w:line="259" w:lineRule="auto"/>
              <w:ind w:left="0" w:firstLine="0"/>
              <w:rPr>
                <w:rFonts w:eastAsia="Corbel"/>
                <w:b/>
              </w:rPr>
            </w:pPr>
            <w:r w:rsidRPr="0084193D">
              <w:rPr>
                <w:rFonts w:eastAsia="Corbel"/>
                <w:b/>
              </w:rPr>
              <w:t xml:space="preserve">(Appendix C) </w:t>
            </w:r>
          </w:p>
        </w:tc>
        <w:tc>
          <w:tcPr>
            <w:tcW w:w="1705" w:type="dxa"/>
            <w:tcBorders>
              <w:top w:val="single" w:sz="8" w:space="0" w:color="4F81BD"/>
              <w:left w:val="single" w:sz="8" w:space="0" w:color="4F81BD"/>
              <w:bottom w:val="single" w:sz="8" w:space="0" w:color="4F81BD"/>
              <w:right w:val="single" w:sz="8" w:space="0" w:color="4F81BD"/>
            </w:tcBorders>
            <w:shd w:val="clear" w:color="auto" w:fill="E8E8E8" w:themeFill="background2"/>
          </w:tcPr>
          <w:p w14:paraId="21288F9B" w14:textId="57830F07" w:rsidR="00D04E35" w:rsidRPr="0084193D" w:rsidRDefault="00D04E35" w:rsidP="00D04E35">
            <w:pPr>
              <w:spacing w:after="0" w:line="259" w:lineRule="auto"/>
              <w:ind w:left="0" w:firstLine="0"/>
              <w:rPr>
                <w:rFonts w:eastAsia="Corbel"/>
              </w:rPr>
            </w:pPr>
            <w:r w:rsidRPr="0084193D">
              <w:rPr>
                <w:rFonts w:eastAsia="Corbel"/>
                <w:b/>
              </w:rPr>
              <w:t>Due</w:t>
            </w:r>
            <w:r w:rsidRPr="0084193D">
              <w:rPr>
                <w:rFonts w:eastAsia="Corbel"/>
              </w:rPr>
              <w:t xml:space="preserve"> </w:t>
            </w:r>
          </w:p>
        </w:tc>
        <w:tc>
          <w:tcPr>
            <w:tcW w:w="6496" w:type="dxa"/>
            <w:tcBorders>
              <w:top w:val="single" w:sz="8" w:space="0" w:color="4F81BD"/>
              <w:left w:val="single" w:sz="8" w:space="0" w:color="4F81BD"/>
              <w:bottom w:val="single" w:sz="8" w:space="0" w:color="4F81BD"/>
              <w:right w:val="single" w:sz="8" w:space="0" w:color="4F81BD"/>
            </w:tcBorders>
            <w:shd w:val="clear" w:color="auto" w:fill="E8E8E8" w:themeFill="background2"/>
          </w:tcPr>
          <w:p w14:paraId="2C19F3D1" w14:textId="59E45675" w:rsidR="00D04E35" w:rsidRPr="0084193D" w:rsidRDefault="00D04E35" w:rsidP="00D04E35">
            <w:pPr>
              <w:spacing w:after="0" w:line="259" w:lineRule="auto"/>
              <w:ind w:left="2" w:firstLine="0"/>
              <w:rPr>
                <w:sz w:val="20"/>
                <w:szCs w:val="22"/>
              </w:rPr>
            </w:pPr>
            <w:r w:rsidRPr="0084193D">
              <w:rPr>
                <w:rFonts w:eastAsia="Corbel"/>
                <w:b/>
              </w:rPr>
              <w:t>Payment</w:t>
            </w:r>
            <w:r w:rsidRPr="0084193D">
              <w:t xml:space="preserve"> </w:t>
            </w:r>
          </w:p>
        </w:tc>
      </w:tr>
      <w:tr w:rsidR="00801080" w:rsidRPr="003351E6" w14:paraId="081B3F49" w14:textId="77777777" w:rsidTr="005658E2">
        <w:trPr>
          <w:trHeight w:val="600"/>
        </w:trPr>
        <w:tc>
          <w:tcPr>
            <w:tcW w:w="6385"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2567559" w14:textId="77777777" w:rsidR="00801080" w:rsidRPr="0084193D" w:rsidRDefault="00801080" w:rsidP="00801080">
            <w:pPr>
              <w:spacing w:after="59" w:line="259" w:lineRule="auto"/>
              <w:ind w:left="0" w:firstLine="0"/>
            </w:pPr>
            <w:r w:rsidRPr="0084193D">
              <w:rPr>
                <w:rFonts w:eastAsia="Corbel"/>
                <w:b/>
              </w:rPr>
              <w:t xml:space="preserve">Performance Milestone 1  </w:t>
            </w:r>
          </w:p>
          <w:p w14:paraId="49E095AC" w14:textId="77777777" w:rsidR="00801080" w:rsidRPr="0084193D" w:rsidRDefault="00801080" w:rsidP="00801080">
            <w:pPr>
              <w:spacing w:after="0" w:line="259" w:lineRule="auto"/>
              <w:ind w:left="0" w:firstLine="0"/>
            </w:pPr>
            <w:r w:rsidRPr="0084193D">
              <w:rPr>
                <w:rFonts w:eastAsia="Corbel"/>
              </w:rPr>
              <w:t xml:space="preserve">Signing of this Schedule and a commitment to collaborate on the </w:t>
            </w:r>
          </w:p>
          <w:p w14:paraId="343B78F5" w14:textId="47DAC61F" w:rsidR="00801080" w:rsidRPr="0084193D" w:rsidRDefault="00801080" w:rsidP="00801080">
            <w:pPr>
              <w:spacing w:after="0" w:line="259" w:lineRule="auto"/>
              <w:ind w:left="0" w:firstLine="0"/>
              <w:rPr>
                <w:rFonts w:eastAsia="Corbel"/>
                <w:b/>
              </w:rPr>
            </w:pPr>
            <w:r w:rsidRPr="0084193D">
              <w:rPr>
                <w:rFonts w:eastAsia="Corbel"/>
              </w:rPr>
              <w:t>VDS program</w:t>
            </w:r>
            <w:r w:rsidRPr="0084193D">
              <w:rPr>
                <w:rFonts w:eastAsia="Corbel"/>
                <w:b/>
              </w:rPr>
              <w:t xml:space="preserve"> </w:t>
            </w:r>
          </w:p>
        </w:tc>
        <w:tc>
          <w:tcPr>
            <w:tcW w:w="1705"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89C0E3E" w14:textId="2EEF6D8D" w:rsidR="00801080" w:rsidRPr="0084193D" w:rsidRDefault="00801080" w:rsidP="00801080">
            <w:pPr>
              <w:spacing w:after="0" w:line="259" w:lineRule="auto"/>
              <w:ind w:left="0" w:firstLine="0"/>
              <w:rPr>
                <w:rFonts w:eastAsia="Corbel"/>
                <w:b/>
              </w:rPr>
            </w:pPr>
            <w:r w:rsidRPr="0084193D">
              <w:rPr>
                <w:rFonts w:eastAsia="Corbel"/>
              </w:rPr>
              <w:t>1 January 2023</w:t>
            </w:r>
            <w:r w:rsidRPr="0084193D">
              <w:rPr>
                <w:rFonts w:eastAsia="Corbel"/>
                <w:b/>
              </w:rPr>
              <w:t xml:space="preserve"> </w:t>
            </w:r>
          </w:p>
        </w:tc>
        <w:tc>
          <w:tcPr>
            <w:tcW w:w="6496"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5DB460D" w14:textId="324A8F58" w:rsidR="00801080" w:rsidRPr="0084193D" w:rsidRDefault="00801080" w:rsidP="00801080">
            <w:pPr>
              <w:spacing w:after="0" w:line="259" w:lineRule="auto"/>
              <w:ind w:left="2" w:firstLine="0"/>
              <w:rPr>
                <w:rFonts w:eastAsia="Corbel"/>
                <w:b/>
              </w:rPr>
            </w:pPr>
            <w:r w:rsidRPr="0084193D">
              <w:t>57% State allocation of the funding for VET data Infrastructure.</w:t>
            </w:r>
            <w:r w:rsidRPr="0084193D">
              <w:rPr>
                <w:rFonts w:eastAsia="Corbel"/>
                <w:b/>
              </w:rPr>
              <w:t xml:space="preserve"> </w:t>
            </w:r>
          </w:p>
        </w:tc>
      </w:tr>
      <w:tr w:rsidR="00A54A1F" w:rsidRPr="003351E6" w14:paraId="735E1A24" w14:textId="77777777" w:rsidTr="005658E2">
        <w:trPr>
          <w:trHeight w:val="600"/>
        </w:trPr>
        <w:tc>
          <w:tcPr>
            <w:tcW w:w="6385"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A304195" w14:textId="77777777" w:rsidR="00A54A1F" w:rsidRPr="0084193D" w:rsidRDefault="00A54A1F" w:rsidP="00A54A1F">
            <w:pPr>
              <w:spacing w:after="59" w:line="259" w:lineRule="auto"/>
              <w:ind w:left="0" w:firstLine="0"/>
            </w:pPr>
            <w:r w:rsidRPr="0084193D">
              <w:rPr>
                <w:rFonts w:eastAsia="Corbel"/>
                <w:b/>
              </w:rPr>
              <w:t xml:space="preserve">Performance Milestone 2 </w:t>
            </w:r>
          </w:p>
          <w:p w14:paraId="36E01282" w14:textId="3850D5D5" w:rsidR="00A54A1F" w:rsidRPr="0084193D" w:rsidRDefault="00A54A1F" w:rsidP="00A54A1F">
            <w:pPr>
              <w:spacing w:after="59" w:line="259" w:lineRule="auto"/>
              <w:ind w:left="0" w:firstLine="0"/>
              <w:rPr>
                <w:rFonts w:eastAsia="Corbel"/>
                <w:b/>
              </w:rPr>
            </w:pPr>
            <w:r w:rsidRPr="0084193D">
              <w:rPr>
                <w:rFonts w:eastAsia="Corbel"/>
              </w:rPr>
              <w:t>Development of State impact assessments and high-level roadmaps</w:t>
            </w:r>
            <w:r w:rsidRPr="0084193D">
              <w:rPr>
                <w:rFonts w:eastAsia="Corbel"/>
                <w:b/>
              </w:rPr>
              <w:t xml:space="preserve"> </w:t>
            </w:r>
          </w:p>
        </w:tc>
        <w:tc>
          <w:tcPr>
            <w:tcW w:w="1705"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D32E07D" w14:textId="10282B04" w:rsidR="00A54A1F" w:rsidRPr="0084193D" w:rsidRDefault="00A54A1F" w:rsidP="00A54A1F">
            <w:pPr>
              <w:spacing w:after="0" w:line="259" w:lineRule="auto"/>
              <w:ind w:left="0" w:firstLine="0"/>
              <w:rPr>
                <w:rFonts w:eastAsia="Corbel"/>
              </w:rPr>
            </w:pPr>
            <w:r w:rsidRPr="0084193D">
              <w:rPr>
                <w:rFonts w:eastAsia="Corbel"/>
              </w:rPr>
              <w:t xml:space="preserve">1 July 2023 </w:t>
            </w:r>
          </w:p>
        </w:tc>
        <w:tc>
          <w:tcPr>
            <w:tcW w:w="6496"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33DAFE64" w14:textId="7006FBBC" w:rsidR="00A54A1F" w:rsidRPr="0084193D" w:rsidRDefault="00A54A1F" w:rsidP="00A54A1F">
            <w:pPr>
              <w:spacing w:after="0" w:line="259" w:lineRule="auto"/>
              <w:ind w:left="2" w:firstLine="0"/>
            </w:pPr>
            <w:r w:rsidRPr="0084193D">
              <w:rPr>
                <w:rFonts w:eastAsia="Corbel"/>
              </w:rPr>
              <w:t xml:space="preserve">43% State allocation </w:t>
            </w:r>
            <w:r w:rsidRPr="0084193D">
              <w:t xml:space="preserve">of the funding for VET data Infrastructure. </w:t>
            </w:r>
          </w:p>
        </w:tc>
      </w:tr>
    </w:tbl>
    <w:p w14:paraId="392BC99D" w14:textId="2413833D" w:rsidR="464B8A14" w:rsidRPr="00DE7168" w:rsidRDefault="464B8A14" w:rsidP="464B8A14">
      <w:pPr>
        <w:spacing w:after="160" w:line="278" w:lineRule="auto"/>
        <w:ind w:left="0" w:firstLine="0"/>
        <w:rPr>
          <w:rFonts w:eastAsia="Corbel"/>
          <w:b/>
          <w:bCs/>
        </w:rPr>
      </w:pPr>
    </w:p>
    <w:tbl>
      <w:tblPr>
        <w:tblStyle w:val="TableGrid1"/>
        <w:tblW w:w="14592" w:type="dxa"/>
        <w:tblInd w:w="10" w:type="dxa"/>
        <w:tblCellMar>
          <w:top w:w="114" w:type="dxa"/>
          <w:right w:w="115" w:type="dxa"/>
        </w:tblCellMar>
        <w:tblLook w:val="04A0" w:firstRow="1" w:lastRow="0" w:firstColumn="1" w:lastColumn="0" w:noHBand="0" w:noVBand="1"/>
      </w:tblPr>
      <w:tblGrid>
        <w:gridCol w:w="5904"/>
        <w:gridCol w:w="4333"/>
        <w:gridCol w:w="475"/>
        <w:gridCol w:w="3880"/>
      </w:tblGrid>
      <w:tr w:rsidR="00574C0C" w:rsidRPr="00DE7168" w14:paraId="049C8FAA" w14:textId="77777777" w:rsidTr="7C6BBB5B">
        <w:trPr>
          <w:trHeight w:val="555"/>
        </w:trPr>
        <w:tc>
          <w:tcPr>
            <w:tcW w:w="5904" w:type="dxa"/>
            <w:tcBorders>
              <w:top w:val="single" w:sz="8" w:space="0" w:color="4F81BD"/>
              <w:left w:val="single" w:sz="8" w:space="0" w:color="4F81BD"/>
              <w:bottom w:val="single" w:sz="8" w:space="0" w:color="4F81BD"/>
              <w:right w:val="single" w:sz="8" w:space="0" w:color="4F81BD"/>
            </w:tcBorders>
            <w:shd w:val="clear" w:color="auto" w:fill="E7E6E6"/>
            <w:vAlign w:val="center"/>
          </w:tcPr>
          <w:p w14:paraId="453F581F" w14:textId="070843C9" w:rsidR="00574C0C" w:rsidRPr="00DE7168" w:rsidRDefault="00574C0C" w:rsidP="00DB7226">
            <w:pPr>
              <w:spacing w:after="0" w:line="259" w:lineRule="auto"/>
              <w:ind w:left="107" w:firstLine="0"/>
              <w:rPr>
                <w:rFonts w:eastAsia="Corbel"/>
                <w:b/>
                <w:bCs/>
              </w:rPr>
            </w:pPr>
            <w:r w:rsidRPr="00DE7168">
              <w:rPr>
                <w:rFonts w:eastAsia="Corbel"/>
                <w:b/>
                <w:bCs/>
              </w:rPr>
              <w:t xml:space="preserve">Performance Milestones and Payments for </w:t>
            </w:r>
            <w:r w:rsidR="00DB7226" w:rsidRPr="00DE7168">
              <w:rPr>
                <w:rFonts w:eastAsia="Corbel"/>
                <w:b/>
                <w:bCs/>
              </w:rPr>
              <w:br/>
            </w:r>
            <w:r w:rsidRPr="00DE7168">
              <w:rPr>
                <w:rFonts w:eastAsia="Corbel"/>
                <w:b/>
                <w:bCs/>
              </w:rPr>
              <w:t>Fee-Free</w:t>
            </w:r>
            <w:r w:rsidR="00292473" w:rsidRPr="00DE7168">
              <w:rPr>
                <w:rFonts w:eastAsia="Corbel"/>
                <w:b/>
                <w:bCs/>
              </w:rPr>
              <w:t xml:space="preserve"> </w:t>
            </w:r>
            <w:r w:rsidRPr="00DE7168">
              <w:rPr>
                <w:rFonts w:eastAsia="Corbel"/>
                <w:b/>
                <w:bCs/>
              </w:rPr>
              <w:t xml:space="preserve">Construction </w:t>
            </w:r>
          </w:p>
        </w:tc>
        <w:tc>
          <w:tcPr>
            <w:tcW w:w="4333" w:type="dxa"/>
            <w:tcBorders>
              <w:top w:val="single" w:sz="8" w:space="0" w:color="4F81BD"/>
              <w:left w:val="single" w:sz="8" w:space="0" w:color="4F81BD"/>
              <w:bottom w:val="single" w:sz="8" w:space="0" w:color="4F81BD"/>
              <w:right w:val="single" w:sz="8" w:space="0" w:color="4F81BD"/>
            </w:tcBorders>
            <w:vAlign w:val="center"/>
          </w:tcPr>
          <w:p w14:paraId="2A246592" w14:textId="77777777" w:rsidR="00574C0C" w:rsidRPr="00DE7168" w:rsidRDefault="00574C0C" w:rsidP="7DBBF49D">
            <w:pPr>
              <w:spacing w:after="0" w:line="259" w:lineRule="auto"/>
              <w:ind w:left="118" w:firstLine="0"/>
              <w:jc w:val="center"/>
              <w:rPr>
                <w:rFonts w:eastAsia="Corbel"/>
                <w:b/>
                <w:bCs/>
              </w:rPr>
            </w:pPr>
            <w:r w:rsidRPr="00DE7168">
              <w:rPr>
                <w:rFonts w:eastAsia="Corbel"/>
                <w:b/>
                <w:bCs/>
              </w:rPr>
              <w:t xml:space="preserve">Due </w:t>
            </w:r>
          </w:p>
        </w:tc>
        <w:tc>
          <w:tcPr>
            <w:tcW w:w="475" w:type="dxa"/>
            <w:tcBorders>
              <w:top w:val="single" w:sz="8" w:space="0" w:color="4F81BD"/>
              <w:left w:val="single" w:sz="8" w:space="0" w:color="4F81BD"/>
              <w:bottom w:val="single" w:sz="8" w:space="0" w:color="4F81BD"/>
              <w:right w:val="nil"/>
            </w:tcBorders>
          </w:tcPr>
          <w:p w14:paraId="51595061" w14:textId="77777777" w:rsidR="00574C0C" w:rsidRPr="00DE7168" w:rsidRDefault="00574C0C" w:rsidP="7DBBF49D">
            <w:pPr>
              <w:spacing w:after="160" w:line="259" w:lineRule="auto"/>
              <w:ind w:left="0" w:firstLine="0"/>
            </w:pPr>
          </w:p>
        </w:tc>
        <w:tc>
          <w:tcPr>
            <w:tcW w:w="3880" w:type="dxa"/>
            <w:tcBorders>
              <w:top w:val="single" w:sz="8" w:space="0" w:color="4F81BD"/>
              <w:left w:val="nil"/>
              <w:bottom w:val="single" w:sz="8" w:space="0" w:color="4F81BD"/>
              <w:right w:val="single" w:sz="8" w:space="0" w:color="4F81BD"/>
            </w:tcBorders>
            <w:vAlign w:val="center"/>
          </w:tcPr>
          <w:p w14:paraId="6A6D77DF" w14:textId="77777777" w:rsidR="00574C0C" w:rsidRPr="00DE7168" w:rsidRDefault="00574C0C" w:rsidP="7DBBF49D">
            <w:pPr>
              <w:spacing w:after="0" w:line="259" w:lineRule="auto"/>
              <w:ind w:left="1347" w:firstLine="0"/>
              <w:rPr>
                <w:rFonts w:eastAsia="Corbel"/>
                <w:b/>
                <w:bCs/>
              </w:rPr>
            </w:pPr>
            <w:r w:rsidRPr="00DE7168">
              <w:rPr>
                <w:rFonts w:eastAsia="Corbel"/>
                <w:b/>
                <w:bCs/>
              </w:rPr>
              <w:t xml:space="preserve">Payment </w:t>
            </w:r>
          </w:p>
        </w:tc>
      </w:tr>
      <w:tr w:rsidR="00574C0C" w:rsidRPr="00DE7168" w14:paraId="4053CEC0" w14:textId="77777777" w:rsidTr="7C6BBB5B">
        <w:trPr>
          <w:trHeight w:val="1771"/>
        </w:trPr>
        <w:tc>
          <w:tcPr>
            <w:tcW w:w="5904" w:type="dxa"/>
            <w:tcBorders>
              <w:top w:val="single" w:sz="8" w:space="0" w:color="4F81BD"/>
              <w:left w:val="single" w:sz="8" w:space="0" w:color="4F81BD"/>
              <w:bottom w:val="single" w:sz="8" w:space="0" w:color="4F81BD"/>
              <w:right w:val="single" w:sz="8" w:space="0" w:color="4F81BD"/>
            </w:tcBorders>
          </w:tcPr>
          <w:p w14:paraId="05402495" w14:textId="1161F89C" w:rsidR="00574C0C" w:rsidRPr="00DE7168" w:rsidRDefault="00574C0C" w:rsidP="7DBBF49D">
            <w:pPr>
              <w:spacing w:after="59" w:line="259" w:lineRule="auto"/>
              <w:ind w:left="107" w:firstLine="0"/>
              <w:rPr>
                <w:rFonts w:eastAsia="Corbel"/>
                <w:b/>
                <w:bCs/>
              </w:rPr>
            </w:pPr>
            <w:r w:rsidRPr="00DE7168">
              <w:rPr>
                <w:rFonts w:eastAsia="Corbel"/>
                <w:b/>
                <w:bCs/>
              </w:rPr>
              <w:t xml:space="preserve">Performance Milestone 1  </w:t>
            </w:r>
          </w:p>
          <w:p w14:paraId="5B89A14E" w14:textId="77777777" w:rsidR="0031517A" w:rsidRPr="00DE7168" w:rsidRDefault="00DE153F" w:rsidP="00037AD3">
            <w:pPr>
              <w:spacing w:after="59" w:line="259" w:lineRule="auto"/>
              <w:ind w:left="117" w:firstLine="0"/>
              <w:rPr>
                <w:rFonts w:eastAsia="Corbel"/>
              </w:rPr>
            </w:pPr>
            <w:r w:rsidRPr="00DE7168">
              <w:rPr>
                <w:rFonts w:eastAsia="Corbel"/>
              </w:rPr>
              <w:t xml:space="preserve">States agree and sign up to the </w:t>
            </w:r>
            <w:r w:rsidR="00402705" w:rsidRPr="00DE7168">
              <w:rPr>
                <w:rFonts w:eastAsia="Corbel"/>
              </w:rPr>
              <w:t xml:space="preserve">updated </w:t>
            </w:r>
            <w:r w:rsidRPr="00DE7168">
              <w:rPr>
                <w:rFonts w:eastAsia="Corbel"/>
              </w:rPr>
              <w:t>Schedule.</w:t>
            </w:r>
          </w:p>
          <w:p w14:paraId="31D82A40" w14:textId="6A6FBBEF" w:rsidR="00DE153F" w:rsidRPr="00DE7168" w:rsidRDefault="00DE153F" w:rsidP="00037AD3">
            <w:pPr>
              <w:spacing w:after="59" w:line="259" w:lineRule="auto"/>
              <w:ind w:left="117" w:firstLine="0"/>
            </w:pPr>
            <w:r w:rsidRPr="00DE7168">
              <w:rPr>
                <w:rFonts w:eastAsia="Corbel"/>
              </w:rPr>
              <w:t xml:space="preserve"> </w:t>
            </w:r>
          </w:p>
          <w:p w14:paraId="2A5AE889" w14:textId="49AE5FE4" w:rsidR="00574C0C" w:rsidRPr="00DE7168" w:rsidRDefault="00DE153F" w:rsidP="00A74F82">
            <w:pPr>
              <w:spacing w:after="88" w:line="259" w:lineRule="auto"/>
              <w:ind w:left="117" w:firstLine="0"/>
            </w:pPr>
            <w:r w:rsidRPr="00DE7168">
              <w:rPr>
                <w:rFonts w:eastAsia="Corbel"/>
              </w:rPr>
              <w:t xml:space="preserve">Commonwealth and States agree to the FFT </w:t>
            </w:r>
            <w:r w:rsidR="00402705" w:rsidRPr="00DE7168">
              <w:rPr>
                <w:rFonts w:eastAsia="Corbel"/>
              </w:rPr>
              <w:t xml:space="preserve">Construction </w:t>
            </w:r>
            <w:r w:rsidRPr="00DE7168">
              <w:rPr>
                <w:rFonts w:eastAsia="Corbel"/>
              </w:rPr>
              <w:t xml:space="preserve">Implementation Plan. </w:t>
            </w:r>
          </w:p>
        </w:tc>
        <w:tc>
          <w:tcPr>
            <w:tcW w:w="4333" w:type="dxa"/>
            <w:tcBorders>
              <w:top w:val="single" w:sz="8" w:space="0" w:color="4F81BD"/>
              <w:left w:val="single" w:sz="8" w:space="0" w:color="4F81BD"/>
              <w:bottom w:val="single" w:sz="8" w:space="0" w:color="4F81BD"/>
              <w:right w:val="single" w:sz="8" w:space="0" w:color="4F81BD"/>
            </w:tcBorders>
            <w:vAlign w:val="center"/>
          </w:tcPr>
          <w:p w14:paraId="5D591C20" w14:textId="2A429D92" w:rsidR="0063127B" w:rsidRPr="00DE7168" w:rsidRDefault="0063127B" w:rsidP="7DBBF49D">
            <w:pPr>
              <w:spacing w:after="0" w:line="259" w:lineRule="auto"/>
              <w:ind w:left="81" w:firstLine="0"/>
              <w:jc w:val="center"/>
              <w:rPr>
                <w:rFonts w:eastAsia="Corbel"/>
              </w:rPr>
            </w:pPr>
            <w:r w:rsidRPr="00DE7168">
              <w:rPr>
                <w:rFonts w:eastAsia="Corbel"/>
              </w:rPr>
              <w:t>Within 30 days of signing th</w:t>
            </w:r>
            <w:r w:rsidR="00C305D9" w:rsidRPr="00DE7168">
              <w:rPr>
                <w:rFonts w:eastAsia="Corbel"/>
              </w:rPr>
              <w:t>is S</w:t>
            </w:r>
            <w:r w:rsidRPr="00DE7168">
              <w:rPr>
                <w:rFonts w:eastAsia="Corbel"/>
              </w:rPr>
              <w:t xml:space="preserve">chedule or </w:t>
            </w:r>
            <w:r w:rsidR="00C443F1" w:rsidRPr="00DE7168">
              <w:rPr>
                <w:rFonts w:eastAsia="Corbel"/>
              </w:rPr>
              <w:br/>
            </w:r>
            <w:r w:rsidRPr="00DE7168">
              <w:rPr>
                <w:rFonts w:eastAsia="Corbel"/>
              </w:rPr>
              <w:t>1 January 202</w:t>
            </w:r>
            <w:r w:rsidR="000A4958" w:rsidRPr="00DE7168">
              <w:rPr>
                <w:rFonts w:eastAsia="Corbel"/>
              </w:rPr>
              <w:t>5</w:t>
            </w:r>
            <w:r w:rsidRPr="00DE7168">
              <w:rPr>
                <w:rFonts w:eastAsia="Corbel"/>
              </w:rPr>
              <w:t xml:space="preserve"> or following Commonwealth and State agreement to the State’s Implementation Plan, whichever is later.</w:t>
            </w:r>
          </w:p>
        </w:tc>
        <w:tc>
          <w:tcPr>
            <w:tcW w:w="475" w:type="dxa"/>
            <w:tcBorders>
              <w:top w:val="single" w:sz="8" w:space="0" w:color="4F81BD"/>
              <w:left w:val="single" w:sz="8" w:space="0" w:color="4F81BD"/>
              <w:bottom w:val="single" w:sz="8" w:space="0" w:color="4F81BD"/>
              <w:right w:val="nil"/>
            </w:tcBorders>
          </w:tcPr>
          <w:p w14:paraId="3E98EF70" w14:textId="77777777" w:rsidR="00574C0C" w:rsidRPr="00DE7168" w:rsidRDefault="00574C0C" w:rsidP="7DBBF49D">
            <w:pPr>
              <w:spacing w:after="0" w:line="259" w:lineRule="auto"/>
              <w:ind w:left="108" w:firstLine="0"/>
              <w:rPr>
                <w:rFonts w:eastAsia="Arial"/>
              </w:rPr>
            </w:pPr>
            <w:r w:rsidRPr="00DE7168">
              <w:rPr>
                <w:rFonts w:eastAsia="Arial"/>
              </w:rPr>
              <w:t xml:space="preserve"> </w:t>
            </w:r>
          </w:p>
        </w:tc>
        <w:tc>
          <w:tcPr>
            <w:tcW w:w="3880" w:type="dxa"/>
            <w:tcBorders>
              <w:top w:val="single" w:sz="8" w:space="0" w:color="4F81BD"/>
              <w:left w:val="nil"/>
              <w:bottom w:val="single" w:sz="8" w:space="0" w:color="4F81BD"/>
              <w:right w:val="single" w:sz="8" w:space="0" w:color="4F81BD"/>
            </w:tcBorders>
            <w:vAlign w:val="center"/>
          </w:tcPr>
          <w:p w14:paraId="1CEA4524" w14:textId="77777777" w:rsidR="000301D3" w:rsidRPr="00DE7168" w:rsidRDefault="5DD34AA0" w:rsidP="7DBBF49D">
            <w:pPr>
              <w:pStyle w:val="ListParagraph"/>
              <w:numPr>
                <w:ilvl w:val="0"/>
                <w:numId w:val="27"/>
              </w:numPr>
              <w:spacing w:after="0" w:line="259" w:lineRule="auto"/>
              <w:rPr>
                <w:rFonts w:eastAsia="Corbel"/>
              </w:rPr>
            </w:pPr>
            <w:r w:rsidRPr="00DE7168">
              <w:rPr>
                <w:rFonts w:eastAsia="Corbel"/>
              </w:rPr>
              <w:t>50 per cent of funding for places on sign-up</w:t>
            </w:r>
          </w:p>
          <w:p w14:paraId="626B33E4" w14:textId="77777777" w:rsidR="000301D3" w:rsidRPr="00DE7168" w:rsidRDefault="5DD34AA0" w:rsidP="7DBBF49D">
            <w:pPr>
              <w:pStyle w:val="ListParagraph"/>
              <w:numPr>
                <w:ilvl w:val="0"/>
                <w:numId w:val="27"/>
              </w:numPr>
              <w:spacing w:after="0" w:line="259" w:lineRule="auto"/>
              <w:rPr>
                <w:rFonts w:eastAsia="Corbel"/>
              </w:rPr>
            </w:pPr>
            <w:r w:rsidRPr="00DE7168">
              <w:rPr>
                <w:rFonts w:eastAsia="Corbel"/>
              </w:rPr>
              <w:t xml:space="preserve">100 per cent of student support funding </w:t>
            </w:r>
          </w:p>
          <w:p w14:paraId="45B2AC69" w14:textId="77777777" w:rsidR="000301D3" w:rsidRPr="00DE7168" w:rsidRDefault="5DD34AA0" w:rsidP="7DBBF49D">
            <w:pPr>
              <w:pStyle w:val="ListParagraph"/>
              <w:numPr>
                <w:ilvl w:val="0"/>
                <w:numId w:val="27"/>
              </w:numPr>
              <w:spacing w:after="0" w:line="259" w:lineRule="auto"/>
              <w:rPr>
                <w:rFonts w:eastAsia="Corbel"/>
              </w:rPr>
            </w:pPr>
            <w:r w:rsidRPr="00DE7168">
              <w:rPr>
                <w:rFonts w:eastAsia="Corbel"/>
              </w:rPr>
              <w:t>50 per cent of ancillary funding</w:t>
            </w:r>
          </w:p>
          <w:p w14:paraId="250EB573" w14:textId="77777777" w:rsidR="00574C0C" w:rsidRPr="00DE7168" w:rsidRDefault="00574C0C" w:rsidP="7DBBF49D">
            <w:pPr>
              <w:spacing w:after="0" w:line="259" w:lineRule="auto"/>
            </w:pPr>
          </w:p>
        </w:tc>
      </w:tr>
      <w:tr w:rsidR="00574C0C" w:rsidRPr="003351E6" w14:paraId="60ADCD18" w14:textId="77777777" w:rsidTr="7C6BBB5B">
        <w:trPr>
          <w:trHeight w:val="1880"/>
        </w:trPr>
        <w:tc>
          <w:tcPr>
            <w:tcW w:w="5904" w:type="dxa"/>
            <w:tcBorders>
              <w:top w:val="single" w:sz="8" w:space="0" w:color="4F81BD"/>
              <w:left w:val="single" w:sz="8" w:space="0" w:color="4F81BD"/>
              <w:bottom w:val="single" w:sz="8" w:space="0" w:color="4F81BD"/>
              <w:right w:val="single" w:sz="8" w:space="0" w:color="4F81BD"/>
            </w:tcBorders>
          </w:tcPr>
          <w:p w14:paraId="6A2F6AA6" w14:textId="77777777" w:rsidR="00574C0C" w:rsidRPr="00DE7168" w:rsidRDefault="00574C0C" w:rsidP="7DBBF49D">
            <w:pPr>
              <w:spacing w:after="59" w:line="259" w:lineRule="auto"/>
              <w:ind w:left="107" w:firstLine="0"/>
              <w:rPr>
                <w:rFonts w:eastAsia="Corbel"/>
                <w:b/>
                <w:bCs/>
              </w:rPr>
            </w:pPr>
            <w:r w:rsidRPr="00DE7168">
              <w:rPr>
                <w:rFonts w:eastAsia="Corbel"/>
                <w:b/>
                <w:bCs/>
              </w:rPr>
              <w:t xml:space="preserve">Performance Milestone 2  </w:t>
            </w:r>
          </w:p>
          <w:p w14:paraId="381B4669" w14:textId="7FC307B2" w:rsidR="00F3376E" w:rsidRPr="00DE7168" w:rsidRDefault="5ABAE721" w:rsidP="7C6BBB5B">
            <w:pPr>
              <w:spacing w:after="0" w:line="259" w:lineRule="auto"/>
              <w:ind w:left="107" w:firstLine="0"/>
            </w:pPr>
            <w:r w:rsidRPr="00DE7168">
              <w:rPr>
                <w:rFonts w:eastAsia="Corbel"/>
              </w:rPr>
              <w:t xml:space="preserve">The State has provided quarterly reporting consistent with Part 3 of this Schedule which shows that the value of enrolments in eligible training places in the jurisdiction has reached a minimum of </w:t>
            </w:r>
            <w:r w:rsidR="3D8DDBCC" w:rsidRPr="00DE7168">
              <w:rPr>
                <w:rFonts w:eastAsia="Corbel"/>
              </w:rPr>
              <w:t>5</w:t>
            </w:r>
            <w:r w:rsidRPr="00DE7168">
              <w:rPr>
                <w:rFonts w:eastAsia="Corbel"/>
              </w:rPr>
              <w:t xml:space="preserve">0 per cent of the Fee-Free Construction </w:t>
            </w:r>
            <w:r w:rsidRPr="00DE7168">
              <w:t>expenditure</w:t>
            </w:r>
            <w:r w:rsidR="3B84655D" w:rsidRPr="00DE7168">
              <w:t xml:space="preserve"> as </w:t>
            </w:r>
            <w:r w:rsidR="0026112D" w:rsidRPr="00DE7168">
              <w:t>set out</w:t>
            </w:r>
            <w:r w:rsidR="3B84655D" w:rsidRPr="00DE7168">
              <w:t xml:space="preserve"> in Table 1b.</w:t>
            </w:r>
          </w:p>
        </w:tc>
        <w:tc>
          <w:tcPr>
            <w:tcW w:w="433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968F766" w14:textId="72BB4571" w:rsidR="00574C0C" w:rsidRPr="00DE7168" w:rsidRDefault="5F4E622A" w:rsidP="00C95F1D">
            <w:pPr>
              <w:spacing w:after="0" w:line="259" w:lineRule="auto"/>
              <w:ind w:left="0" w:firstLine="0"/>
              <w:jc w:val="center"/>
              <w:rPr>
                <w:rFonts w:eastAsia="Corbel"/>
              </w:rPr>
            </w:pPr>
            <w:r w:rsidRPr="00DE7168">
              <w:rPr>
                <w:rFonts w:eastAsia="Corbel"/>
              </w:rPr>
              <w:t xml:space="preserve">Estimated for </w:t>
            </w:r>
            <w:r w:rsidR="3E30803F" w:rsidRPr="00DE7168">
              <w:rPr>
                <w:rFonts w:eastAsia="Corbel"/>
              </w:rPr>
              <w:t>March</w:t>
            </w:r>
            <w:r w:rsidR="3B97F201" w:rsidRPr="00DE7168">
              <w:rPr>
                <w:rFonts w:eastAsia="Corbel"/>
              </w:rPr>
              <w:t xml:space="preserve"> </w:t>
            </w:r>
            <w:r w:rsidR="52F1C142" w:rsidRPr="00DE7168">
              <w:rPr>
                <w:rFonts w:eastAsia="Corbel"/>
              </w:rPr>
              <w:t>2026</w:t>
            </w:r>
          </w:p>
        </w:tc>
        <w:tc>
          <w:tcPr>
            <w:tcW w:w="475" w:type="dxa"/>
            <w:tcBorders>
              <w:top w:val="single" w:sz="8" w:space="0" w:color="4F81BD"/>
              <w:left w:val="single" w:sz="8" w:space="0" w:color="4F81BD"/>
              <w:bottom w:val="single" w:sz="8" w:space="0" w:color="4F81BD"/>
              <w:right w:val="nil"/>
            </w:tcBorders>
          </w:tcPr>
          <w:p w14:paraId="1AE7C1F3" w14:textId="77777777" w:rsidR="00574C0C" w:rsidRPr="00DE7168" w:rsidRDefault="00574C0C" w:rsidP="7DBBF49D">
            <w:pPr>
              <w:spacing w:after="0" w:line="259" w:lineRule="auto"/>
              <w:ind w:left="1" w:firstLine="0"/>
              <w:rPr>
                <w:rFonts w:eastAsia="Corbel"/>
              </w:rPr>
            </w:pPr>
          </w:p>
        </w:tc>
        <w:tc>
          <w:tcPr>
            <w:tcW w:w="3880" w:type="dxa"/>
            <w:tcBorders>
              <w:top w:val="single" w:sz="8" w:space="0" w:color="4F81BD"/>
              <w:left w:val="nil"/>
              <w:bottom w:val="single" w:sz="8" w:space="0" w:color="4F81BD"/>
              <w:right w:val="single" w:sz="8" w:space="0" w:color="4F81BD"/>
            </w:tcBorders>
            <w:vAlign w:val="center"/>
          </w:tcPr>
          <w:p w14:paraId="666783B4" w14:textId="1B661285" w:rsidR="003A6FB0" w:rsidRPr="00DE7168" w:rsidRDefault="5ABAE721" w:rsidP="7DBBF49D">
            <w:pPr>
              <w:pStyle w:val="ListParagraph"/>
              <w:numPr>
                <w:ilvl w:val="0"/>
                <w:numId w:val="27"/>
              </w:numPr>
              <w:spacing w:after="0" w:line="259" w:lineRule="auto"/>
              <w:rPr>
                <w:rFonts w:eastAsia="Corbel"/>
              </w:rPr>
            </w:pPr>
            <w:r w:rsidRPr="00DE7168">
              <w:rPr>
                <w:rFonts w:eastAsia="Corbel"/>
              </w:rPr>
              <w:t>50 per cent payment for 50 per</w:t>
            </w:r>
            <w:r w:rsidR="00A74F82" w:rsidRPr="00DE7168">
              <w:rPr>
                <w:rFonts w:eastAsia="Corbel"/>
              </w:rPr>
              <w:t xml:space="preserve"> </w:t>
            </w:r>
            <w:r w:rsidRPr="00DE7168">
              <w:rPr>
                <w:rFonts w:eastAsia="Corbel"/>
              </w:rPr>
              <w:t>cent of funding utilised (contingent also on adherence to reporting requirements)</w:t>
            </w:r>
          </w:p>
          <w:p w14:paraId="2C347000" w14:textId="77777777" w:rsidR="003A6FB0" w:rsidRPr="00DE7168" w:rsidRDefault="5ABAE721" w:rsidP="7DBBF49D">
            <w:pPr>
              <w:pStyle w:val="ListParagraph"/>
              <w:numPr>
                <w:ilvl w:val="0"/>
                <w:numId w:val="27"/>
              </w:numPr>
              <w:spacing w:after="0" w:line="259" w:lineRule="auto"/>
              <w:rPr>
                <w:rFonts w:eastAsia="Corbel"/>
              </w:rPr>
            </w:pPr>
            <w:r w:rsidRPr="00DE7168">
              <w:rPr>
                <w:rFonts w:eastAsia="Corbel"/>
              </w:rPr>
              <w:t>50 per cent of ancillary funding</w:t>
            </w:r>
          </w:p>
          <w:p w14:paraId="0A63694F" w14:textId="77777777" w:rsidR="00574C0C" w:rsidRPr="00DE7168" w:rsidRDefault="00574C0C" w:rsidP="7DBBF49D">
            <w:pPr>
              <w:spacing w:after="0" w:line="259" w:lineRule="auto"/>
              <w:ind w:left="0" w:firstLine="0"/>
              <w:rPr>
                <w:rFonts w:eastAsia="Corbel"/>
              </w:rPr>
            </w:pPr>
          </w:p>
          <w:p w14:paraId="539D9D71" w14:textId="77777777" w:rsidR="00574C0C" w:rsidRPr="00DE7168" w:rsidRDefault="00574C0C" w:rsidP="7DBBF49D">
            <w:pPr>
              <w:spacing w:after="0" w:line="259" w:lineRule="auto"/>
              <w:ind w:left="0" w:firstLine="0"/>
              <w:rPr>
                <w:rFonts w:eastAsia="Corbel"/>
              </w:rPr>
            </w:pPr>
          </w:p>
        </w:tc>
      </w:tr>
    </w:tbl>
    <w:p w14:paraId="116F4505" w14:textId="449A2E06" w:rsidR="00B2096D" w:rsidRDefault="00B2096D" w:rsidP="00B2096D">
      <w:pPr>
        <w:ind w:left="0" w:firstLine="0"/>
      </w:pPr>
    </w:p>
    <w:p w14:paraId="5E8F2F53" w14:textId="77777777" w:rsidR="00160A8C" w:rsidRDefault="00160A8C" w:rsidP="00B2096D">
      <w:pPr>
        <w:ind w:left="0" w:firstLine="0"/>
        <w:sectPr w:rsidR="00160A8C" w:rsidSect="006A5318">
          <w:headerReference w:type="even" r:id="rId17"/>
          <w:headerReference w:type="default" r:id="rId18"/>
          <w:footerReference w:type="even" r:id="rId19"/>
          <w:footerReference w:type="default" r:id="rId20"/>
          <w:headerReference w:type="first" r:id="rId21"/>
          <w:footerReference w:type="first" r:id="rId22"/>
          <w:pgSz w:w="16838" w:h="11906" w:orient="landscape"/>
          <w:pgMar w:top="761" w:right="7326" w:bottom="1169" w:left="1133" w:header="720" w:footer="730" w:gutter="0"/>
          <w:cols w:space="720"/>
          <w:docGrid w:linePitch="299"/>
        </w:sectPr>
      </w:pP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2"/>
        <w:gridCol w:w="213"/>
        <w:gridCol w:w="5048"/>
      </w:tblGrid>
      <w:tr w:rsidR="00E633FF" w:rsidRPr="00393CFF" w14:paraId="19F69F27" w14:textId="77777777" w:rsidTr="00160A8C">
        <w:trPr>
          <w:trHeight w:val="375"/>
        </w:trPr>
        <w:tc>
          <w:tcPr>
            <w:tcW w:w="9332" w:type="dxa"/>
            <w:tcBorders>
              <w:top w:val="single" w:sz="6" w:space="0" w:color="4F81BD"/>
              <w:left w:val="single" w:sz="6" w:space="0" w:color="4F81BD"/>
              <w:bottom w:val="single" w:sz="6" w:space="0" w:color="4F81BD"/>
              <w:right w:val="nil"/>
            </w:tcBorders>
            <w:shd w:val="clear" w:color="auto" w:fill="DEEAF6"/>
            <w:vAlign w:val="center"/>
            <w:hideMark/>
          </w:tcPr>
          <w:p w14:paraId="2BE43E45" w14:textId="77777777" w:rsidR="00393CFF" w:rsidRPr="00393CFF" w:rsidRDefault="00393CFF" w:rsidP="00393CFF">
            <w:pPr>
              <w:spacing w:after="0" w:line="240" w:lineRule="auto"/>
              <w:ind w:left="105" w:firstLine="0"/>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lastRenderedPageBreak/>
              <w:t>Part 3: Reporting requirements </w:t>
            </w:r>
            <w:r w:rsidRPr="00393CFF">
              <w:rPr>
                <w:rFonts w:eastAsia="Times New Roman"/>
                <w:kern w:val="0"/>
                <w:szCs w:val="22"/>
                <w14:ligatures w14:val="none"/>
              </w:rPr>
              <w:t> </w:t>
            </w:r>
          </w:p>
        </w:tc>
        <w:tc>
          <w:tcPr>
            <w:tcW w:w="5261" w:type="dxa"/>
            <w:gridSpan w:val="2"/>
            <w:tcBorders>
              <w:top w:val="single" w:sz="6" w:space="0" w:color="4F81BD"/>
              <w:left w:val="nil"/>
              <w:bottom w:val="single" w:sz="6" w:space="0" w:color="4F81BD"/>
              <w:right w:val="single" w:sz="6" w:space="0" w:color="4F81BD"/>
            </w:tcBorders>
            <w:shd w:val="clear" w:color="auto" w:fill="DEEAF6"/>
            <w:hideMark/>
          </w:tcPr>
          <w:p w14:paraId="6E359DE0" w14:textId="77777777" w:rsidR="00393CFF" w:rsidRPr="00393CFF" w:rsidRDefault="00393CFF" w:rsidP="00393CFF">
            <w:pPr>
              <w:spacing w:after="0" w:line="240" w:lineRule="auto"/>
              <w:ind w:left="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w:t>
            </w:r>
          </w:p>
        </w:tc>
      </w:tr>
      <w:tr w:rsidR="006B6A18" w:rsidRPr="00393CFF" w14:paraId="1BAD5F0A" w14:textId="77777777" w:rsidTr="00160A8C">
        <w:trPr>
          <w:trHeight w:val="240"/>
        </w:trPr>
        <w:tc>
          <w:tcPr>
            <w:tcW w:w="9332" w:type="dxa"/>
            <w:tcBorders>
              <w:top w:val="single" w:sz="6" w:space="0" w:color="4F81BD"/>
              <w:left w:val="single" w:sz="6" w:space="0" w:color="4F81BD"/>
              <w:bottom w:val="single" w:sz="6" w:space="0" w:color="4F81BD"/>
              <w:right w:val="single" w:sz="6" w:space="0" w:color="4F81BD"/>
            </w:tcBorders>
            <w:shd w:val="clear" w:color="auto" w:fill="F2F2F2" w:themeFill="background1" w:themeFillShade="F2"/>
            <w:vAlign w:val="center"/>
            <w:hideMark/>
          </w:tcPr>
          <w:p w14:paraId="2544498D" w14:textId="77777777" w:rsidR="00393CFF" w:rsidRPr="00393CFF" w:rsidRDefault="00393CFF" w:rsidP="00393CFF">
            <w:pPr>
              <w:spacing w:after="0" w:line="240" w:lineRule="auto"/>
              <w:ind w:left="105" w:firstLine="0"/>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Reporting underpinning the Milestones at Part 2. </w:t>
            </w:r>
            <w:r w:rsidRPr="00393CFF">
              <w:rPr>
                <w:rFonts w:eastAsia="Times New Roman"/>
                <w:kern w:val="0"/>
                <w:szCs w:val="22"/>
                <w14:ligatures w14:val="none"/>
              </w:rPr>
              <w:t> </w:t>
            </w:r>
          </w:p>
        </w:tc>
        <w:tc>
          <w:tcPr>
            <w:tcW w:w="213" w:type="dxa"/>
            <w:tcBorders>
              <w:top w:val="single" w:sz="6" w:space="0" w:color="4F81BD"/>
              <w:left w:val="single" w:sz="6" w:space="0" w:color="4F81BD"/>
              <w:bottom w:val="single" w:sz="6" w:space="0" w:color="4F81BD"/>
              <w:right w:val="nil"/>
            </w:tcBorders>
            <w:shd w:val="clear" w:color="auto" w:fill="F2F2F2" w:themeFill="background1" w:themeFillShade="F2"/>
            <w:hideMark/>
          </w:tcPr>
          <w:p w14:paraId="47C66A68" w14:textId="77777777" w:rsidR="00393CFF" w:rsidRPr="00393CFF" w:rsidRDefault="00393CFF" w:rsidP="00393CFF">
            <w:pPr>
              <w:spacing w:after="0" w:line="240" w:lineRule="auto"/>
              <w:ind w:left="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w:t>
            </w:r>
          </w:p>
        </w:tc>
        <w:tc>
          <w:tcPr>
            <w:tcW w:w="5048" w:type="dxa"/>
            <w:tcBorders>
              <w:top w:val="single" w:sz="6" w:space="0" w:color="4F81BD"/>
              <w:left w:val="nil"/>
              <w:bottom w:val="single" w:sz="6" w:space="0" w:color="4F81BD"/>
              <w:right w:val="single" w:sz="6" w:space="0" w:color="4F81BD"/>
            </w:tcBorders>
            <w:shd w:val="clear" w:color="auto" w:fill="F2F2F2" w:themeFill="background1" w:themeFillShade="F2"/>
            <w:vAlign w:val="center"/>
            <w:hideMark/>
          </w:tcPr>
          <w:p w14:paraId="21ECFCDD" w14:textId="77777777" w:rsidR="00393CFF" w:rsidRPr="00393CFF" w:rsidRDefault="00393CFF" w:rsidP="00393CFF">
            <w:pPr>
              <w:spacing w:after="0" w:line="240" w:lineRule="auto"/>
              <w:ind w:left="0" w:right="390" w:firstLine="0"/>
              <w:jc w:val="center"/>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Due </w:t>
            </w:r>
            <w:r w:rsidRPr="00393CFF">
              <w:rPr>
                <w:rFonts w:eastAsia="Times New Roman"/>
                <w:kern w:val="0"/>
                <w:szCs w:val="22"/>
                <w14:ligatures w14:val="none"/>
              </w:rPr>
              <w:t> </w:t>
            </w:r>
          </w:p>
        </w:tc>
      </w:tr>
      <w:tr w:rsidR="00E633FF" w:rsidRPr="00393CFF" w14:paraId="54660C1A" w14:textId="77777777" w:rsidTr="00160A8C">
        <w:trPr>
          <w:trHeight w:val="4995"/>
        </w:trPr>
        <w:tc>
          <w:tcPr>
            <w:tcW w:w="9332" w:type="dxa"/>
            <w:tcBorders>
              <w:top w:val="single" w:sz="6" w:space="0" w:color="4F81BD"/>
              <w:left w:val="single" w:sz="6" w:space="0" w:color="4F81BD"/>
              <w:bottom w:val="single" w:sz="6" w:space="0" w:color="4F81BD"/>
              <w:right w:val="single" w:sz="6" w:space="0" w:color="4F81BD"/>
            </w:tcBorders>
            <w:shd w:val="clear" w:color="auto" w:fill="auto"/>
            <w:vAlign w:val="bottom"/>
            <w:hideMark/>
          </w:tcPr>
          <w:p w14:paraId="6523B150" w14:textId="77777777" w:rsidR="00393CFF" w:rsidRPr="00393CFF" w:rsidRDefault="00393CFF" w:rsidP="00393CFF">
            <w:pPr>
              <w:spacing w:after="0" w:line="240" w:lineRule="auto"/>
              <w:ind w:left="105"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For the FFT Fund, States will provide a quarterly report consistent with Appendix E on:   </w:t>
            </w:r>
          </w:p>
          <w:p w14:paraId="25562A1F" w14:textId="0860ECF0" w:rsidR="00393CFF" w:rsidRPr="00393CFF" w:rsidRDefault="00393CFF" w:rsidP="00393CFF">
            <w:pPr>
              <w:numPr>
                <w:ilvl w:val="0"/>
                <w:numId w:val="35"/>
              </w:numPr>
              <w:spacing w:after="0" w:line="240" w:lineRule="auto"/>
              <w:ind w:left="825" w:firstLine="0"/>
              <w:textAlignment w:val="baseline"/>
              <w:rPr>
                <w:rFonts w:eastAsia="Times New Roman"/>
                <w:kern w:val="0"/>
                <w14:ligatures w14:val="none"/>
              </w:rPr>
            </w:pPr>
            <w:r w:rsidRPr="00393CFF">
              <w:rPr>
                <w:rFonts w:eastAsia="Times New Roman"/>
                <w:b/>
                <w:kern w:val="0"/>
                <w14:ligatures w14:val="none"/>
              </w:rPr>
              <w:t>Training uptake by quarter</w:t>
            </w:r>
            <w:r w:rsidRPr="00393CFF">
              <w:rPr>
                <w:rFonts w:eastAsia="Times New Roman"/>
                <w:kern w:val="0"/>
                <w14:ligatures w14:val="none"/>
              </w:rPr>
              <w:t xml:space="preserve"> with enrolments, commencements, completions and </w:t>
            </w:r>
            <w:r w:rsidR="005E3933">
              <w:rPr>
                <w:rFonts w:eastAsia="Times New Roman"/>
                <w:kern w:val="0"/>
                <w:szCs w:val="22"/>
                <w14:ligatures w14:val="none"/>
              </w:rPr>
              <w:tab/>
            </w:r>
            <w:r w:rsidRPr="00393CFF">
              <w:rPr>
                <w:rFonts w:eastAsia="Times New Roman"/>
                <w:kern w:val="0"/>
                <w14:ligatures w14:val="none"/>
              </w:rPr>
              <w:t>committed funding to date  </w:t>
            </w:r>
          </w:p>
          <w:p w14:paraId="759ABBDA" w14:textId="096E6BD6" w:rsidR="00393CFF" w:rsidRPr="00393CFF" w:rsidRDefault="00393CFF" w:rsidP="00393CFF">
            <w:pPr>
              <w:numPr>
                <w:ilvl w:val="0"/>
                <w:numId w:val="36"/>
              </w:numPr>
              <w:spacing w:after="0" w:line="240" w:lineRule="auto"/>
              <w:ind w:left="825" w:firstLine="0"/>
              <w:textAlignment w:val="baseline"/>
              <w:rPr>
                <w:rFonts w:eastAsia="Times New Roman"/>
                <w:kern w:val="0"/>
                <w14:ligatures w14:val="none"/>
              </w:rPr>
            </w:pPr>
            <w:r w:rsidRPr="00393CFF">
              <w:rPr>
                <w:rFonts w:eastAsia="Times New Roman"/>
                <w:b/>
                <w:kern w:val="0"/>
                <w14:ligatures w14:val="none"/>
              </w:rPr>
              <w:t xml:space="preserve">Demographics </w:t>
            </w:r>
            <w:r w:rsidRPr="00393CFF">
              <w:rPr>
                <w:rFonts w:eastAsia="Times New Roman"/>
                <w:kern w:val="0"/>
                <w14:ligatures w14:val="none"/>
              </w:rPr>
              <w:t xml:space="preserve">of cumulative enrolments, commencements, and completions by </w:t>
            </w:r>
            <w:r w:rsidR="005E3933">
              <w:rPr>
                <w:rFonts w:eastAsia="Times New Roman"/>
                <w:kern w:val="0"/>
                <w:szCs w:val="22"/>
                <w14:ligatures w14:val="none"/>
              </w:rPr>
              <w:tab/>
            </w:r>
            <w:r w:rsidRPr="00393CFF">
              <w:rPr>
                <w:rFonts w:eastAsia="Times New Roman"/>
                <w:kern w:val="0"/>
                <w14:ligatures w14:val="none"/>
              </w:rPr>
              <w:t>agreed target cohorts to date.  </w:t>
            </w:r>
          </w:p>
          <w:p w14:paraId="4C259D2B" w14:textId="6C2BB081" w:rsidR="00393CFF" w:rsidRPr="00393CFF" w:rsidRDefault="00393CFF" w:rsidP="00393CFF">
            <w:pPr>
              <w:numPr>
                <w:ilvl w:val="0"/>
                <w:numId w:val="37"/>
              </w:numPr>
              <w:spacing w:after="0" w:line="240" w:lineRule="auto"/>
              <w:ind w:left="825" w:firstLine="0"/>
              <w:textAlignment w:val="baseline"/>
              <w:rPr>
                <w:rFonts w:eastAsia="Times New Roman"/>
                <w:kern w:val="0"/>
                <w14:ligatures w14:val="none"/>
              </w:rPr>
            </w:pPr>
            <w:r w:rsidRPr="00393CFF">
              <w:rPr>
                <w:rFonts w:eastAsia="Times New Roman"/>
                <w:b/>
                <w:kern w:val="0"/>
                <w14:ligatures w14:val="none"/>
              </w:rPr>
              <w:t>RTO Summary</w:t>
            </w:r>
            <w:r w:rsidRPr="00393CFF">
              <w:rPr>
                <w:rFonts w:eastAsia="Times New Roman"/>
                <w:kern w:val="0"/>
                <w14:ligatures w14:val="none"/>
              </w:rPr>
              <w:t xml:space="preserve"> of training providers by type (TAFE/Dual Sector/Private), including </w:t>
            </w:r>
            <w:r w:rsidR="005E3933">
              <w:rPr>
                <w:rFonts w:eastAsia="Times New Roman"/>
                <w:kern w:val="0"/>
                <w:szCs w:val="22"/>
                <w14:ligatures w14:val="none"/>
              </w:rPr>
              <w:tab/>
            </w:r>
            <w:r w:rsidRPr="00393CFF">
              <w:rPr>
                <w:rFonts w:eastAsia="Times New Roman"/>
                <w:kern w:val="0"/>
                <w14:ligatures w14:val="none"/>
              </w:rPr>
              <w:t>numbers and cumulative enrolments.   </w:t>
            </w:r>
          </w:p>
          <w:p w14:paraId="5A0B67F1" w14:textId="631F34CE" w:rsidR="00393CFF" w:rsidRPr="00393CFF" w:rsidRDefault="00393CFF" w:rsidP="00393CFF">
            <w:pPr>
              <w:numPr>
                <w:ilvl w:val="0"/>
                <w:numId w:val="38"/>
              </w:numPr>
              <w:spacing w:after="0" w:line="240" w:lineRule="auto"/>
              <w:ind w:left="825" w:firstLine="0"/>
              <w:textAlignment w:val="baseline"/>
              <w:rPr>
                <w:rFonts w:eastAsia="Times New Roman"/>
                <w:kern w:val="0"/>
                <w14:ligatures w14:val="none"/>
              </w:rPr>
            </w:pPr>
            <w:r w:rsidRPr="00393CFF">
              <w:rPr>
                <w:rFonts w:eastAsia="Times New Roman"/>
                <w:b/>
                <w:kern w:val="0"/>
                <w14:ligatures w14:val="none"/>
              </w:rPr>
              <w:t xml:space="preserve">RTO level data </w:t>
            </w:r>
            <w:r w:rsidRPr="00393CFF">
              <w:rPr>
                <w:rFonts w:eastAsia="Times New Roman"/>
                <w:kern w:val="0"/>
                <w14:ligatures w14:val="none"/>
              </w:rPr>
              <w:t xml:space="preserve">(where the required RTO level data is not available the Commonwealth </w:t>
            </w:r>
            <w:r w:rsidR="005E3933">
              <w:rPr>
                <w:rFonts w:eastAsia="Times New Roman"/>
                <w:kern w:val="0"/>
                <w:szCs w:val="22"/>
                <w14:ligatures w14:val="none"/>
              </w:rPr>
              <w:tab/>
            </w:r>
            <w:r w:rsidRPr="00393CFF">
              <w:rPr>
                <w:rFonts w:eastAsia="Times New Roman"/>
                <w:kern w:val="0"/>
                <w14:ligatures w14:val="none"/>
              </w:rPr>
              <w:t>may agree to modified reporting arrangements) including:   </w:t>
            </w:r>
          </w:p>
          <w:p w14:paraId="029F62EB" w14:textId="3F39AB10" w:rsidR="00393CFF" w:rsidRPr="00393CFF" w:rsidRDefault="00393CFF" w:rsidP="00393CFF">
            <w:pPr>
              <w:numPr>
                <w:ilvl w:val="0"/>
                <w:numId w:val="39"/>
              </w:numPr>
              <w:spacing w:after="0" w:line="240" w:lineRule="auto"/>
              <w:ind w:left="1545" w:firstLine="0"/>
              <w:textAlignment w:val="baseline"/>
              <w:rPr>
                <w:rFonts w:eastAsia="Times New Roman"/>
                <w:kern w:val="0"/>
                <w14:ligatures w14:val="none"/>
              </w:rPr>
            </w:pPr>
            <w:r w:rsidRPr="00393CFF">
              <w:rPr>
                <w:rFonts w:eastAsia="Times New Roman"/>
                <w:kern w:val="0"/>
                <w14:ligatures w14:val="none"/>
              </w:rPr>
              <w:t xml:space="preserve">RTO Name, RTO Code, RTO Sector (TAFE/Dual Sector/Private), course name, </w:t>
            </w:r>
            <w:r w:rsidR="005E3933">
              <w:rPr>
                <w:rFonts w:eastAsia="Times New Roman"/>
                <w:kern w:val="0"/>
                <w:szCs w:val="22"/>
                <w14:ligatures w14:val="none"/>
              </w:rPr>
              <w:tab/>
            </w:r>
            <w:r w:rsidRPr="00393CFF">
              <w:rPr>
                <w:rFonts w:eastAsia="Times New Roman"/>
                <w:kern w:val="0"/>
                <w14:ligatures w14:val="none"/>
              </w:rPr>
              <w:t>course code, course type, number of allocated places; and   </w:t>
            </w:r>
          </w:p>
          <w:p w14:paraId="37A28718" w14:textId="226451B1" w:rsidR="00393CFF" w:rsidRPr="00393CFF" w:rsidRDefault="00393CFF" w:rsidP="00393CFF">
            <w:pPr>
              <w:numPr>
                <w:ilvl w:val="0"/>
                <w:numId w:val="40"/>
              </w:numPr>
              <w:spacing w:after="0" w:line="240" w:lineRule="auto"/>
              <w:ind w:left="1545" w:firstLine="0"/>
              <w:textAlignment w:val="baseline"/>
              <w:rPr>
                <w:rFonts w:eastAsia="Times New Roman"/>
                <w:kern w:val="0"/>
                <w14:ligatures w14:val="none"/>
              </w:rPr>
            </w:pPr>
            <w:r w:rsidRPr="00393CFF">
              <w:rPr>
                <w:rFonts w:eastAsia="Times New Roman"/>
                <w:kern w:val="0"/>
                <w14:ligatures w14:val="none"/>
              </w:rPr>
              <w:t xml:space="preserve">Training uptake by RTO including cumulative enrolments, commencements, </w:t>
            </w:r>
            <w:r w:rsidR="005E3933">
              <w:rPr>
                <w:rFonts w:eastAsia="Times New Roman"/>
                <w:kern w:val="0"/>
                <w:szCs w:val="22"/>
                <w14:ligatures w14:val="none"/>
              </w:rPr>
              <w:tab/>
            </w:r>
            <w:r w:rsidRPr="00393CFF">
              <w:rPr>
                <w:rFonts w:eastAsia="Times New Roman"/>
                <w:kern w:val="0"/>
                <w14:ligatures w14:val="none"/>
              </w:rPr>
              <w:t>completions and committed funding.  </w:t>
            </w:r>
          </w:p>
          <w:p w14:paraId="712586A0" w14:textId="092859C9" w:rsidR="00393CFF" w:rsidRPr="00393CFF" w:rsidRDefault="00393CFF" w:rsidP="00393CFF">
            <w:pPr>
              <w:numPr>
                <w:ilvl w:val="0"/>
                <w:numId w:val="41"/>
              </w:numPr>
              <w:spacing w:after="0" w:line="240" w:lineRule="auto"/>
              <w:ind w:left="825" w:firstLine="0"/>
              <w:textAlignment w:val="baseline"/>
              <w:rPr>
                <w:rFonts w:eastAsia="Times New Roman"/>
                <w:kern w:val="0"/>
                <w14:ligatures w14:val="none"/>
              </w:rPr>
            </w:pPr>
            <w:r w:rsidRPr="00393CFF">
              <w:rPr>
                <w:rFonts w:eastAsia="Times New Roman"/>
                <w:b/>
                <w:kern w:val="0"/>
                <w14:ligatures w14:val="none"/>
              </w:rPr>
              <w:t>Course</w:t>
            </w:r>
            <w:r w:rsidRPr="00393CFF">
              <w:rPr>
                <w:rFonts w:eastAsia="Times New Roman"/>
                <w:kern w:val="0"/>
                <w14:ligatures w14:val="none"/>
              </w:rPr>
              <w:t xml:space="preserve"> </w:t>
            </w:r>
            <w:r w:rsidRPr="00393CFF">
              <w:rPr>
                <w:rFonts w:eastAsia="Times New Roman"/>
                <w:b/>
                <w:kern w:val="0"/>
                <w14:ligatures w14:val="none"/>
              </w:rPr>
              <w:t>level data</w:t>
            </w:r>
            <w:r w:rsidRPr="00393CFF">
              <w:rPr>
                <w:rFonts w:eastAsia="Times New Roman"/>
                <w:kern w:val="0"/>
                <w14:ligatures w14:val="none"/>
              </w:rPr>
              <w:t xml:space="preserve"> of cumulative training uptake including course name, course code, </w:t>
            </w:r>
            <w:r w:rsidR="005E3933">
              <w:rPr>
                <w:rFonts w:eastAsia="Times New Roman"/>
                <w:kern w:val="0"/>
                <w:szCs w:val="22"/>
                <w14:ligatures w14:val="none"/>
              </w:rPr>
              <w:tab/>
            </w:r>
            <w:r w:rsidRPr="00393CFF">
              <w:rPr>
                <w:rFonts w:eastAsia="Times New Roman"/>
                <w:kern w:val="0"/>
                <w14:ligatures w14:val="none"/>
              </w:rPr>
              <w:t xml:space="preserve">course type, price (existing training place), price (additional training place), and </w:t>
            </w:r>
            <w:r w:rsidR="005E3933">
              <w:rPr>
                <w:rFonts w:eastAsia="Times New Roman"/>
                <w:kern w:val="0"/>
                <w:szCs w:val="22"/>
                <w14:ligatures w14:val="none"/>
              </w:rPr>
              <w:tab/>
            </w:r>
            <w:r w:rsidRPr="00393CFF">
              <w:rPr>
                <w:rFonts w:eastAsia="Times New Roman"/>
                <w:kern w:val="0"/>
                <w14:ligatures w14:val="none"/>
              </w:rPr>
              <w:t xml:space="preserve">cumulative enrolments, commencements, completions, committed funding, and, </w:t>
            </w:r>
            <w:r w:rsidR="005E3933">
              <w:rPr>
                <w:rFonts w:eastAsia="Times New Roman"/>
                <w:kern w:val="0"/>
                <w:szCs w:val="22"/>
                <w14:ligatures w14:val="none"/>
              </w:rPr>
              <w:tab/>
            </w:r>
            <w:r w:rsidRPr="00393CFF">
              <w:rPr>
                <w:rFonts w:eastAsia="Times New Roman"/>
                <w:kern w:val="0"/>
                <w14:ligatures w14:val="none"/>
              </w:rPr>
              <w:t>where available, student cohorts.   </w:t>
            </w:r>
          </w:p>
        </w:tc>
        <w:tc>
          <w:tcPr>
            <w:tcW w:w="213" w:type="dxa"/>
            <w:tcBorders>
              <w:top w:val="single" w:sz="6" w:space="0" w:color="4F81BD"/>
              <w:left w:val="single" w:sz="6" w:space="0" w:color="4F81BD"/>
              <w:bottom w:val="single" w:sz="6" w:space="0" w:color="4F81BD"/>
              <w:right w:val="nil"/>
            </w:tcBorders>
            <w:shd w:val="clear" w:color="auto" w:fill="auto"/>
            <w:hideMark/>
          </w:tcPr>
          <w:p w14:paraId="47AA8FFA" w14:textId="77777777" w:rsidR="00393CFF" w:rsidRPr="00393CFF" w:rsidRDefault="00393CFF" w:rsidP="00393CFF">
            <w:pPr>
              <w:spacing w:after="0" w:line="240" w:lineRule="auto"/>
              <w:ind w:left="105"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w:t>
            </w:r>
          </w:p>
        </w:tc>
        <w:tc>
          <w:tcPr>
            <w:tcW w:w="5048" w:type="dxa"/>
            <w:tcBorders>
              <w:top w:val="single" w:sz="6" w:space="0" w:color="4F81BD"/>
              <w:left w:val="nil"/>
              <w:bottom w:val="single" w:sz="6" w:space="0" w:color="4F81BD"/>
              <w:right w:val="single" w:sz="6" w:space="0" w:color="4F81BD"/>
            </w:tcBorders>
            <w:shd w:val="clear" w:color="auto" w:fill="auto"/>
            <w:vAlign w:val="center"/>
            <w:hideMark/>
          </w:tcPr>
          <w:p w14:paraId="75623A5E" w14:textId="277383B8" w:rsidR="00393CFF" w:rsidRPr="00460D00" w:rsidRDefault="00393CFF" w:rsidP="00460D00">
            <w:pPr>
              <w:pStyle w:val="ListParagraph"/>
              <w:numPr>
                <w:ilvl w:val="0"/>
                <w:numId w:val="46"/>
              </w:numPr>
              <w:spacing w:after="0" w:line="240" w:lineRule="auto"/>
              <w:textAlignment w:val="baseline"/>
              <w:rPr>
                <w:rFonts w:ascii="Times New Roman" w:eastAsia="Times New Roman" w:hAnsi="Times New Roman" w:cs="Times New Roman"/>
                <w:kern w:val="0"/>
                <w:sz w:val="24"/>
                <w14:ligatures w14:val="none"/>
              </w:rPr>
            </w:pPr>
            <w:r w:rsidRPr="00460D00">
              <w:rPr>
                <w:rFonts w:eastAsia="Times New Roman"/>
                <w:kern w:val="0"/>
                <w:szCs w:val="22"/>
                <w14:ligatures w14:val="none"/>
              </w:rPr>
              <w:t>By the 15th day of the month following the end of the quarter for the life of the agreement, unless alternative arrangements agreed in implementation plan.  </w:t>
            </w:r>
          </w:p>
        </w:tc>
      </w:tr>
      <w:tr w:rsidR="00E633FF" w:rsidRPr="00393CFF" w14:paraId="3B696F35" w14:textId="77777777" w:rsidTr="00160A8C">
        <w:trPr>
          <w:trHeight w:val="1455"/>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69EB2745" w14:textId="77777777" w:rsidR="00393CFF" w:rsidRPr="00393CFF" w:rsidRDefault="00393CFF" w:rsidP="00393CFF">
            <w:pPr>
              <w:spacing w:after="0" w:line="240" w:lineRule="auto"/>
              <w:ind w:left="105" w:firstLine="0"/>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Mid-Fund Report  </w:t>
            </w:r>
            <w:r w:rsidRPr="00393CFF">
              <w:rPr>
                <w:rFonts w:eastAsia="Times New Roman"/>
                <w:kern w:val="0"/>
                <w:szCs w:val="22"/>
                <w14:ligatures w14:val="none"/>
              </w:rPr>
              <w:t> </w:t>
            </w:r>
          </w:p>
          <w:p w14:paraId="7D4E7C7F" w14:textId="77777777" w:rsidR="00393CFF" w:rsidRPr="00393CFF" w:rsidRDefault="00393CFF" w:rsidP="00393CFF">
            <w:pPr>
              <w:spacing w:after="0" w:line="240" w:lineRule="auto"/>
              <w:ind w:left="105"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The States will provide a report of progress, including demand for training and any changes in the health and/or economic environment, to inform any required adjustments including to the scope, size, timing and payment structure under the FFT Fund, to help inform the development of the next agreement.   </w:t>
            </w:r>
          </w:p>
        </w:tc>
        <w:tc>
          <w:tcPr>
            <w:tcW w:w="213" w:type="dxa"/>
            <w:tcBorders>
              <w:top w:val="single" w:sz="6" w:space="0" w:color="4F81BD"/>
              <w:left w:val="single" w:sz="6" w:space="0" w:color="4F81BD"/>
              <w:bottom w:val="single" w:sz="6" w:space="0" w:color="4F81BD"/>
              <w:right w:val="nil"/>
            </w:tcBorders>
            <w:shd w:val="clear" w:color="auto" w:fill="auto"/>
            <w:vAlign w:val="center"/>
            <w:hideMark/>
          </w:tcPr>
          <w:p w14:paraId="470B0CB2" w14:textId="777CC1A6" w:rsidR="00393CFF" w:rsidRPr="00393CFF" w:rsidRDefault="00393CFF" w:rsidP="00393CFF">
            <w:pPr>
              <w:spacing w:after="0" w:line="240" w:lineRule="auto"/>
              <w:ind w:left="105" w:firstLine="0"/>
              <w:textAlignment w:val="baseline"/>
              <w:rPr>
                <w:rFonts w:ascii="Times New Roman" w:eastAsia="Times New Roman" w:hAnsi="Times New Roman" w:cs="Times New Roman"/>
                <w:kern w:val="0"/>
                <w:sz w:val="24"/>
                <w14:ligatures w14:val="none"/>
              </w:rPr>
            </w:pPr>
          </w:p>
        </w:tc>
        <w:tc>
          <w:tcPr>
            <w:tcW w:w="5048" w:type="dxa"/>
            <w:tcBorders>
              <w:top w:val="single" w:sz="6" w:space="0" w:color="4F81BD"/>
              <w:left w:val="nil"/>
              <w:bottom w:val="single" w:sz="6" w:space="0" w:color="4F81BD"/>
              <w:right w:val="single" w:sz="6" w:space="0" w:color="4F81BD"/>
            </w:tcBorders>
            <w:shd w:val="clear" w:color="auto" w:fill="auto"/>
            <w:vAlign w:val="center"/>
            <w:hideMark/>
          </w:tcPr>
          <w:p w14:paraId="0DF2EC8C" w14:textId="77777777" w:rsidR="00393CFF" w:rsidRPr="00460D00" w:rsidRDefault="00393CFF" w:rsidP="00460D00">
            <w:pPr>
              <w:pStyle w:val="ListParagraph"/>
              <w:numPr>
                <w:ilvl w:val="0"/>
                <w:numId w:val="46"/>
              </w:numPr>
              <w:spacing w:after="0" w:line="240" w:lineRule="auto"/>
              <w:textAlignment w:val="baseline"/>
              <w:rPr>
                <w:rFonts w:ascii="Times New Roman" w:eastAsia="Times New Roman" w:hAnsi="Times New Roman" w:cs="Times New Roman"/>
                <w:kern w:val="0"/>
                <w:sz w:val="24"/>
                <w14:ligatures w14:val="none"/>
              </w:rPr>
            </w:pPr>
            <w:r w:rsidRPr="00460D00">
              <w:rPr>
                <w:rFonts w:eastAsia="Times New Roman"/>
                <w:kern w:val="0"/>
                <w:szCs w:val="22"/>
                <w14:ligatures w14:val="none"/>
              </w:rPr>
              <w:t>15 July 2023  </w:t>
            </w:r>
          </w:p>
        </w:tc>
      </w:tr>
      <w:tr w:rsidR="00393CFF" w:rsidRPr="00393CFF" w14:paraId="46758B8A" w14:textId="77777777" w:rsidTr="00160A8C">
        <w:trPr>
          <w:trHeight w:val="1635"/>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56DC0E82" w14:textId="77777777" w:rsidR="00393CFF" w:rsidRPr="00393CFF" w:rsidRDefault="00393CFF" w:rsidP="00393CFF">
            <w:pPr>
              <w:spacing w:after="0" w:line="240" w:lineRule="auto"/>
              <w:ind w:left="90" w:firstLine="0"/>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End of Fund Report </w:t>
            </w:r>
            <w:r w:rsidRPr="00393CFF">
              <w:rPr>
                <w:rFonts w:eastAsia="Times New Roman"/>
                <w:kern w:val="0"/>
                <w:szCs w:val="22"/>
                <w14:ligatures w14:val="none"/>
              </w:rPr>
              <w:t> </w:t>
            </w:r>
          </w:p>
          <w:p w14:paraId="53256B4A" w14:textId="77777777" w:rsidR="00393CFF" w:rsidRPr="00393CFF" w:rsidRDefault="00393CFF" w:rsidP="00393CFF">
            <w:pPr>
              <w:spacing w:after="0" w:line="240" w:lineRule="auto"/>
              <w:ind w:left="90" w:right="3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The States will provide an End of Fund Report which provides a stocktake and acquittal, including a review of the Fund and an assessment of its effectiveness in meeting the needs of the target cohorts within, each jurisdiction.   </w:t>
            </w:r>
          </w:p>
          <w:p w14:paraId="5D91DC75" w14:textId="77777777" w:rsidR="00393CFF" w:rsidRPr="00393CFF" w:rsidRDefault="00393CFF" w:rsidP="00393CFF">
            <w:pPr>
              <w:spacing w:after="0" w:line="240" w:lineRule="auto"/>
              <w:ind w:left="9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The Commonwealth will collaborate with States on the evaluation of the outcome of the initiative.</w:t>
            </w:r>
            <w:r w:rsidRPr="00393CFF">
              <w:rPr>
                <w:rFonts w:eastAsia="Times New Roman"/>
                <w:b/>
                <w:bCs/>
                <w:kern w:val="0"/>
                <w:szCs w:val="22"/>
                <w14:ligatures w14:val="none"/>
              </w:rPr>
              <w:t> </w:t>
            </w:r>
            <w:r w:rsidRPr="00393CFF">
              <w:rPr>
                <w:rFonts w:eastAsia="Times New Roman"/>
                <w:kern w:val="0"/>
                <w:szCs w:val="22"/>
                <w14:ligatures w14:val="none"/>
              </w:rPr>
              <w:t> </w:t>
            </w:r>
          </w:p>
        </w:tc>
        <w:tc>
          <w:tcPr>
            <w:tcW w:w="5261" w:type="dxa"/>
            <w:gridSpan w:val="2"/>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3FC367E5" w14:textId="026DAC26" w:rsidR="00393CFF" w:rsidRPr="00460D00" w:rsidRDefault="00393CFF" w:rsidP="00460D00">
            <w:pPr>
              <w:pStyle w:val="ListParagraph"/>
              <w:numPr>
                <w:ilvl w:val="0"/>
                <w:numId w:val="46"/>
              </w:numPr>
              <w:spacing w:after="0" w:line="240" w:lineRule="auto"/>
              <w:ind w:left="982"/>
              <w:textAlignment w:val="baseline"/>
              <w:rPr>
                <w:rFonts w:ascii="Times New Roman" w:eastAsia="Times New Roman" w:hAnsi="Times New Roman" w:cs="Times New Roman"/>
                <w:kern w:val="0"/>
                <w:sz w:val="24"/>
                <w14:ligatures w14:val="none"/>
              </w:rPr>
            </w:pPr>
            <w:r w:rsidRPr="00460D00">
              <w:rPr>
                <w:rFonts w:eastAsia="Times New Roman"/>
                <w:kern w:val="0"/>
                <w:szCs w:val="22"/>
                <w14:ligatures w14:val="none"/>
              </w:rPr>
              <w:t>31 July 2024  </w:t>
            </w:r>
          </w:p>
        </w:tc>
      </w:tr>
      <w:tr w:rsidR="00393CFF" w:rsidRPr="00393CFF" w14:paraId="5ABB3B92" w14:textId="77777777" w:rsidTr="00160A8C">
        <w:trPr>
          <w:trHeight w:val="1020"/>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267714B0" w14:textId="77777777" w:rsidR="00393CFF" w:rsidRPr="00393CFF" w:rsidRDefault="00393CFF" w:rsidP="00393CFF">
            <w:pPr>
              <w:spacing w:after="0" w:line="240" w:lineRule="auto"/>
              <w:ind w:left="9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lastRenderedPageBreak/>
              <w:t xml:space="preserve">For the </w:t>
            </w:r>
            <w:r w:rsidRPr="00393CFF">
              <w:rPr>
                <w:rFonts w:eastAsia="Times New Roman"/>
                <w:b/>
                <w:bCs/>
                <w:kern w:val="0"/>
                <w:szCs w:val="22"/>
                <w14:ligatures w14:val="none"/>
              </w:rPr>
              <w:t>TAFE Technology Fund</w:t>
            </w:r>
            <w:r w:rsidRPr="00393CFF">
              <w:rPr>
                <w:rFonts w:eastAsia="Times New Roman"/>
                <w:kern w:val="0"/>
                <w:szCs w:val="22"/>
                <w14:ligatures w14:val="none"/>
              </w:rPr>
              <w:t>, the responsible jurisdiction will provide:  </w:t>
            </w:r>
          </w:p>
          <w:p w14:paraId="41615876" w14:textId="77777777" w:rsidR="00393CFF" w:rsidRPr="00393CFF" w:rsidRDefault="00393CFF" w:rsidP="00393CFF">
            <w:pPr>
              <w:spacing w:after="0" w:line="240" w:lineRule="auto"/>
              <w:ind w:left="90" w:right="2895"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xml:space="preserve">- </w:t>
            </w:r>
            <w:r w:rsidRPr="00393CFF">
              <w:rPr>
                <w:rFonts w:eastAsia="Times New Roman"/>
                <w:kern w:val="0"/>
                <w:szCs w:val="22"/>
                <w14:ligatures w14:val="none"/>
              </w:rPr>
              <w:tab/>
              <w:t xml:space="preserve">quarterly progress reports against the individual Project Plan(s) - </w:t>
            </w:r>
            <w:r w:rsidRPr="00393CFF">
              <w:rPr>
                <w:rFonts w:eastAsia="Times New Roman"/>
                <w:kern w:val="0"/>
                <w:szCs w:val="22"/>
                <w14:ligatures w14:val="none"/>
              </w:rPr>
              <w:tab/>
              <w:t>a final acquittal report on completion of the project.  </w:t>
            </w:r>
          </w:p>
        </w:tc>
        <w:tc>
          <w:tcPr>
            <w:tcW w:w="5261" w:type="dxa"/>
            <w:gridSpan w:val="2"/>
            <w:tcBorders>
              <w:top w:val="single" w:sz="6" w:space="0" w:color="4F81BD"/>
              <w:left w:val="single" w:sz="6" w:space="0" w:color="4F81BD"/>
              <w:bottom w:val="single" w:sz="6" w:space="0" w:color="4F81BD"/>
              <w:right w:val="single" w:sz="6" w:space="0" w:color="4F81BD"/>
            </w:tcBorders>
            <w:shd w:val="clear" w:color="auto" w:fill="auto"/>
            <w:hideMark/>
          </w:tcPr>
          <w:p w14:paraId="4E8B8D5E" w14:textId="77777777" w:rsidR="00393CFF" w:rsidRPr="00393CFF" w:rsidRDefault="00393CFF" w:rsidP="00393CFF">
            <w:pPr>
              <w:spacing w:after="0" w:line="240" w:lineRule="auto"/>
              <w:ind w:left="450" w:right="60" w:hanging="36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xml:space="preserve">• </w:t>
            </w:r>
            <w:r w:rsidRPr="00393CFF">
              <w:rPr>
                <w:rFonts w:eastAsia="Times New Roman"/>
                <w:kern w:val="0"/>
                <w:szCs w:val="22"/>
                <w14:ligatures w14:val="none"/>
              </w:rPr>
              <w:tab/>
              <w:t>By the 15th day of the month following the end of the quarter for the life of the agreement on completion of the project.  </w:t>
            </w:r>
          </w:p>
        </w:tc>
      </w:tr>
      <w:tr w:rsidR="00393CFF" w:rsidRPr="00393CFF" w14:paraId="47A02217" w14:textId="77777777" w:rsidTr="00160A8C">
        <w:trPr>
          <w:trHeight w:val="1020"/>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5BE92382" w14:textId="77777777" w:rsidR="00393CFF" w:rsidRPr="00393CFF" w:rsidRDefault="00393CFF" w:rsidP="00393CFF">
            <w:pPr>
              <w:spacing w:after="0" w:line="240" w:lineRule="auto"/>
              <w:ind w:left="9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xml:space="preserve">For </w:t>
            </w:r>
            <w:r w:rsidRPr="00393CFF">
              <w:rPr>
                <w:rFonts w:eastAsia="Times New Roman"/>
                <w:b/>
                <w:bCs/>
                <w:kern w:val="0"/>
                <w:szCs w:val="22"/>
                <w14:ligatures w14:val="none"/>
              </w:rPr>
              <w:t>VET Student Loans</w:t>
            </w:r>
            <w:r w:rsidRPr="00393CFF">
              <w:rPr>
                <w:rFonts w:eastAsia="Times New Roman"/>
                <w:kern w:val="0"/>
                <w:szCs w:val="22"/>
                <w14:ligatures w14:val="none"/>
              </w:rPr>
              <w:t>, the Commonwealth will:  </w:t>
            </w:r>
          </w:p>
          <w:p w14:paraId="1A041968" w14:textId="77777777" w:rsidR="00393CFF" w:rsidRPr="00393CFF" w:rsidRDefault="00393CFF" w:rsidP="00393CFF">
            <w:pPr>
              <w:numPr>
                <w:ilvl w:val="0"/>
                <w:numId w:val="42"/>
              </w:numPr>
              <w:spacing w:after="0" w:line="240" w:lineRule="auto"/>
              <w:ind w:left="810" w:firstLine="0"/>
              <w:textAlignment w:val="baseline"/>
              <w:rPr>
                <w:rFonts w:eastAsia="Times New Roman"/>
                <w:kern w:val="0"/>
                <w:szCs w:val="22"/>
                <w14:ligatures w14:val="none"/>
              </w:rPr>
            </w:pPr>
            <w:r w:rsidRPr="00393CFF">
              <w:rPr>
                <w:rFonts w:eastAsia="Times New Roman"/>
                <w:kern w:val="0"/>
                <w:szCs w:val="22"/>
                <w14:ligatures w14:val="none"/>
              </w:rPr>
              <w:t>consult States on the development of the draft 2024 course list; and   </w:t>
            </w:r>
          </w:p>
          <w:p w14:paraId="2E98E6F0" w14:textId="77777777" w:rsidR="00393CFF" w:rsidRDefault="00393CFF" w:rsidP="00393CFF">
            <w:pPr>
              <w:numPr>
                <w:ilvl w:val="0"/>
                <w:numId w:val="43"/>
              </w:numPr>
              <w:spacing w:after="0" w:line="240" w:lineRule="auto"/>
              <w:ind w:left="810" w:firstLine="0"/>
              <w:textAlignment w:val="baseline"/>
              <w:rPr>
                <w:rFonts w:eastAsia="Times New Roman"/>
                <w:kern w:val="0"/>
                <w:szCs w:val="22"/>
                <w14:ligatures w14:val="none"/>
              </w:rPr>
            </w:pPr>
            <w:r w:rsidRPr="00393CFF">
              <w:rPr>
                <w:rFonts w:eastAsia="Times New Roman"/>
                <w:kern w:val="0"/>
                <w:szCs w:val="22"/>
                <w14:ligatures w14:val="none"/>
              </w:rPr>
              <w:t>provide the States with more data on the courses and profile of learners participating in VSL in their jurisdiction.   </w:t>
            </w:r>
          </w:p>
          <w:p w14:paraId="2A4F62D4" w14:textId="77777777" w:rsidR="00836926" w:rsidRPr="00393CFF" w:rsidRDefault="00836926" w:rsidP="00836926">
            <w:pPr>
              <w:spacing w:after="0" w:line="240" w:lineRule="auto"/>
              <w:ind w:left="810" w:firstLine="0"/>
              <w:textAlignment w:val="baseline"/>
              <w:rPr>
                <w:rFonts w:eastAsia="Times New Roman"/>
                <w:kern w:val="0"/>
                <w:szCs w:val="22"/>
                <w14:ligatures w14:val="none"/>
              </w:rPr>
            </w:pPr>
          </w:p>
        </w:tc>
        <w:tc>
          <w:tcPr>
            <w:tcW w:w="5261" w:type="dxa"/>
            <w:gridSpan w:val="2"/>
            <w:tcBorders>
              <w:top w:val="single" w:sz="6" w:space="0" w:color="4F81BD"/>
              <w:left w:val="single" w:sz="6" w:space="0" w:color="4F81BD"/>
              <w:bottom w:val="single" w:sz="6" w:space="0" w:color="4F81BD"/>
              <w:right w:val="single" w:sz="6" w:space="0" w:color="4F81BD"/>
            </w:tcBorders>
            <w:shd w:val="clear" w:color="auto" w:fill="auto"/>
            <w:hideMark/>
          </w:tcPr>
          <w:p w14:paraId="428F33C2" w14:textId="77777777" w:rsidR="00393CFF" w:rsidRPr="00393CFF" w:rsidRDefault="00393CFF" w:rsidP="00393CFF">
            <w:pPr>
              <w:numPr>
                <w:ilvl w:val="0"/>
                <w:numId w:val="44"/>
              </w:numPr>
              <w:spacing w:after="0" w:line="240" w:lineRule="auto"/>
              <w:ind w:left="810" w:firstLine="0"/>
              <w:textAlignment w:val="baseline"/>
              <w:rPr>
                <w:rFonts w:eastAsia="Times New Roman"/>
                <w:kern w:val="0"/>
                <w:szCs w:val="22"/>
                <w14:ligatures w14:val="none"/>
              </w:rPr>
            </w:pPr>
            <w:r w:rsidRPr="00393CFF">
              <w:rPr>
                <w:rFonts w:eastAsia="Times New Roman"/>
                <w:kern w:val="0"/>
                <w:szCs w:val="22"/>
                <w14:ligatures w14:val="none"/>
              </w:rPr>
              <w:t>From July 2023 (with the list to take effect   </w:t>
            </w:r>
          </w:p>
          <w:p w14:paraId="0AC18407" w14:textId="77777777" w:rsidR="00393CFF" w:rsidRPr="00393CFF" w:rsidRDefault="00393CFF" w:rsidP="00393CFF">
            <w:pPr>
              <w:spacing w:after="0" w:line="240" w:lineRule="auto"/>
              <w:ind w:left="45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1 January 2024)  </w:t>
            </w:r>
          </w:p>
          <w:p w14:paraId="3CF2BF42" w14:textId="77777777" w:rsidR="00393CFF" w:rsidRPr="00393CFF" w:rsidRDefault="00393CFF" w:rsidP="00393CFF">
            <w:pPr>
              <w:numPr>
                <w:ilvl w:val="0"/>
                <w:numId w:val="45"/>
              </w:numPr>
              <w:spacing w:after="0" w:line="240" w:lineRule="auto"/>
              <w:ind w:left="810" w:firstLine="0"/>
              <w:textAlignment w:val="baseline"/>
              <w:rPr>
                <w:rFonts w:eastAsia="Times New Roman"/>
                <w:kern w:val="0"/>
                <w:szCs w:val="22"/>
                <w14:ligatures w14:val="none"/>
              </w:rPr>
            </w:pPr>
            <w:r w:rsidRPr="00393CFF">
              <w:rPr>
                <w:rFonts w:eastAsia="Times New Roman"/>
                <w:kern w:val="0"/>
                <w:szCs w:val="22"/>
                <w14:ligatures w14:val="none"/>
              </w:rPr>
              <w:t>April 2023 and April 2024 </w:t>
            </w:r>
          </w:p>
        </w:tc>
      </w:tr>
      <w:tr w:rsidR="00393CFF" w:rsidRPr="00393CFF" w14:paraId="2E64A61D" w14:textId="77777777" w:rsidTr="00E633FF">
        <w:trPr>
          <w:trHeight w:val="300"/>
        </w:trPr>
        <w:tc>
          <w:tcPr>
            <w:tcW w:w="14593" w:type="dxa"/>
            <w:gridSpan w:val="3"/>
            <w:tcBorders>
              <w:top w:val="single" w:sz="6" w:space="0" w:color="4F81BD"/>
              <w:left w:val="single" w:sz="6" w:space="0" w:color="4F81BD"/>
              <w:bottom w:val="single" w:sz="6" w:space="0" w:color="4F81BD"/>
              <w:right w:val="single" w:sz="6" w:space="0" w:color="4F81BD"/>
            </w:tcBorders>
            <w:shd w:val="clear" w:color="auto" w:fill="auto"/>
            <w:hideMark/>
          </w:tcPr>
          <w:p w14:paraId="6548A166" w14:textId="77777777" w:rsidR="00393CFF" w:rsidRPr="00393CFF" w:rsidRDefault="00393CFF" w:rsidP="00393CFF">
            <w:pPr>
              <w:spacing w:after="0" w:line="240" w:lineRule="auto"/>
              <w:ind w:left="0" w:firstLine="0"/>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With respect to FFTT2 States will provide: </w:t>
            </w:r>
            <w:r w:rsidRPr="00393CFF">
              <w:rPr>
                <w:rFonts w:eastAsia="Times New Roman"/>
                <w:kern w:val="0"/>
                <w:szCs w:val="22"/>
                <w14:ligatures w14:val="none"/>
              </w:rPr>
              <w:t> </w:t>
            </w:r>
          </w:p>
        </w:tc>
      </w:tr>
      <w:tr w:rsidR="00393CFF" w:rsidRPr="00393CFF" w14:paraId="728C43E6" w14:textId="77777777" w:rsidTr="00160A8C">
        <w:trPr>
          <w:trHeight w:val="300"/>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66457B21" w14:textId="77777777" w:rsidR="00393CFF" w:rsidRPr="00393CFF" w:rsidRDefault="00393CFF" w:rsidP="00393CFF">
            <w:pPr>
              <w:spacing w:after="0" w:line="240" w:lineRule="auto"/>
              <w:ind w:left="0" w:firstLine="0"/>
              <w:jc w:val="center"/>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Report </w:t>
            </w:r>
            <w:r w:rsidRPr="00393CFF">
              <w:rPr>
                <w:rFonts w:eastAsia="Times New Roman"/>
                <w:kern w:val="0"/>
                <w:szCs w:val="22"/>
                <w14:ligatures w14:val="none"/>
              </w:rPr>
              <w:t> </w:t>
            </w:r>
          </w:p>
        </w:tc>
        <w:tc>
          <w:tcPr>
            <w:tcW w:w="5261" w:type="dxa"/>
            <w:gridSpan w:val="2"/>
            <w:tcBorders>
              <w:top w:val="single" w:sz="6" w:space="0" w:color="4F81BD"/>
              <w:left w:val="single" w:sz="6" w:space="0" w:color="4F81BD"/>
              <w:bottom w:val="single" w:sz="6" w:space="0" w:color="4F81BD"/>
              <w:right w:val="single" w:sz="6" w:space="0" w:color="4F81BD"/>
            </w:tcBorders>
            <w:shd w:val="clear" w:color="auto" w:fill="auto"/>
            <w:hideMark/>
          </w:tcPr>
          <w:p w14:paraId="12917D9A" w14:textId="77777777" w:rsidR="00393CFF" w:rsidRPr="00393CFF" w:rsidRDefault="00393CFF" w:rsidP="00393CFF">
            <w:pPr>
              <w:spacing w:after="0" w:line="240" w:lineRule="auto"/>
              <w:ind w:left="0" w:firstLine="0"/>
              <w:jc w:val="center"/>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Due </w:t>
            </w:r>
            <w:r w:rsidRPr="00393CFF">
              <w:rPr>
                <w:rFonts w:eastAsia="Times New Roman"/>
                <w:kern w:val="0"/>
                <w:szCs w:val="22"/>
                <w14:ligatures w14:val="none"/>
              </w:rPr>
              <w:t> </w:t>
            </w:r>
          </w:p>
        </w:tc>
      </w:tr>
      <w:tr w:rsidR="00393CFF" w:rsidRPr="00393CFF" w14:paraId="4090C413" w14:textId="77777777" w:rsidTr="00160A8C">
        <w:trPr>
          <w:trHeight w:val="1890"/>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0A15CF49" w14:textId="77777777" w:rsidR="00393CFF" w:rsidRPr="00393CFF" w:rsidRDefault="00393CFF" w:rsidP="00393CFF">
            <w:pPr>
              <w:spacing w:after="0" w:line="240" w:lineRule="auto"/>
              <w:ind w:left="45" w:firstLine="0"/>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Quarterly Reporting</w:t>
            </w:r>
            <w:r w:rsidRPr="00393CFF">
              <w:rPr>
                <w:rFonts w:eastAsia="Times New Roman"/>
                <w:kern w:val="0"/>
                <w:szCs w:val="22"/>
                <w14:ligatures w14:val="none"/>
              </w:rPr>
              <w:t xml:space="preserve"> States will continue to provide quarterly reports by the 15th day of the month following the end of the quarter for the life of this Agreement using the Fee-Free TAFE Tranche 1 agreed templates at Appendix E, unless alternative arrangements are agreed in the Implementation  </w:t>
            </w:r>
          </w:p>
          <w:p w14:paraId="01BDD966" w14:textId="77777777" w:rsidR="00393CFF" w:rsidRPr="00393CFF" w:rsidRDefault="00393CFF" w:rsidP="00393CFF">
            <w:pPr>
              <w:spacing w:after="0" w:line="240" w:lineRule="auto"/>
              <w:ind w:left="45"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Plan.  </w:t>
            </w:r>
            <w:r w:rsidRPr="00393CFF">
              <w:rPr>
                <w:rFonts w:eastAsia="Times New Roman"/>
                <w:kern w:val="0"/>
                <w:sz w:val="18"/>
                <w:szCs w:val="18"/>
                <w14:ligatures w14:val="none"/>
              </w:rPr>
              <w:t>  </w:t>
            </w:r>
          </w:p>
          <w:p w14:paraId="30A082D0" w14:textId="77777777" w:rsidR="00836926" w:rsidRDefault="00393CFF" w:rsidP="00393CFF">
            <w:pPr>
              <w:spacing w:after="0" w:line="240" w:lineRule="auto"/>
              <w:ind w:left="45" w:firstLine="0"/>
              <w:textAlignment w:val="baseline"/>
              <w:rPr>
                <w:rFonts w:eastAsia="Times New Roman"/>
                <w:kern w:val="0"/>
                <w:sz w:val="18"/>
                <w:szCs w:val="18"/>
                <w14:ligatures w14:val="none"/>
              </w:rPr>
            </w:pPr>
            <w:r w:rsidRPr="00393CFF">
              <w:rPr>
                <w:rFonts w:eastAsia="Times New Roman"/>
                <w:kern w:val="0"/>
                <w:szCs w:val="22"/>
                <w14:ligatures w14:val="none"/>
              </w:rPr>
              <w:t>States will also report on tuition fee savings (actual or estimated where not available) for students enrolled in FFTT2. Reporting arrangements may be revised once the transition to a new VET Information Standard and new reporting pathways is completed.   </w:t>
            </w:r>
            <w:r w:rsidRPr="00393CFF">
              <w:rPr>
                <w:rFonts w:eastAsia="Times New Roman"/>
                <w:kern w:val="0"/>
                <w:sz w:val="18"/>
                <w:szCs w:val="18"/>
                <w14:ligatures w14:val="none"/>
              </w:rPr>
              <w:t> </w:t>
            </w:r>
          </w:p>
          <w:p w14:paraId="6B49C22B" w14:textId="50498C84" w:rsidR="00393CFF" w:rsidRPr="00393CFF" w:rsidRDefault="00393CFF" w:rsidP="00393CFF">
            <w:pPr>
              <w:spacing w:after="0" w:line="240" w:lineRule="auto"/>
              <w:ind w:left="45" w:firstLine="0"/>
              <w:textAlignment w:val="baseline"/>
              <w:rPr>
                <w:rFonts w:ascii="Times New Roman" w:eastAsia="Times New Roman" w:hAnsi="Times New Roman" w:cs="Times New Roman"/>
                <w:kern w:val="0"/>
                <w:sz w:val="24"/>
                <w14:ligatures w14:val="none"/>
              </w:rPr>
            </w:pPr>
            <w:r w:rsidRPr="00393CFF">
              <w:rPr>
                <w:rFonts w:eastAsia="Times New Roman"/>
                <w:kern w:val="0"/>
                <w:sz w:val="18"/>
                <w:szCs w:val="18"/>
                <w14:ligatures w14:val="none"/>
              </w:rPr>
              <w:t> </w:t>
            </w:r>
          </w:p>
        </w:tc>
        <w:tc>
          <w:tcPr>
            <w:tcW w:w="5261" w:type="dxa"/>
            <w:gridSpan w:val="2"/>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07AADA99" w14:textId="77777777" w:rsidR="00393CFF" w:rsidRPr="00393CFF" w:rsidRDefault="00393CFF" w:rsidP="00393CFF">
            <w:pPr>
              <w:spacing w:after="0" w:line="240" w:lineRule="auto"/>
              <w:ind w:left="345" w:hanging="21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By the 15th day of the month following the end of the quarter for the life of this Agreement unless alternative arrangements are agreed in Implementation Plans.   </w:t>
            </w:r>
          </w:p>
        </w:tc>
      </w:tr>
      <w:tr w:rsidR="00393CFF" w:rsidRPr="00393CFF" w14:paraId="3F336525" w14:textId="77777777" w:rsidTr="00160A8C">
        <w:trPr>
          <w:trHeight w:val="2160"/>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0CBED1FD" w14:textId="77777777" w:rsidR="00393CFF" w:rsidRPr="00393CFF" w:rsidRDefault="00393CFF" w:rsidP="00393CFF">
            <w:pPr>
              <w:spacing w:after="0" w:line="240" w:lineRule="auto"/>
              <w:ind w:left="45" w:firstLine="0"/>
              <w:textAlignment w:val="baseline"/>
              <w:rPr>
                <w:rFonts w:ascii="Times New Roman" w:eastAsia="Times New Roman" w:hAnsi="Times New Roman" w:cs="Times New Roman"/>
                <w:kern w:val="0"/>
                <w:sz w:val="24"/>
                <w14:ligatures w14:val="none"/>
              </w:rPr>
            </w:pPr>
            <w:r w:rsidRPr="00393CFF">
              <w:rPr>
                <w:rFonts w:eastAsia="Times New Roman"/>
                <w:b/>
                <w:bCs/>
                <w:kern w:val="0"/>
                <w:szCs w:val="22"/>
                <w14:ligatures w14:val="none"/>
              </w:rPr>
              <w:t>Insights Report: </w:t>
            </w:r>
            <w:r w:rsidRPr="00393CFF">
              <w:rPr>
                <w:rFonts w:eastAsia="Times New Roman"/>
                <w:kern w:val="0"/>
                <w:szCs w:val="22"/>
                <w14:ligatures w14:val="none"/>
              </w:rPr>
              <w:t xml:space="preserve"> States will provide a review of progress, including demand for training and any changes in the economic environment. The review will also include an assessment of the effectiveness of Fee-Free TAFE Tranche 1 and 2 in meeting the needs of the target cohorts within each jurisdiction. The Commonwealth will collaborate with States on an evaluation of the initiative, incorporating the Insights Report. This evaluation is expected to be completed before the end of 2025. </w:t>
            </w:r>
            <w:r w:rsidRPr="00393CFF">
              <w:rPr>
                <w:rFonts w:eastAsia="Times New Roman"/>
                <w:b/>
                <w:bCs/>
                <w:kern w:val="0"/>
                <w:szCs w:val="22"/>
                <w14:ligatures w14:val="none"/>
              </w:rPr>
              <w:t> </w:t>
            </w:r>
            <w:r w:rsidRPr="00393CFF">
              <w:rPr>
                <w:rFonts w:eastAsia="Times New Roman"/>
                <w:kern w:val="0"/>
                <w:szCs w:val="22"/>
                <w14:ligatures w14:val="none"/>
              </w:rPr>
              <w:t> </w:t>
            </w:r>
          </w:p>
          <w:p w14:paraId="0F8A9C86" w14:textId="77777777" w:rsidR="00393CFF" w:rsidRPr="00393CFF" w:rsidRDefault="00393CFF" w:rsidP="00393CFF">
            <w:pPr>
              <w:spacing w:after="0" w:line="240" w:lineRule="auto"/>
              <w:ind w:left="45"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Once the evaluation is finalised, the Commonwealth and the States will consider the future of Fee Free TAFE beyond 2026, to be agreed by the Skills and Workforce Ministerial Council (SWMC).</w:t>
            </w:r>
            <w:r w:rsidRPr="00393CFF">
              <w:rPr>
                <w:rFonts w:eastAsia="Times New Roman"/>
                <w:b/>
                <w:bCs/>
                <w:kern w:val="0"/>
                <w:szCs w:val="22"/>
                <w14:ligatures w14:val="none"/>
              </w:rPr>
              <w:t> </w:t>
            </w:r>
            <w:r w:rsidRPr="00393CFF">
              <w:rPr>
                <w:rFonts w:eastAsia="Times New Roman"/>
                <w:kern w:val="0"/>
                <w:sz w:val="18"/>
                <w:szCs w:val="18"/>
                <w14:ligatures w14:val="none"/>
              </w:rPr>
              <w:t>  </w:t>
            </w:r>
          </w:p>
        </w:tc>
        <w:tc>
          <w:tcPr>
            <w:tcW w:w="5261" w:type="dxa"/>
            <w:gridSpan w:val="2"/>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53A36A57" w14:textId="77777777" w:rsidR="00393CFF" w:rsidRPr="00393CFF" w:rsidRDefault="00393CFF" w:rsidP="00393CFF">
            <w:pPr>
              <w:spacing w:after="0" w:line="240" w:lineRule="auto"/>
              <w:ind w:left="12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28 July 2025   </w:t>
            </w:r>
          </w:p>
        </w:tc>
      </w:tr>
      <w:tr w:rsidR="00393CFF" w:rsidRPr="00393CFF" w14:paraId="21340605" w14:textId="77777777" w:rsidTr="00160A8C">
        <w:trPr>
          <w:trHeight w:val="660"/>
        </w:trPr>
        <w:tc>
          <w:tcPr>
            <w:tcW w:w="9332" w:type="dxa"/>
            <w:tcBorders>
              <w:top w:val="single" w:sz="6" w:space="0" w:color="4F81BD"/>
              <w:left w:val="single" w:sz="6" w:space="0" w:color="4F81BD"/>
              <w:bottom w:val="single" w:sz="6" w:space="0" w:color="4F81BD"/>
              <w:right w:val="single" w:sz="6" w:space="0" w:color="4F81BD"/>
            </w:tcBorders>
            <w:shd w:val="clear" w:color="auto" w:fill="auto"/>
            <w:hideMark/>
          </w:tcPr>
          <w:p w14:paraId="2738FCDE" w14:textId="77777777" w:rsidR="00393CFF" w:rsidRDefault="00393CFF" w:rsidP="00393CFF">
            <w:pPr>
              <w:spacing w:after="0" w:line="240" w:lineRule="auto"/>
              <w:ind w:left="45" w:firstLine="0"/>
              <w:textAlignment w:val="baseline"/>
              <w:rPr>
                <w:rFonts w:eastAsia="Times New Roman"/>
                <w:kern w:val="0"/>
                <w:sz w:val="18"/>
                <w:szCs w:val="18"/>
                <w14:ligatures w14:val="none"/>
              </w:rPr>
            </w:pPr>
            <w:r w:rsidRPr="00393CFF">
              <w:rPr>
                <w:rFonts w:eastAsia="Times New Roman"/>
                <w:b/>
                <w:bCs/>
                <w:kern w:val="0"/>
                <w:szCs w:val="22"/>
                <w14:ligatures w14:val="none"/>
              </w:rPr>
              <w:t>End of Fund Report</w:t>
            </w:r>
            <w:r w:rsidRPr="00393CFF">
              <w:rPr>
                <w:rFonts w:eastAsia="Times New Roman"/>
                <w:kern w:val="0"/>
                <w:szCs w:val="22"/>
                <w14:ligatures w14:val="none"/>
              </w:rPr>
              <w:t xml:space="preserve"> States will provide an End of Fund Report which provides a stocktake and acquittal, including a review of FFTT2, and an assessment of its effectiveness in meeting the needs of the target cohorts within each jurisdiction. The Commonwealth will collaborate with States on the evaluation of the outcome of the initiative. </w:t>
            </w:r>
            <w:r w:rsidRPr="00393CFF">
              <w:rPr>
                <w:rFonts w:eastAsia="Times New Roman"/>
                <w:kern w:val="0"/>
                <w:sz w:val="18"/>
                <w:szCs w:val="18"/>
                <w14:ligatures w14:val="none"/>
              </w:rPr>
              <w:t>  </w:t>
            </w:r>
          </w:p>
          <w:p w14:paraId="75B02B8E" w14:textId="77777777" w:rsidR="00836926" w:rsidRDefault="00836926" w:rsidP="00393CFF">
            <w:pPr>
              <w:spacing w:after="0" w:line="240" w:lineRule="auto"/>
              <w:ind w:left="45" w:firstLine="0"/>
              <w:textAlignment w:val="baseline"/>
              <w:rPr>
                <w:rFonts w:ascii="Times New Roman" w:eastAsia="Times New Roman" w:hAnsi="Times New Roman" w:cs="Times New Roman"/>
                <w:kern w:val="0"/>
                <w:sz w:val="24"/>
                <w14:ligatures w14:val="none"/>
              </w:rPr>
            </w:pPr>
          </w:p>
          <w:p w14:paraId="31BC189B" w14:textId="77777777" w:rsidR="00774495" w:rsidRPr="00393CFF" w:rsidRDefault="00774495" w:rsidP="00774495">
            <w:pPr>
              <w:spacing w:after="0" w:line="240" w:lineRule="auto"/>
              <w:ind w:left="0" w:firstLine="0"/>
              <w:textAlignment w:val="baseline"/>
              <w:rPr>
                <w:rFonts w:ascii="Times New Roman" w:eastAsia="Times New Roman" w:hAnsi="Times New Roman" w:cs="Times New Roman"/>
                <w:kern w:val="0"/>
                <w:sz w:val="24"/>
                <w14:ligatures w14:val="none"/>
              </w:rPr>
            </w:pPr>
          </w:p>
        </w:tc>
        <w:tc>
          <w:tcPr>
            <w:tcW w:w="5261" w:type="dxa"/>
            <w:gridSpan w:val="2"/>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1808B5D2" w14:textId="77777777" w:rsidR="00393CFF" w:rsidRPr="00393CFF" w:rsidRDefault="00393CFF" w:rsidP="00393CFF">
            <w:pPr>
              <w:spacing w:after="0" w:line="240" w:lineRule="auto"/>
              <w:ind w:left="120" w:firstLine="0"/>
              <w:textAlignment w:val="baseline"/>
              <w:rPr>
                <w:rFonts w:ascii="Times New Roman" w:eastAsia="Times New Roman" w:hAnsi="Times New Roman" w:cs="Times New Roman"/>
                <w:kern w:val="0"/>
                <w:sz w:val="24"/>
                <w14:ligatures w14:val="none"/>
              </w:rPr>
            </w:pPr>
            <w:r w:rsidRPr="00393CFF">
              <w:rPr>
                <w:rFonts w:eastAsia="Times New Roman"/>
                <w:kern w:val="0"/>
                <w:szCs w:val="22"/>
                <w14:ligatures w14:val="none"/>
              </w:rPr>
              <w:t>• 29 June 2027   </w:t>
            </w:r>
          </w:p>
        </w:tc>
      </w:tr>
    </w:tbl>
    <w:tbl>
      <w:tblPr>
        <w:tblpPr w:leftFromText="180" w:rightFromText="180" w:vertAnchor="page" w:horzAnchor="margin" w:tblpY="2261"/>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gridCol w:w="5245"/>
      </w:tblGrid>
      <w:tr w:rsidR="00774495" w:rsidRPr="0043712F" w14:paraId="474C066D" w14:textId="77777777" w:rsidTr="220EAA74">
        <w:trPr>
          <w:trHeight w:val="200"/>
        </w:trPr>
        <w:tc>
          <w:tcPr>
            <w:tcW w:w="9348" w:type="dxa"/>
            <w:tcBorders>
              <w:top w:val="single" w:sz="6" w:space="0" w:color="4F81BD"/>
              <w:left w:val="single" w:sz="6" w:space="0" w:color="4F81BD"/>
              <w:bottom w:val="single" w:sz="6" w:space="0" w:color="4F81BD"/>
              <w:right w:val="single" w:sz="6" w:space="0" w:color="4F81BD"/>
            </w:tcBorders>
            <w:shd w:val="clear" w:color="auto" w:fill="F2F2F2" w:themeFill="background1" w:themeFillShade="F2"/>
          </w:tcPr>
          <w:p w14:paraId="0A906536" w14:textId="60968EED" w:rsidR="00774495" w:rsidRPr="00227509" w:rsidRDefault="00774495" w:rsidP="00774495">
            <w:pPr>
              <w:spacing w:after="0" w:line="240" w:lineRule="auto"/>
              <w:ind w:left="0" w:firstLine="0"/>
              <w:textAlignment w:val="baseline"/>
              <w:rPr>
                <w:rFonts w:eastAsia="Times New Roman"/>
                <w:b/>
                <w:bCs/>
                <w:color w:val="auto"/>
                <w:kern w:val="0"/>
                <w:szCs w:val="22"/>
                <w14:ligatures w14:val="none"/>
              </w:rPr>
            </w:pPr>
            <w:r w:rsidRPr="00227509">
              <w:rPr>
                <w:rFonts w:eastAsia="Times New Roman"/>
                <w:b/>
                <w:color w:val="auto"/>
                <w:kern w:val="0"/>
                <w:szCs w:val="22"/>
                <w14:ligatures w14:val="none"/>
              </w:rPr>
              <w:lastRenderedPageBreak/>
              <w:t>With respect to Fee-Free Construction, States will provide: </w:t>
            </w:r>
          </w:p>
        </w:tc>
        <w:tc>
          <w:tcPr>
            <w:tcW w:w="5245" w:type="dxa"/>
            <w:tcBorders>
              <w:top w:val="single" w:sz="6" w:space="0" w:color="4F81BD"/>
              <w:left w:val="single" w:sz="6" w:space="0" w:color="4F81BD"/>
              <w:bottom w:val="single" w:sz="6" w:space="0" w:color="4F81BD"/>
              <w:right w:val="single" w:sz="6" w:space="0" w:color="4F81BD"/>
            </w:tcBorders>
            <w:shd w:val="clear" w:color="auto" w:fill="F2F2F2" w:themeFill="background1" w:themeFillShade="F2"/>
          </w:tcPr>
          <w:p w14:paraId="608772CD" w14:textId="77777777" w:rsidR="00774495" w:rsidRPr="00227509" w:rsidRDefault="00774495" w:rsidP="00954990">
            <w:pPr>
              <w:spacing w:after="0" w:line="240" w:lineRule="auto"/>
              <w:ind w:left="0" w:firstLine="0"/>
              <w:jc w:val="center"/>
              <w:textAlignment w:val="baseline"/>
              <w:rPr>
                <w:rFonts w:eastAsia="Times New Roman"/>
                <w:b/>
                <w:bCs/>
                <w:color w:val="auto"/>
                <w:kern w:val="0"/>
                <w:szCs w:val="22"/>
                <w14:ligatures w14:val="none"/>
              </w:rPr>
            </w:pPr>
          </w:p>
        </w:tc>
      </w:tr>
      <w:tr w:rsidR="00954990" w:rsidRPr="0043712F" w14:paraId="719F2254" w14:textId="77777777" w:rsidTr="220EAA74">
        <w:trPr>
          <w:trHeight w:val="200"/>
        </w:trPr>
        <w:tc>
          <w:tcPr>
            <w:tcW w:w="9348" w:type="dxa"/>
            <w:tcBorders>
              <w:top w:val="single" w:sz="6" w:space="0" w:color="4F81BD"/>
              <w:left w:val="single" w:sz="6" w:space="0" w:color="4F81BD"/>
              <w:bottom w:val="single" w:sz="6" w:space="0" w:color="4F81BD"/>
              <w:right w:val="single" w:sz="6" w:space="0" w:color="4F81BD"/>
            </w:tcBorders>
            <w:shd w:val="clear" w:color="auto" w:fill="F2F2F2" w:themeFill="background1" w:themeFillShade="F2"/>
          </w:tcPr>
          <w:p w14:paraId="548EB82F" w14:textId="00F4DD8B" w:rsidR="00954990" w:rsidRPr="00227509" w:rsidRDefault="00954990" w:rsidP="00954990">
            <w:pPr>
              <w:spacing w:after="0" w:line="240" w:lineRule="auto"/>
              <w:ind w:left="0" w:firstLine="0"/>
              <w:jc w:val="center"/>
              <w:textAlignment w:val="baseline"/>
              <w:rPr>
                <w:rFonts w:eastAsia="Times New Roman"/>
                <w:b/>
                <w:bCs/>
                <w:color w:val="auto"/>
                <w:kern w:val="0"/>
                <w:szCs w:val="22"/>
                <w14:ligatures w14:val="none"/>
              </w:rPr>
            </w:pPr>
            <w:r w:rsidRPr="00227509">
              <w:rPr>
                <w:rFonts w:eastAsia="Times New Roman"/>
                <w:b/>
                <w:bCs/>
                <w:color w:val="auto"/>
                <w:kern w:val="0"/>
                <w:szCs w:val="22"/>
                <w14:ligatures w14:val="none"/>
              </w:rPr>
              <w:t>Report</w:t>
            </w:r>
            <w:r w:rsidRPr="00227509">
              <w:rPr>
                <w:rFonts w:eastAsia="Times New Roman"/>
                <w:color w:val="auto"/>
                <w:kern w:val="0"/>
                <w:szCs w:val="22"/>
                <w14:ligatures w14:val="none"/>
              </w:rPr>
              <w:t> </w:t>
            </w:r>
          </w:p>
        </w:tc>
        <w:tc>
          <w:tcPr>
            <w:tcW w:w="5245" w:type="dxa"/>
            <w:tcBorders>
              <w:top w:val="single" w:sz="6" w:space="0" w:color="4F81BD"/>
              <w:left w:val="single" w:sz="6" w:space="0" w:color="4F81BD"/>
              <w:bottom w:val="single" w:sz="6" w:space="0" w:color="4F81BD"/>
              <w:right w:val="single" w:sz="6" w:space="0" w:color="4F81BD"/>
            </w:tcBorders>
            <w:shd w:val="clear" w:color="auto" w:fill="F2F2F2" w:themeFill="background1" w:themeFillShade="F2"/>
          </w:tcPr>
          <w:p w14:paraId="023CCD5D" w14:textId="4CE3CCA0" w:rsidR="00954990" w:rsidRPr="00227509" w:rsidRDefault="00954990" w:rsidP="00954990">
            <w:pPr>
              <w:spacing w:after="0" w:line="240" w:lineRule="auto"/>
              <w:ind w:left="0" w:firstLine="0"/>
              <w:jc w:val="center"/>
              <w:textAlignment w:val="baseline"/>
              <w:rPr>
                <w:rFonts w:eastAsia="Times New Roman"/>
                <w:b/>
                <w:bCs/>
                <w:color w:val="auto"/>
                <w:kern w:val="0"/>
                <w:szCs w:val="22"/>
                <w14:ligatures w14:val="none"/>
              </w:rPr>
            </w:pPr>
            <w:r w:rsidRPr="00227509">
              <w:rPr>
                <w:rFonts w:eastAsia="Times New Roman"/>
                <w:b/>
                <w:bCs/>
                <w:color w:val="auto"/>
                <w:kern w:val="0"/>
                <w:szCs w:val="22"/>
                <w14:ligatures w14:val="none"/>
              </w:rPr>
              <w:t>Due</w:t>
            </w:r>
            <w:r w:rsidRPr="00227509">
              <w:rPr>
                <w:rFonts w:eastAsia="Times New Roman"/>
                <w:color w:val="auto"/>
                <w:kern w:val="0"/>
                <w:szCs w:val="22"/>
                <w14:ligatures w14:val="none"/>
              </w:rPr>
              <w:t>  </w:t>
            </w:r>
          </w:p>
        </w:tc>
      </w:tr>
      <w:tr w:rsidR="00954990" w:rsidRPr="0043712F" w14:paraId="2D6A0E20" w14:textId="77777777" w:rsidTr="220EAA74">
        <w:trPr>
          <w:trHeight w:val="300"/>
        </w:trPr>
        <w:tc>
          <w:tcPr>
            <w:tcW w:w="9348" w:type="dxa"/>
            <w:tcBorders>
              <w:top w:val="single" w:sz="6" w:space="0" w:color="4F81BD"/>
              <w:left w:val="single" w:sz="6" w:space="0" w:color="4F81BD"/>
              <w:bottom w:val="single" w:sz="6" w:space="0" w:color="4F81BD"/>
              <w:right w:val="single" w:sz="6" w:space="0" w:color="4F81BD"/>
            </w:tcBorders>
            <w:shd w:val="clear" w:color="auto" w:fill="auto"/>
            <w:vAlign w:val="center"/>
          </w:tcPr>
          <w:p w14:paraId="58ACAECD" w14:textId="77777777" w:rsidR="00954990" w:rsidRPr="00227509" w:rsidRDefault="00954990" w:rsidP="00954990">
            <w:pPr>
              <w:spacing w:after="0" w:line="240" w:lineRule="auto"/>
              <w:ind w:left="129" w:firstLine="0"/>
              <w:textAlignment w:val="baseline"/>
              <w:rPr>
                <w:rFonts w:ascii="Segoe UI" w:eastAsia="Times New Roman" w:hAnsi="Segoe UI" w:cs="Segoe UI"/>
                <w:color w:val="auto"/>
                <w:kern w:val="0"/>
                <w:sz w:val="18"/>
                <w:szCs w:val="18"/>
                <w14:ligatures w14:val="none"/>
              </w:rPr>
            </w:pPr>
            <w:r w:rsidRPr="00227509">
              <w:rPr>
                <w:rFonts w:eastAsia="Times New Roman"/>
                <w:b/>
                <w:bCs/>
                <w:color w:val="auto"/>
                <w:kern w:val="0"/>
                <w:szCs w:val="22"/>
                <w14:ligatures w14:val="none"/>
              </w:rPr>
              <w:t>Quarterly Reporting</w:t>
            </w:r>
            <w:r w:rsidRPr="00227509">
              <w:rPr>
                <w:rFonts w:eastAsia="Times New Roman"/>
                <w:color w:val="auto"/>
                <w:kern w:val="0"/>
                <w:szCs w:val="22"/>
                <w14:ligatures w14:val="none"/>
              </w:rPr>
              <w:t> States will continue to provide quarterly reports by the 15</w:t>
            </w:r>
            <w:r w:rsidRPr="00227509">
              <w:rPr>
                <w:rFonts w:eastAsia="Times New Roman"/>
                <w:color w:val="auto"/>
                <w:kern w:val="0"/>
                <w:sz w:val="17"/>
                <w:szCs w:val="17"/>
                <w:vertAlign w:val="superscript"/>
                <w14:ligatures w14:val="none"/>
              </w:rPr>
              <w:t>th</w:t>
            </w:r>
            <w:r w:rsidRPr="00227509">
              <w:rPr>
                <w:rFonts w:eastAsia="Times New Roman"/>
                <w:color w:val="auto"/>
                <w:kern w:val="0"/>
                <w:szCs w:val="22"/>
                <w14:ligatures w14:val="none"/>
              </w:rPr>
              <w:t xml:space="preserve"> day of the month following the end of the quarter for the life of this Agreement using the  </w:t>
            </w:r>
            <w:r w:rsidRPr="00227509">
              <w:rPr>
                <w:rFonts w:eastAsia="Times New Roman"/>
                <w:color w:val="auto"/>
                <w:kern w:val="0"/>
                <w:szCs w:val="22"/>
                <w14:ligatures w14:val="none"/>
              </w:rPr>
              <w:br/>
              <w:t>Fee-Free TAFE Tranche 2 agreed templates at Appendix E, unless alternative arrangements are agreed in the Implementation Plan.   </w:t>
            </w:r>
          </w:p>
          <w:p w14:paraId="7D8B78EA" w14:textId="5A758A1A" w:rsidR="00954990" w:rsidRPr="00227509" w:rsidRDefault="0F94683E" w:rsidP="54DBD1A0">
            <w:pPr>
              <w:spacing w:after="0" w:line="240" w:lineRule="auto"/>
              <w:ind w:left="129" w:firstLine="0"/>
              <w:textAlignment w:val="baseline"/>
              <w:rPr>
                <w:rFonts w:eastAsia="Times New Roman"/>
                <w:b/>
                <w:bCs/>
                <w:color w:val="auto"/>
                <w:kern w:val="0"/>
                <w14:ligatures w14:val="none"/>
              </w:rPr>
            </w:pPr>
            <w:r w:rsidRPr="00227509">
              <w:rPr>
                <w:rFonts w:eastAsia="Times New Roman"/>
                <w:color w:val="auto"/>
                <w:kern w:val="0"/>
                <w14:ligatures w14:val="none"/>
              </w:rPr>
              <w:t xml:space="preserve">States will report </w:t>
            </w:r>
            <w:r w:rsidR="363BEC5C" w:rsidRPr="00227509">
              <w:rPr>
                <w:rFonts w:eastAsia="Times New Roman"/>
                <w:color w:val="auto"/>
                <w:kern w:val="0"/>
                <w14:ligatures w14:val="none"/>
              </w:rPr>
              <w:t xml:space="preserve">and </w:t>
            </w:r>
            <w:r w:rsidRPr="00227509">
              <w:rPr>
                <w:rFonts w:eastAsia="Times New Roman"/>
                <w:color w:val="auto"/>
                <w:kern w:val="0"/>
                <w14:ligatures w14:val="none"/>
              </w:rPr>
              <w:t>identif</w:t>
            </w:r>
            <w:r w:rsidR="120CB693" w:rsidRPr="00227509">
              <w:rPr>
                <w:rFonts w:eastAsia="Times New Roman"/>
                <w:color w:val="auto"/>
                <w:kern w:val="0"/>
                <w14:ligatures w14:val="none"/>
              </w:rPr>
              <w:t xml:space="preserve">y </w:t>
            </w:r>
            <w:r w:rsidRPr="00227509">
              <w:rPr>
                <w:rFonts w:eastAsia="Times New Roman"/>
                <w:color w:val="auto"/>
                <w:kern w:val="0"/>
                <w14:ligatures w14:val="none"/>
              </w:rPr>
              <w:t>new places for Fee-Free Construction as part of quarterly reporting. Reporting arrangements may be revised once the transition to a new VET Information Standard and new reporting pathways is completed.    </w:t>
            </w:r>
          </w:p>
        </w:tc>
        <w:tc>
          <w:tcPr>
            <w:tcW w:w="5245" w:type="dxa"/>
            <w:tcBorders>
              <w:top w:val="single" w:sz="6" w:space="0" w:color="4F81BD"/>
              <w:left w:val="single" w:sz="6" w:space="0" w:color="4F81BD"/>
              <w:bottom w:val="single" w:sz="6" w:space="0" w:color="4F81BD"/>
              <w:right w:val="single" w:sz="6" w:space="0" w:color="4F81BD"/>
            </w:tcBorders>
            <w:shd w:val="clear" w:color="auto" w:fill="auto"/>
            <w:vAlign w:val="center"/>
          </w:tcPr>
          <w:p w14:paraId="6AAA96DA" w14:textId="6027B0C9" w:rsidR="00954990" w:rsidRPr="00227509" w:rsidRDefault="00954990" w:rsidP="00954990">
            <w:pPr>
              <w:pStyle w:val="ListParagraph"/>
              <w:numPr>
                <w:ilvl w:val="0"/>
                <w:numId w:val="29"/>
              </w:numPr>
              <w:spacing w:after="0" w:line="240" w:lineRule="auto"/>
              <w:ind w:hanging="212"/>
              <w:textAlignment w:val="baseline"/>
              <w:rPr>
                <w:rFonts w:eastAsia="Times New Roman"/>
                <w:color w:val="auto"/>
                <w:kern w:val="0"/>
                <w:szCs w:val="22"/>
                <w14:ligatures w14:val="none"/>
              </w:rPr>
            </w:pPr>
            <w:r w:rsidRPr="00227509">
              <w:rPr>
                <w:rFonts w:eastAsia="Times New Roman"/>
                <w:color w:val="auto"/>
                <w:kern w:val="0"/>
                <w:szCs w:val="22"/>
                <w14:ligatures w14:val="none"/>
              </w:rPr>
              <w:t>By the 15</w:t>
            </w:r>
            <w:r w:rsidRPr="00227509">
              <w:rPr>
                <w:rFonts w:eastAsia="Times New Roman"/>
                <w:color w:val="auto"/>
                <w:kern w:val="0"/>
                <w:sz w:val="17"/>
                <w:szCs w:val="17"/>
                <w:vertAlign w:val="superscript"/>
                <w14:ligatures w14:val="none"/>
              </w:rPr>
              <w:t>th</w:t>
            </w:r>
            <w:r w:rsidRPr="00227509">
              <w:rPr>
                <w:rFonts w:eastAsia="Times New Roman"/>
                <w:color w:val="auto"/>
                <w:kern w:val="0"/>
                <w:szCs w:val="22"/>
                <w14:ligatures w14:val="none"/>
              </w:rPr>
              <w:t xml:space="preserve"> day of the month following the end of the quarter for the life of this Agreement unless alternative arrangements are agreed in Implementation Plans.  </w:t>
            </w:r>
          </w:p>
        </w:tc>
      </w:tr>
      <w:tr w:rsidR="00954990" w:rsidRPr="002E3CCD" w14:paraId="07ABD2D2" w14:textId="77777777" w:rsidTr="220EAA74">
        <w:trPr>
          <w:trHeight w:val="300"/>
        </w:trPr>
        <w:tc>
          <w:tcPr>
            <w:tcW w:w="9348" w:type="dxa"/>
            <w:tcBorders>
              <w:top w:val="single" w:sz="6" w:space="0" w:color="4F81BD"/>
              <w:left w:val="single" w:sz="6" w:space="0" w:color="4F81BD"/>
              <w:bottom w:val="single" w:sz="6" w:space="0" w:color="4F81BD"/>
              <w:right w:val="single" w:sz="6" w:space="0" w:color="4F81BD"/>
            </w:tcBorders>
            <w:shd w:val="clear" w:color="auto" w:fill="auto"/>
            <w:vAlign w:val="center"/>
          </w:tcPr>
          <w:p w14:paraId="2550BB23" w14:textId="60CFC938" w:rsidR="00954990" w:rsidRPr="00227509" w:rsidRDefault="00954990" w:rsidP="00954990">
            <w:pPr>
              <w:spacing w:after="0" w:line="240" w:lineRule="auto"/>
              <w:ind w:left="129" w:firstLine="0"/>
              <w:textAlignment w:val="baseline"/>
              <w:rPr>
                <w:rFonts w:eastAsia="Times New Roman"/>
                <w:b/>
                <w:bCs/>
                <w:color w:val="auto"/>
                <w:kern w:val="0"/>
                <w14:ligatures w14:val="none"/>
              </w:rPr>
            </w:pPr>
            <w:r w:rsidRPr="00227509">
              <w:rPr>
                <w:rFonts w:eastAsia="Times New Roman"/>
                <w:b/>
                <w:bCs/>
                <w:color w:val="auto"/>
                <w:kern w:val="0"/>
                <w14:ligatures w14:val="none"/>
              </w:rPr>
              <w:t xml:space="preserve">Insights Checkpoint </w:t>
            </w:r>
            <w:r w:rsidRPr="00227509">
              <w:rPr>
                <w:rFonts w:eastAsia="Times New Roman"/>
                <w:color w:val="auto"/>
                <w:kern w:val="0"/>
                <w14:ligatures w14:val="none"/>
              </w:rPr>
              <w:t xml:space="preserve">As part of Quarter 4 reporting for 2025, States will provide </w:t>
            </w:r>
            <w:r w:rsidRPr="00227509">
              <w:rPr>
                <w:rFonts w:eastAsia="Corbel"/>
              </w:rPr>
              <w:t>an update on progress, including insights on demand for training, capacity of training organisations to deliver new places and any changes in the economic environment.</w:t>
            </w:r>
          </w:p>
        </w:tc>
        <w:tc>
          <w:tcPr>
            <w:tcW w:w="5245" w:type="dxa"/>
            <w:tcBorders>
              <w:top w:val="single" w:sz="6" w:space="0" w:color="4F81BD"/>
              <w:left w:val="single" w:sz="6" w:space="0" w:color="4F81BD"/>
              <w:bottom w:val="single" w:sz="6" w:space="0" w:color="4F81BD"/>
              <w:right w:val="single" w:sz="6" w:space="0" w:color="4F81BD"/>
            </w:tcBorders>
            <w:shd w:val="clear" w:color="auto" w:fill="auto"/>
            <w:vAlign w:val="center"/>
          </w:tcPr>
          <w:p w14:paraId="2527EC95" w14:textId="14958861" w:rsidR="00954990" w:rsidRPr="00227509" w:rsidRDefault="00954990" w:rsidP="00954990">
            <w:pPr>
              <w:pStyle w:val="ListParagraph"/>
              <w:numPr>
                <w:ilvl w:val="0"/>
                <w:numId w:val="29"/>
              </w:numPr>
              <w:spacing w:after="0" w:line="240" w:lineRule="auto"/>
              <w:ind w:hanging="212"/>
              <w:textAlignment w:val="baseline"/>
              <w:rPr>
                <w:rFonts w:eastAsia="Times New Roman"/>
                <w:color w:val="auto"/>
                <w:kern w:val="0"/>
                <w:szCs w:val="22"/>
                <w14:ligatures w14:val="none"/>
              </w:rPr>
            </w:pPr>
            <w:r w:rsidRPr="00227509">
              <w:rPr>
                <w:rFonts w:eastAsia="Times New Roman"/>
                <w:color w:val="auto"/>
                <w:kern w:val="0"/>
                <w:szCs w:val="22"/>
                <w14:ligatures w14:val="none"/>
              </w:rPr>
              <w:t>January 2026</w:t>
            </w:r>
          </w:p>
        </w:tc>
      </w:tr>
      <w:tr w:rsidR="00954990" w:rsidRPr="0043712F" w14:paraId="22522D83" w14:textId="77777777" w:rsidTr="220EAA74">
        <w:trPr>
          <w:trHeight w:val="300"/>
        </w:trPr>
        <w:tc>
          <w:tcPr>
            <w:tcW w:w="9348" w:type="dxa"/>
            <w:tcBorders>
              <w:top w:val="single" w:sz="6" w:space="0" w:color="4F81BD"/>
              <w:left w:val="single" w:sz="6" w:space="0" w:color="4F81BD"/>
              <w:bottom w:val="single" w:sz="6" w:space="0" w:color="4F81BD"/>
              <w:right w:val="single" w:sz="6" w:space="0" w:color="4F81BD"/>
            </w:tcBorders>
            <w:shd w:val="clear" w:color="auto" w:fill="auto"/>
            <w:vAlign w:val="center"/>
          </w:tcPr>
          <w:p w14:paraId="45A8C9DD" w14:textId="46B6CF29" w:rsidR="00954990" w:rsidRPr="00227509" w:rsidRDefault="00954990" w:rsidP="00954990">
            <w:pPr>
              <w:spacing w:after="0" w:line="240" w:lineRule="auto"/>
              <w:ind w:left="129" w:firstLine="0"/>
              <w:textAlignment w:val="baseline"/>
              <w:rPr>
                <w:rFonts w:eastAsia="Times New Roman"/>
                <w:color w:val="auto"/>
              </w:rPr>
            </w:pPr>
            <w:r w:rsidRPr="00227509">
              <w:rPr>
                <w:rFonts w:eastAsia="Times New Roman"/>
                <w:b/>
                <w:bCs/>
                <w:color w:val="auto"/>
                <w:kern w:val="0"/>
                <w14:ligatures w14:val="none"/>
              </w:rPr>
              <w:t>End of Fund Report</w:t>
            </w:r>
            <w:r w:rsidRPr="00227509">
              <w:rPr>
                <w:rFonts w:eastAsia="Times New Roman"/>
                <w:color w:val="auto"/>
                <w:kern w:val="0"/>
                <w14:ligatures w14:val="none"/>
              </w:rPr>
              <w:t xml:space="preserve"> States will provide an End of Fund Report which provides a stocktake and acquittal, including a review of Fee-Free Construction and an assessment of its effectiveness in </w:t>
            </w:r>
            <w:r w:rsidR="00CF4A7A" w:rsidRPr="00227509">
              <w:rPr>
                <w:rFonts w:eastAsia="Times New Roman"/>
                <w:color w:val="auto"/>
                <w:kern w:val="0"/>
                <w14:ligatures w14:val="none"/>
              </w:rPr>
              <w:t xml:space="preserve">delivering sector specific </w:t>
            </w:r>
            <w:r w:rsidR="008B41CB" w:rsidRPr="00227509">
              <w:rPr>
                <w:rFonts w:eastAsia="Times New Roman"/>
                <w:color w:val="auto"/>
                <w:kern w:val="0"/>
                <w14:ligatures w14:val="none"/>
              </w:rPr>
              <w:t>places</w:t>
            </w:r>
            <w:r w:rsidR="00895D90" w:rsidRPr="00227509">
              <w:rPr>
                <w:rFonts w:eastAsia="Times New Roman"/>
                <w:color w:val="auto"/>
                <w:kern w:val="0"/>
                <w14:ligatures w14:val="none"/>
              </w:rPr>
              <w:t xml:space="preserve">, the </w:t>
            </w:r>
            <w:r w:rsidR="00653D1D" w:rsidRPr="00227509">
              <w:rPr>
                <w:rFonts w:eastAsia="Times New Roman"/>
                <w:color w:val="auto"/>
                <w:kern w:val="0"/>
                <w14:ligatures w14:val="none"/>
              </w:rPr>
              <w:t>impact on</w:t>
            </w:r>
            <w:r w:rsidR="008A1A16" w:rsidRPr="00227509">
              <w:rPr>
                <w:rFonts w:eastAsia="Times New Roman"/>
                <w:color w:val="auto"/>
                <w:kern w:val="0"/>
                <w14:ligatures w14:val="none"/>
              </w:rPr>
              <w:t xml:space="preserve"> other sectors</w:t>
            </w:r>
            <w:r w:rsidR="00285835" w:rsidRPr="00227509">
              <w:rPr>
                <w:rFonts w:eastAsia="Times New Roman"/>
                <w:color w:val="auto"/>
                <w:kern w:val="0"/>
                <w14:ligatures w14:val="none"/>
              </w:rPr>
              <w:t>,</w:t>
            </w:r>
            <w:r w:rsidR="008A1A16" w:rsidRPr="00227509">
              <w:rPr>
                <w:rFonts w:eastAsia="Times New Roman"/>
                <w:color w:val="auto"/>
                <w:kern w:val="0"/>
                <w14:ligatures w14:val="none"/>
              </w:rPr>
              <w:t xml:space="preserve"> </w:t>
            </w:r>
            <w:r w:rsidR="00A80664" w:rsidRPr="00227509">
              <w:rPr>
                <w:rFonts w:eastAsia="Times New Roman"/>
                <w:color w:val="auto"/>
                <w:kern w:val="0"/>
                <w14:ligatures w14:val="none"/>
              </w:rPr>
              <w:t>as well as to</w:t>
            </w:r>
            <w:r w:rsidR="008A1A16" w:rsidRPr="00227509">
              <w:rPr>
                <w:rFonts w:eastAsia="Times New Roman"/>
                <w:color w:val="auto"/>
                <w:kern w:val="0"/>
                <w14:ligatures w14:val="none"/>
              </w:rPr>
              <w:t xml:space="preserve"> </w:t>
            </w:r>
            <w:r w:rsidRPr="00227509">
              <w:rPr>
                <w:rFonts w:eastAsia="Times New Roman"/>
                <w:color w:val="auto"/>
                <w:kern w:val="0"/>
                <w14:ligatures w14:val="none"/>
              </w:rPr>
              <w:t xml:space="preserve">meet the needs of the target cohorts within each jurisdiction. The report should be included as part of the FFTT2 End of Fund Report. </w:t>
            </w:r>
          </w:p>
          <w:p w14:paraId="5276ED82" w14:textId="775503DD" w:rsidR="00954990" w:rsidRPr="00227509" w:rsidRDefault="00954990" w:rsidP="00954990">
            <w:pPr>
              <w:spacing w:after="0" w:line="240" w:lineRule="auto"/>
              <w:ind w:left="129" w:firstLine="0"/>
              <w:textAlignment w:val="baseline"/>
              <w:rPr>
                <w:rFonts w:eastAsia="Times New Roman"/>
                <w:b/>
                <w:bCs/>
                <w:color w:val="auto"/>
                <w:kern w:val="0"/>
                <w14:ligatures w14:val="none"/>
              </w:rPr>
            </w:pPr>
            <w:r w:rsidRPr="00227509">
              <w:rPr>
                <w:rFonts w:eastAsia="Times New Roman"/>
                <w:color w:val="auto"/>
                <w:kern w:val="0"/>
                <w14:ligatures w14:val="none"/>
              </w:rPr>
              <w:t>The Commonwealth will collaborate with States on the evaluation of the outcome of the initiative.</w:t>
            </w:r>
          </w:p>
        </w:tc>
        <w:tc>
          <w:tcPr>
            <w:tcW w:w="5245" w:type="dxa"/>
            <w:tcBorders>
              <w:top w:val="single" w:sz="6" w:space="0" w:color="4F81BD"/>
              <w:left w:val="single" w:sz="6" w:space="0" w:color="4F81BD"/>
              <w:bottom w:val="single" w:sz="6" w:space="0" w:color="4F81BD"/>
              <w:right w:val="single" w:sz="6" w:space="0" w:color="4F81BD"/>
            </w:tcBorders>
            <w:shd w:val="clear" w:color="auto" w:fill="auto"/>
            <w:vAlign w:val="center"/>
          </w:tcPr>
          <w:p w14:paraId="378271BD" w14:textId="13823AA9" w:rsidR="00954990" w:rsidRPr="00227509" w:rsidRDefault="00954990" w:rsidP="00954990">
            <w:pPr>
              <w:pStyle w:val="ListParagraph"/>
              <w:numPr>
                <w:ilvl w:val="0"/>
                <w:numId w:val="29"/>
              </w:numPr>
              <w:spacing w:after="0" w:line="240" w:lineRule="auto"/>
              <w:ind w:hanging="212"/>
              <w:textAlignment w:val="baseline"/>
              <w:rPr>
                <w:rFonts w:eastAsia="Times New Roman"/>
                <w:color w:val="auto"/>
                <w:kern w:val="0"/>
                <w:szCs w:val="22"/>
                <w14:ligatures w14:val="none"/>
              </w:rPr>
            </w:pPr>
            <w:r w:rsidRPr="00227509">
              <w:rPr>
                <w:rFonts w:eastAsia="Times New Roman"/>
                <w:color w:val="auto"/>
                <w:kern w:val="0"/>
                <w:szCs w:val="22"/>
                <w14:ligatures w14:val="none"/>
              </w:rPr>
              <w:t>29 June 2027  </w:t>
            </w:r>
          </w:p>
        </w:tc>
      </w:tr>
    </w:tbl>
    <w:p w14:paraId="6399B5EC" w14:textId="77777777" w:rsidR="00B2096D" w:rsidRDefault="00B2096D" w:rsidP="00B2096D">
      <w:pPr>
        <w:ind w:left="0" w:firstLine="0"/>
      </w:pPr>
    </w:p>
    <w:p w14:paraId="301FEE3F" w14:textId="77777777" w:rsidR="00B2096D" w:rsidRPr="003351E6" w:rsidRDefault="00B2096D" w:rsidP="00B2096D">
      <w:pPr>
        <w:ind w:left="0" w:firstLine="0"/>
        <w:sectPr w:rsidR="00B2096D" w:rsidRPr="003351E6" w:rsidSect="006A5318">
          <w:pgSz w:w="16838" w:h="11906" w:orient="landscape"/>
          <w:pgMar w:top="761" w:right="7326" w:bottom="1169" w:left="1133" w:header="720" w:footer="730" w:gutter="0"/>
          <w:cols w:space="720"/>
          <w:docGrid w:linePitch="299"/>
        </w:sectPr>
      </w:pPr>
    </w:p>
    <w:p w14:paraId="409F45A3" w14:textId="77777777" w:rsidR="0029427C" w:rsidRDefault="0029427C" w:rsidP="1DFBE243">
      <w:pPr>
        <w:spacing w:after="0" w:line="259" w:lineRule="auto"/>
        <w:ind w:left="-1440" w:right="10464" w:firstLine="0"/>
      </w:pPr>
    </w:p>
    <w:p w14:paraId="3FC6AF55" w14:textId="77777777" w:rsidR="00EF558E" w:rsidRPr="005D3A54" w:rsidRDefault="00EF558E" w:rsidP="00EF558E">
      <w:pPr>
        <w:spacing w:after="160" w:line="259" w:lineRule="auto"/>
        <w:rPr>
          <w:rFonts w:cstheme="minorBidi"/>
          <w:szCs w:val="22"/>
        </w:rPr>
      </w:pPr>
      <w:r w:rsidRPr="46E91D5D">
        <w:rPr>
          <w:rFonts w:cstheme="minorBidi"/>
          <w:szCs w:val="22"/>
          <w:lang w:val="en-GB"/>
        </w:rPr>
        <w:t xml:space="preserve">The </w:t>
      </w:r>
      <w:r w:rsidRPr="46E91D5D">
        <w:rPr>
          <w:rFonts w:cstheme="minorBidi"/>
          <w:szCs w:val="22"/>
        </w:rPr>
        <w:t>Parties</w:t>
      </w:r>
      <w:r w:rsidRPr="46E91D5D">
        <w:rPr>
          <w:rFonts w:cstheme="minorBidi"/>
          <w:szCs w:val="22"/>
          <w:lang w:val="en-GB"/>
        </w:rPr>
        <w:t xml:space="preserve"> have confirmed their commitment to this agreement as follows:</w:t>
      </w:r>
    </w:p>
    <w:tbl>
      <w:tblPr>
        <w:tblW w:w="9356" w:type="dxa"/>
        <w:jc w:val="center"/>
        <w:tblLayout w:type="fixed"/>
        <w:tblLook w:val="01E0" w:firstRow="1" w:lastRow="1" w:firstColumn="1" w:lastColumn="1" w:noHBand="0" w:noVBand="0"/>
      </w:tblPr>
      <w:tblGrid>
        <w:gridCol w:w="4536"/>
        <w:gridCol w:w="284"/>
        <w:gridCol w:w="4536"/>
      </w:tblGrid>
      <w:tr w:rsidR="00EF558E" w:rsidRPr="005D3A54" w14:paraId="32E276FD" w14:textId="77777777" w:rsidTr="009D46DA">
        <w:trPr>
          <w:cantSplit/>
          <w:jc w:val="center"/>
        </w:trPr>
        <w:tc>
          <w:tcPr>
            <w:tcW w:w="4536" w:type="dxa"/>
            <w:hideMark/>
          </w:tcPr>
          <w:p w14:paraId="444136D5"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lang w:eastAsia="en-US"/>
              </w:rPr>
              <w:t xml:space="preserve"> for and on behalf of the Commonwealth of Australia by</w:t>
            </w:r>
          </w:p>
          <w:p w14:paraId="14E152E3" w14:textId="77777777" w:rsidR="00EF558E" w:rsidRPr="005D3A54" w:rsidRDefault="00EF558E" w:rsidP="009D46DA">
            <w:pPr>
              <w:pStyle w:val="LineForSignature"/>
              <w:rPr>
                <w:lang w:eastAsia="en-US"/>
              </w:rPr>
            </w:pPr>
            <w:r w:rsidRPr="005D3A54">
              <w:rPr>
                <w:lang w:eastAsia="en-US"/>
              </w:rPr>
              <w:tab/>
            </w:r>
          </w:p>
          <w:p w14:paraId="23358936" w14:textId="1A31DBD5" w:rsidR="00EF558E" w:rsidRDefault="00EF558E" w:rsidP="009D46DA">
            <w:pPr>
              <w:pStyle w:val="SingleParagraph"/>
            </w:pPr>
            <w:r w:rsidRPr="79D5914C">
              <w:rPr>
                <w:rStyle w:val="Bold"/>
                <w:rFonts w:eastAsiaTheme="majorEastAsia"/>
                <w:lang w:eastAsia="en-US"/>
              </w:rPr>
              <w:t xml:space="preserve">The Hon </w:t>
            </w:r>
            <w:r w:rsidR="00306E1E">
              <w:rPr>
                <w:rStyle w:val="Bold"/>
                <w:rFonts w:eastAsiaTheme="majorEastAsia"/>
                <w:lang w:eastAsia="en-US"/>
              </w:rPr>
              <w:t>Andrew Giles</w:t>
            </w:r>
            <w:r w:rsidRPr="79D5914C">
              <w:rPr>
                <w:rStyle w:val="Bold"/>
                <w:rFonts w:eastAsiaTheme="majorEastAsia"/>
                <w:lang w:eastAsia="en-US"/>
              </w:rPr>
              <w:t xml:space="preserve"> MP</w:t>
            </w:r>
          </w:p>
          <w:p w14:paraId="57DD9FAD" w14:textId="77777777" w:rsidR="00EF558E" w:rsidRPr="00A5194B" w:rsidRDefault="00EF558E" w:rsidP="009D46DA">
            <w:pPr>
              <w:pStyle w:val="SingleParagraph"/>
              <w:rPr>
                <w:rStyle w:val="Bold"/>
                <w:rFonts w:eastAsiaTheme="majorEastAsia"/>
                <w:b w:val="0"/>
                <w:bCs/>
                <w:sz w:val="20"/>
                <w:szCs w:val="16"/>
              </w:rPr>
            </w:pPr>
            <w:r>
              <w:rPr>
                <w:rStyle w:val="Bold"/>
                <w:rFonts w:eastAsiaTheme="majorEastAsia"/>
                <w:bCs/>
                <w:sz w:val="20"/>
                <w:szCs w:val="16"/>
              </w:rPr>
              <w:t>Minister for Skills and Training</w:t>
            </w:r>
          </w:p>
          <w:p w14:paraId="6C439F7D" w14:textId="77777777" w:rsidR="00EF558E" w:rsidRPr="005D3A54" w:rsidRDefault="00EF558E" w:rsidP="009D46DA">
            <w:pPr>
              <w:pStyle w:val="SingleParagraph"/>
              <w:tabs>
                <w:tab w:val="num" w:pos="1134"/>
              </w:tabs>
              <w:spacing w:after="240"/>
              <w:rPr>
                <w:b/>
                <w:bCs/>
                <w:lang w:eastAsia="en-US"/>
              </w:rPr>
            </w:pPr>
            <w:proofErr w:type="gramStart"/>
            <w:r w:rsidRPr="401424EC">
              <w:rPr>
                <w:lang w:eastAsia="en-US"/>
              </w:rPr>
              <w:t>…..</w:t>
            </w:r>
            <w:proofErr w:type="gramEnd"/>
            <w:r w:rsidRPr="401424EC">
              <w:rPr>
                <w:lang w:eastAsia="en-US"/>
              </w:rPr>
              <w:t>/…../2024</w:t>
            </w:r>
          </w:p>
        </w:tc>
        <w:tc>
          <w:tcPr>
            <w:tcW w:w="284" w:type="dxa"/>
            <w:tcMar>
              <w:top w:w="0" w:type="dxa"/>
              <w:left w:w="0" w:type="dxa"/>
              <w:bottom w:w="0" w:type="dxa"/>
              <w:right w:w="0" w:type="dxa"/>
            </w:tcMar>
          </w:tcPr>
          <w:p w14:paraId="794A70F9" w14:textId="77777777" w:rsidR="00EF558E" w:rsidRPr="005D3A54" w:rsidRDefault="00EF558E" w:rsidP="009D46DA">
            <w:pPr>
              <w:spacing w:after="240" w:line="260" w:lineRule="exact"/>
              <w:jc w:val="both"/>
              <w:rPr>
                <w:rFonts w:ascii="Book Antiqua" w:hAnsi="Book Antiqua"/>
                <w:sz w:val="23"/>
                <w:szCs w:val="22"/>
                <w:lang w:val="en-GB"/>
              </w:rPr>
            </w:pPr>
          </w:p>
        </w:tc>
        <w:tc>
          <w:tcPr>
            <w:tcW w:w="4536" w:type="dxa"/>
          </w:tcPr>
          <w:p w14:paraId="37DCF652" w14:textId="77777777" w:rsidR="00EF558E" w:rsidRPr="005D3A54" w:rsidRDefault="00EF558E" w:rsidP="009D46DA">
            <w:pPr>
              <w:spacing w:after="240" w:line="260" w:lineRule="exact"/>
              <w:jc w:val="both"/>
              <w:rPr>
                <w:rFonts w:ascii="Book Antiqua" w:hAnsi="Book Antiqua"/>
                <w:sz w:val="23"/>
                <w:szCs w:val="22"/>
                <w:lang w:val="en-GB"/>
              </w:rPr>
            </w:pPr>
          </w:p>
        </w:tc>
      </w:tr>
      <w:tr w:rsidR="00EF558E" w:rsidRPr="005D3A54" w14:paraId="660BA33D" w14:textId="77777777" w:rsidTr="009D46DA">
        <w:trPr>
          <w:cantSplit/>
          <w:jc w:val="center"/>
        </w:trPr>
        <w:tc>
          <w:tcPr>
            <w:tcW w:w="4536" w:type="dxa"/>
            <w:hideMark/>
          </w:tcPr>
          <w:p w14:paraId="34FBA187" w14:textId="77777777" w:rsidR="00EF558E" w:rsidRDefault="00EF558E" w:rsidP="009D46DA">
            <w:pPr>
              <w:pStyle w:val="Signed"/>
              <w:spacing w:line="276" w:lineRule="auto"/>
              <w:rPr>
                <w:rStyle w:val="SignedBold"/>
                <w:rFonts w:eastAsia="Calibri"/>
                <w:bCs w:val="0"/>
                <w:lang w:eastAsia="en-US"/>
              </w:rPr>
            </w:pPr>
          </w:p>
          <w:p w14:paraId="347074D0"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lang w:eastAsia="en-US"/>
              </w:rPr>
              <w:t xml:space="preserve"> for and on behalf of the </w:t>
            </w:r>
            <w:r w:rsidRPr="005D3A54">
              <w:rPr>
                <w:lang w:eastAsia="en-US"/>
              </w:rPr>
              <w:br/>
              <w:t>State of New South Wales by</w:t>
            </w:r>
          </w:p>
          <w:p w14:paraId="593E0EF3" w14:textId="77777777" w:rsidR="00EF558E" w:rsidRPr="005D3A54" w:rsidRDefault="00EF558E" w:rsidP="009D46DA">
            <w:pPr>
              <w:pStyle w:val="LineForSignature"/>
              <w:rPr>
                <w:lang w:eastAsia="en-US"/>
              </w:rPr>
            </w:pPr>
            <w:r w:rsidRPr="005D3A54">
              <w:rPr>
                <w:lang w:eastAsia="en-US"/>
              </w:rPr>
              <w:tab/>
            </w:r>
          </w:p>
          <w:p w14:paraId="3CD073BE" w14:textId="05CB41AD" w:rsidR="00EF558E" w:rsidRPr="005D3A54" w:rsidRDefault="00EF558E" w:rsidP="009D46DA">
            <w:pPr>
              <w:pStyle w:val="SingleParagraph"/>
              <w:rPr>
                <w:rStyle w:val="Bold"/>
                <w:rFonts w:eastAsiaTheme="majorEastAsia"/>
              </w:rPr>
            </w:pPr>
            <w:r w:rsidRPr="00F6362B">
              <w:rPr>
                <w:rStyle w:val="Bold"/>
                <w:rFonts w:eastAsiaTheme="majorEastAsia"/>
                <w:lang w:eastAsia="en-US"/>
              </w:rPr>
              <w:t xml:space="preserve">The Hon </w:t>
            </w:r>
            <w:r>
              <w:rPr>
                <w:rStyle w:val="Bold"/>
                <w:rFonts w:eastAsiaTheme="majorEastAsia"/>
                <w:lang w:eastAsia="en-US"/>
              </w:rPr>
              <w:t>Steve</w:t>
            </w:r>
            <w:r w:rsidR="00306E1E">
              <w:rPr>
                <w:rStyle w:val="Bold"/>
                <w:rFonts w:eastAsiaTheme="majorEastAsia"/>
                <w:lang w:eastAsia="en-US"/>
              </w:rPr>
              <w:t>n</w:t>
            </w:r>
            <w:r>
              <w:rPr>
                <w:rStyle w:val="Bold"/>
                <w:rFonts w:eastAsiaTheme="majorEastAsia"/>
                <w:lang w:eastAsia="en-US"/>
              </w:rPr>
              <w:t xml:space="preserve"> Whan MP</w:t>
            </w:r>
          </w:p>
          <w:p w14:paraId="23F51658" w14:textId="77777777" w:rsidR="00EF558E" w:rsidRPr="00A5194B" w:rsidRDefault="00EF558E" w:rsidP="009D46DA">
            <w:pPr>
              <w:pStyle w:val="SingleParagraph"/>
              <w:rPr>
                <w:rStyle w:val="Bold"/>
                <w:rFonts w:eastAsiaTheme="majorEastAsia"/>
                <w:b w:val="0"/>
                <w:bCs/>
                <w:sz w:val="20"/>
                <w:szCs w:val="16"/>
              </w:rPr>
            </w:pPr>
            <w:r w:rsidRPr="00051E55">
              <w:rPr>
                <w:rStyle w:val="Bold"/>
                <w:rFonts w:eastAsiaTheme="majorEastAsia"/>
                <w:bCs/>
                <w:sz w:val="20"/>
                <w:szCs w:val="16"/>
              </w:rPr>
              <w:t>Minister for Skills, TAFE and Tertiary Education</w:t>
            </w:r>
          </w:p>
          <w:p w14:paraId="0C66EB0A" w14:textId="77777777" w:rsidR="00EF558E" w:rsidRPr="005D3A54" w:rsidRDefault="00EF558E" w:rsidP="009D46DA">
            <w:pPr>
              <w:pStyle w:val="SingleParagraph"/>
              <w:tabs>
                <w:tab w:val="num" w:pos="888"/>
              </w:tabs>
              <w:spacing w:after="240"/>
              <w:rPr>
                <w:lang w:eastAsia="en-US"/>
              </w:rPr>
            </w:pPr>
            <w:proofErr w:type="gramStart"/>
            <w:r w:rsidRPr="401424EC">
              <w:rPr>
                <w:lang w:eastAsia="en-US"/>
              </w:rPr>
              <w:t>…..</w:t>
            </w:r>
            <w:proofErr w:type="gramEnd"/>
            <w:r w:rsidRPr="401424EC">
              <w:rPr>
                <w:lang w:eastAsia="en-US"/>
              </w:rPr>
              <w:t>/…../2024</w:t>
            </w:r>
          </w:p>
        </w:tc>
        <w:tc>
          <w:tcPr>
            <w:tcW w:w="284" w:type="dxa"/>
            <w:tcMar>
              <w:top w:w="0" w:type="dxa"/>
              <w:left w:w="0" w:type="dxa"/>
              <w:bottom w:w="0" w:type="dxa"/>
              <w:right w:w="0" w:type="dxa"/>
            </w:tcMar>
          </w:tcPr>
          <w:p w14:paraId="63539388" w14:textId="77777777" w:rsidR="00EF558E" w:rsidRPr="005D3A54" w:rsidRDefault="00EF558E" w:rsidP="009D46DA">
            <w:pPr>
              <w:spacing w:after="240" w:line="260" w:lineRule="exact"/>
              <w:jc w:val="both"/>
              <w:rPr>
                <w:rFonts w:ascii="Book Antiqua" w:hAnsi="Book Antiqua"/>
                <w:sz w:val="23"/>
                <w:szCs w:val="22"/>
                <w:lang w:val="en-GB"/>
              </w:rPr>
            </w:pPr>
          </w:p>
        </w:tc>
        <w:tc>
          <w:tcPr>
            <w:tcW w:w="4536" w:type="dxa"/>
            <w:hideMark/>
          </w:tcPr>
          <w:p w14:paraId="184FAB64" w14:textId="77777777" w:rsidR="00EF558E" w:rsidRDefault="00EF558E" w:rsidP="009D46DA">
            <w:pPr>
              <w:pStyle w:val="Signed"/>
              <w:spacing w:line="276" w:lineRule="auto"/>
              <w:rPr>
                <w:rStyle w:val="SignedBold"/>
                <w:rFonts w:eastAsia="Calibri"/>
                <w:bCs w:val="0"/>
                <w:lang w:eastAsia="en-US"/>
              </w:rPr>
            </w:pPr>
          </w:p>
          <w:p w14:paraId="436ECCC8"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lang w:eastAsia="en-US"/>
              </w:rPr>
              <w:t xml:space="preserve"> for and on behalf of the</w:t>
            </w:r>
            <w:r w:rsidRPr="005D3A54">
              <w:rPr>
                <w:lang w:eastAsia="en-US"/>
              </w:rPr>
              <w:br/>
              <w:t>State of Victoria by</w:t>
            </w:r>
          </w:p>
          <w:p w14:paraId="0CB2EA01" w14:textId="77777777" w:rsidR="00EF558E" w:rsidRPr="005D3A54" w:rsidRDefault="00EF558E" w:rsidP="009D46DA">
            <w:pPr>
              <w:pStyle w:val="LineForSignature"/>
              <w:rPr>
                <w:lang w:eastAsia="en-US"/>
              </w:rPr>
            </w:pPr>
            <w:r w:rsidRPr="005D3A54">
              <w:rPr>
                <w:lang w:eastAsia="en-US"/>
              </w:rPr>
              <w:tab/>
            </w:r>
          </w:p>
          <w:p w14:paraId="46C7D791" w14:textId="77777777" w:rsidR="00EF558E" w:rsidRDefault="00EF558E" w:rsidP="009D46DA">
            <w:pPr>
              <w:pStyle w:val="SingleParagraph"/>
              <w:rPr>
                <w:rStyle w:val="Bold"/>
                <w:rFonts w:eastAsiaTheme="majorEastAsia"/>
                <w:lang w:eastAsia="en-US"/>
              </w:rPr>
            </w:pPr>
            <w:r w:rsidRPr="00FF49E6">
              <w:rPr>
                <w:rStyle w:val="Bold"/>
                <w:rFonts w:eastAsiaTheme="majorEastAsia"/>
                <w:lang w:eastAsia="en-US"/>
              </w:rPr>
              <w:t>The Hon Gayle Tierney MLC</w:t>
            </w:r>
          </w:p>
          <w:p w14:paraId="7BA5C025" w14:textId="77777777" w:rsidR="00EF558E" w:rsidRPr="00A5194B" w:rsidRDefault="00EF558E" w:rsidP="009D46DA">
            <w:pPr>
              <w:pStyle w:val="SingleParagraph"/>
              <w:rPr>
                <w:rStyle w:val="Bold"/>
                <w:rFonts w:eastAsiaTheme="majorEastAsia"/>
                <w:b w:val="0"/>
                <w:bCs/>
                <w:sz w:val="20"/>
                <w:szCs w:val="16"/>
              </w:rPr>
            </w:pPr>
            <w:r w:rsidRPr="00FE421E">
              <w:rPr>
                <w:rStyle w:val="Bold"/>
                <w:rFonts w:eastAsiaTheme="majorEastAsia"/>
                <w:bCs/>
                <w:sz w:val="20"/>
                <w:szCs w:val="16"/>
              </w:rPr>
              <w:t xml:space="preserve">Minister for </w:t>
            </w:r>
            <w:r>
              <w:rPr>
                <w:rStyle w:val="Bold"/>
                <w:rFonts w:eastAsiaTheme="majorEastAsia"/>
                <w:bCs/>
                <w:sz w:val="20"/>
                <w:szCs w:val="16"/>
              </w:rPr>
              <w:t>Skills and TAFE</w:t>
            </w:r>
          </w:p>
          <w:p w14:paraId="20C94FEB" w14:textId="77777777" w:rsidR="00EF558E" w:rsidRPr="005D3A54" w:rsidRDefault="00EF558E" w:rsidP="009D46DA">
            <w:pPr>
              <w:pStyle w:val="SingleParagraph"/>
              <w:tabs>
                <w:tab w:val="num" w:pos="1134"/>
              </w:tabs>
              <w:spacing w:after="240"/>
              <w:rPr>
                <w:lang w:eastAsia="en-US"/>
              </w:rPr>
            </w:pPr>
            <w:proofErr w:type="gramStart"/>
            <w:r w:rsidRPr="401424EC">
              <w:rPr>
                <w:lang w:eastAsia="en-US"/>
              </w:rPr>
              <w:t>…..</w:t>
            </w:r>
            <w:proofErr w:type="gramEnd"/>
            <w:r w:rsidRPr="401424EC">
              <w:rPr>
                <w:lang w:eastAsia="en-US"/>
              </w:rPr>
              <w:t>/…../2024</w:t>
            </w:r>
          </w:p>
        </w:tc>
      </w:tr>
      <w:tr w:rsidR="00EF558E" w:rsidRPr="005D3A54" w14:paraId="0DAD0FC3" w14:textId="77777777" w:rsidTr="009D46DA">
        <w:trPr>
          <w:cantSplit/>
          <w:jc w:val="center"/>
        </w:trPr>
        <w:tc>
          <w:tcPr>
            <w:tcW w:w="4536" w:type="dxa"/>
            <w:hideMark/>
          </w:tcPr>
          <w:p w14:paraId="67825631" w14:textId="77777777" w:rsidR="00EF558E" w:rsidRDefault="00EF558E" w:rsidP="009D46DA">
            <w:pPr>
              <w:pStyle w:val="Signed"/>
              <w:spacing w:line="276" w:lineRule="auto"/>
              <w:rPr>
                <w:rStyle w:val="SignedBold"/>
                <w:rFonts w:eastAsia="Calibri"/>
                <w:bCs w:val="0"/>
                <w:lang w:eastAsia="en-US"/>
              </w:rPr>
            </w:pPr>
          </w:p>
          <w:p w14:paraId="0E317962"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lang w:eastAsia="en-US"/>
              </w:rPr>
              <w:t xml:space="preserve"> for and on behalf of the</w:t>
            </w:r>
            <w:r w:rsidRPr="005D3A54">
              <w:rPr>
                <w:lang w:eastAsia="en-US"/>
              </w:rPr>
              <w:br/>
              <w:t>State of Queensland by</w:t>
            </w:r>
          </w:p>
          <w:p w14:paraId="1B0A6771" w14:textId="77777777" w:rsidR="00EF558E" w:rsidRPr="005D3A54" w:rsidRDefault="00EF558E" w:rsidP="009D46DA">
            <w:pPr>
              <w:pStyle w:val="LineForSignature"/>
              <w:rPr>
                <w:lang w:eastAsia="en-US"/>
              </w:rPr>
            </w:pPr>
            <w:r w:rsidRPr="005D3A54">
              <w:rPr>
                <w:lang w:eastAsia="en-US"/>
              </w:rPr>
              <w:tab/>
            </w:r>
          </w:p>
          <w:p w14:paraId="792F0E6C" w14:textId="77777777" w:rsidR="00EF558E" w:rsidRPr="00852253" w:rsidRDefault="00EF558E" w:rsidP="009D46DA">
            <w:pPr>
              <w:pStyle w:val="SingleParagraph"/>
              <w:rPr>
                <w:rStyle w:val="Bold"/>
                <w:rFonts w:eastAsiaTheme="majorEastAsia"/>
              </w:rPr>
            </w:pPr>
            <w:r w:rsidRPr="007B69CA">
              <w:rPr>
                <w:rStyle w:val="Bold"/>
                <w:rFonts w:eastAsiaTheme="majorEastAsia"/>
              </w:rPr>
              <w:t xml:space="preserve">The Hon </w:t>
            </w:r>
            <w:r>
              <w:rPr>
                <w:rStyle w:val="Bold"/>
                <w:rFonts w:eastAsiaTheme="majorEastAsia"/>
              </w:rPr>
              <w:t>Lance McCallum MP</w:t>
            </w:r>
          </w:p>
          <w:p w14:paraId="1D49442A" w14:textId="77777777" w:rsidR="00EF558E" w:rsidRPr="00A5194B" w:rsidRDefault="00EF558E" w:rsidP="009D46DA">
            <w:pPr>
              <w:pStyle w:val="SingleParagraph"/>
              <w:rPr>
                <w:rStyle w:val="Bold"/>
                <w:rFonts w:eastAsiaTheme="majorEastAsia"/>
                <w:b w:val="0"/>
                <w:bCs/>
                <w:sz w:val="20"/>
                <w:szCs w:val="16"/>
              </w:rPr>
            </w:pPr>
            <w:r w:rsidRPr="00537EE1">
              <w:rPr>
                <w:rStyle w:val="Bold"/>
                <w:rFonts w:eastAsiaTheme="majorEastAsia"/>
                <w:bCs/>
                <w:sz w:val="20"/>
                <w:szCs w:val="16"/>
              </w:rPr>
              <w:t xml:space="preserve">Minister for </w:t>
            </w:r>
            <w:r>
              <w:rPr>
                <w:rStyle w:val="Bold"/>
                <w:rFonts w:eastAsiaTheme="majorEastAsia"/>
                <w:bCs/>
                <w:sz w:val="20"/>
                <w:szCs w:val="16"/>
              </w:rPr>
              <w:t>Training and Skills Development</w:t>
            </w:r>
          </w:p>
          <w:p w14:paraId="1EC8CDB6" w14:textId="77777777" w:rsidR="00EF558E" w:rsidRPr="005D3A54" w:rsidRDefault="00EF558E" w:rsidP="009D46DA">
            <w:pPr>
              <w:pStyle w:val="SingleParagraph"/>
              <w:tabs>
                <w:tab w:val="num" w:pos="1134"/>
              </w:tabs>
              <w:spacing w:after="240"/>
              <w:rPr>
                <w:lang w:eastAsia="en-US"/>
              </w:rPr>
            </w:pPr>
            <w:proofErr w:type="gramStart"/>
            <w:r w:rsidRPr="401424EC">
              <w:rPr>
                <w:lang w:eastAsia="en-US"/>
              </w:rPr>
              <w:t>…..</w:t>
            </w:r>
            <w:proofErr w:type="gramEnd"/>
            <w:r w:rsidRPr="401424EC">
              <w:rPr>
                <w:lang w:eastAsia="en-US"/>
              </w:rPr>
              <w:t>/…../2024</w:t>
            </w:r>
          </w:p>
        </w:tc>
        <w:tc>
          <w:tcPr>
            <w:tcW w:w="284" w:type="dxa"/>
            <w:tcMar>
              <w:top w:w="0" w:type="dxa"/>
              <w:left w:w="0" w:type="dxa"/>
              <w:bottom w:w="0" w:type="dxa"/>
              <w:right w:w="0" w:type="dxa"/>
            </w:tcMar>
          </w:tcPr>
          <w:p w14:paraId="1888796A" w14:textId="77777777" w:rsidR="00EF558E" w:rsidRPr="005D3A54" w:rsidRDefault="00EF558E" w:rsidP="009D46DA">
            <w:pPr>
              <w:spacing w:after="240" w:line="260" w:lineRule="exact"/>
              <w:jc w:val="both"/>
              <w:rPr>
                <w:rFonts w:ascii="Book Antiqua" w:hAnsi="Book Antiqua"/>
                <w:sz w:val="23"/>
                <w:szCs w:val="22"/>
                <w:lang w:val="en-GB"/>
              </w:rPr>
            </w:pPr>
          </w:p>
        </w:tc>
        <w:tc>
          <w:tcPr>
            <w:tcW w:w="4536" w:type="dxa"/>
            <w:hideMark/>
          </w:tcPr>
          <w:p w14:paraId="46A6971F" w14:textId="77777777" w:rsidR="00EF558E" w:rsidRDefault="00EF558E" w:rsidP="009D46DA">
            <w:pPr>
              <w:pStyle w:val="Signed"/>
              <w:spacing w:line="276" w:lineRule="auto"/>
              <w:rPr>
                <w:rStyle w:val="SignedBold"/>
                <w:rFonts w:eastAsia="Calibri"/>
                <w:bCs w:val="0"/>
                <w:lang w:eastAsia="en-US"/>
              </w:rPr>
            </w:pPr>
          </w:p>
          <w:p w14:paraId="00006246"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lang w:eastAsia="en-US"/>
              </w:rPr>
              <w:t xml:space="preserve"> for and on behalf of the</w:t>
            </w:r>
            <w:r w:rsidRPr="005D3A54">
              <w:rPr>
                <w:lang w:eastAsia="en-US"/>
              </w:rPr>
              <w:br/>
              <w:t>State of Western Australia by</w:t>
            </w:r>
          </w:p>
          <w:p w14:paraId="29C6BB06" w14:textId="77777777" w:rsidR="00EF558E" w:rsidRPr="005D3A54" w:rsidRDefault="00EF558E" w:rsidP="009D46DA">
            <w:pPr>
              <w:pStyle w:val="LineForSignature"/>
              <w:rPr>
                <w:lang w:eastAsia="en-US"/>
              </w:rPr>
            </w:pPr>
            <w:r w:rsidRPr="005D3A54">
              <w:rPr>
                <w:lang w:eastAsia="en-US"/>
              </w:rPr>
              <w:tab/>
            </w:r>
          </w:p>
          <w:p w14:paraId="4801935F" w14:textId="77777777" w:rsidR="00EF558E" w:rsidRPr="005D3A54" w:rsidRDefault="00EF558E" w:rsidP="009D46DA">
            <w:pPr>
              <w:pStyle w:val="SingleParagraph"/>
              <w:rPr>
                <w:rStyle w:val="Bold"/>
                <w:rFonts w:eastAsiaTheme="majorEastAsia"/>
              </w:rPr>
            </w:pPr>
            <w:r w:rsidRPr="00783FAF">
              <w:rPr>
                <w:rStyle w:val="Bold"/>
                <w:rFonts w:eastAsiaTheme="majorEastAsia"/>
              </w:rPr>
              <w:t>The Hon Simone McGurk MLA</w:t>
            </w:r>
          </w:p>
          <w:p w14:paraId="7F7F81FE" w14:textId="77777777" w:rsidR="00EF558E" w:rsidRPr="00A5194B" w:rsidRDefault="00EF558E" w:rsidP="009D46DA">
            <w:pPr>
              <w:pStyle w:val="SingleParagraph"/>
              <w:rPr>
                <w:rStyle w:val="Bold"/>
                <w:rFonts w:eastAsiaTheme="majorEastAsia"/>
                <w:b w:val="0"/>
                <w:bCs/>
                <w:sz w:val="20"/>
                <w:szCs w:val="16"/>
              </w:rPr>
            </w:pPr>
            <w:r w:rsidRPr="00EC2091">
              <w:rPr>
                <w:rStyle w:val="Bold"/>
                <w:rFonts w:eastAsiaTheme="majorEastAsia"/>
                <w:bCs/>
                <w:sz w:val="20"/>
                <w:szCs w:val="16"/>
              </w:rPr>
              <w:t>Minister for Training</w:t>
            </w:r>
            <w:r>
              <w:rPr>
                <w:rStyle w:val="Bold"/>
                <w:rFonts w:eastAsiaTheme="majorEastAsia"/>
                <w:bCs/>
                <w:sz w:val="20"/>
                <w:szCs w:val="16"/>
              </w:rPr>
              <w:t xml:space="preserve"> and Workforce Development</w:t>
            </w:r>
          </w:p>
          <w:p w14:paraId="59AAEF59" w14:textId="77777777" w:rsidR="00EF558E" w:rsidRPr="005D3A54" w:rsidRDefault="00EF558E" w:rsidP="009D46DA">
            <w:pPr>
              <w:pStyle w:val="SingleParagraph"/>
              <w:tabs>
                <w:tab w:val="num" w:pos="1134"/>
              </w:tabs>
              <w:spacing w:after="240"/>
              <w:rPr>
                <w:lang w:eastAsia="en-US"/>
              </w:rPr>
            </w:pPr>
            <w:proofErr w:type="gramStart"/>
            <w:r w:rsidRPr="69ECA480">
              <w:rPr>
                <w:lang w:eastAsia="en-US"/>
              </w:rPr>
              <w:t>…..</w:t>
            </w:r>
            <w:proofErr w:type="gramEnd"/>
            <w:r w:rsidRPr="69ECA480">
              <w:rPr>
                <w:lang w:eastAsia="en-US"/>
              </w:rPr>
              <w:t>/…../2024</w:t>
            </w:r>
          </w:p>
        </w:tc>
      </w:tr>
      <w:tr w:rsidR="00EF558E" w:rsidRPr="005D3A54" w14:paraId="14D69058" w14:textId="77777777" w:rsidTr="007817AC">
        <w:trPr>
          <w:cantSplit/>
          <w:trHeight w:val="113"/>
          <w:jc w:val="center"/>
        </w:trPr>
        <w:tc>
          <w:tcPr>
            <w:tcW w:w="4536" w:type="dxa"/>
            <w:hideMark/>
          </w:tcPr>
          <w:p w14:paraId="43426AEE" w14:textId="77777777" w:rsidR="00EF558E" w:rsidRDefault="00EF558E" w:rsidP="009D46DA">
            <w:pPr>
              <w:pStyle w:val="Signed"/>
              <w:spacing w:line="276" w:lineRule="auto"/>
              <w:rPr>
                <w:rStyle w:val="SignedBold"/>
                <w:rFonts w:eastAsia="Calibri"/>
                <w:bCs w:val="0"/>
                <w:lang w:eastAsia="en-US"/>
              </w:rPr>
            </w:pPr>
          </w:p>
          <w:p w14:paraId="660D040D"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lang w:eastAsia="en-US"/>
              </w:rPr>
              <w:t xml:space="preserve"> for and on behalf of the</w:t>
            </w:r>
            <w:r w:rsidRPr="005D3A54">
              <w:rPr>
                <w:lang w:eastAsia="en-US"/>
              </w:rPr>
              <w:br/>
              <w:t>State of South Australia by</w:t>
            </w:r>
          </w:p>
          <w:p w14:paraId="1C614D87" w14:textId="77777777" w:rsidR="00EF558E" w:rsidRPr="005D3A54" w:rsidRDefault="00EF558E" w:rsidP="009D46DA">
            <w:pPr>
              <w:pStyle w:val="LineForSignature"/>
              <w:rPr>
                <w:lang w:eastAsia="en-US"/>
              </w:rPr>
            </w:pPr>
            <w:r w:rsidRPr="005D3A54">
              <w:rPr>
                <w:lang w:eastAsia="en-US"/>
              </w:rPr>
              <w:tab/>
            </w:r>
          </w:p>
          <w:p w14:paraId="5BE7EF9C" w14:textId="77777777" w:rsidR="00EF558E" w:rsidRPr="00852253" w:rsidRDefault="00EF558E" w:rsidP="009D46DA">
            <w:pPr>
              <w:pStyle w:val="SingleParagraph"/>
              <w:rPr>
                <w:rFonts w:ascii="Book Antiqua" w:eastAsiaTheme="majorEastAsia" w:hAnsi="Book Antiqua"/>
                <w:bCs/>
                <w:lang w:val="en-GB"/>
              </w:rPr>
            </w:pPr>
            <w:r w:rsidRPr="00260ED9">
              <w:rPr>
                <w:rStyle w:val="Bold"/>
                <w:rFonts w:eastAsiaTheme="majorEastAsia"/>
                <w:bCs/>
              </w:rPr>
              <w:t>The Hon Blair Boyer MP</w:t>
            </w:r>
          </w:p>
          <w:p w14:paraId="6BE01D05" w14:textId="77777777" w:rsidR="00EF558E" w:rsidRPr="00A5194B" w:rsidRDefault="00EF558E" w:rsidP="009D46DA">
            <w:pPr>
              <w:pStyle w:val="SingleParagraph"/>
              <w:rPr>
                <w:rStyle w:val="Bold"/>
                <w:rFonts w:eastAsiaTheme="majorEastAsia"/>
                <w:b w:val="0"/>
                <w:bCs/>
                <w:sz w:val="20"/>
                <w:szCs w:val="16"/>
              </w:rPr>
            </w:pPr>
            <w:r w:rsidRPr="00543DB8">
              <w:rPr>
                <w:rStyle w:val="Bold"/>
                <w:rFonts w:eastAsiaTheme="majorEastAsia"/>
                <w:bCs/>
                <w:sz w:val="20"/>
                <w:szCs w:val="16"/>
              </w:rPr>
              <w:t>Minister for Education, Training and Skills</w:t>
            </w:r>
          </w:p>
          <w:p w14:paraId="0FC6317F" w14:textId="77777777" w:rsidR="00EF558E" w:rsidRPr="005D3A54" w:rsidRDefault="00EF558E" w:rsidP="009D46DA">
            <w:pPr>
              <w:pStyle w:val="SingleParagraph"/>
              <w:tabs>
                <w:tab w:val="num" w:pos="1134"/>
              </w:tabs>
              <w:spacing w:after="240"/>
              <w:rPr>
                <w:lang w:eastAsia="en-US"/>
              </w:rPr>
            </w:pPr>
            <w:proofErr w:type="gramStart"/>
            <w:r w:rsidRPr="69ECA480">
              <w:rPr>
                <w:lang w:eastAsia="en-US"/>
              </w:rPr>
              <w:t>…..</w:t>
            </w:r>
            <w:proofErr w:type="gramEnd"/>
            <w:r w:rsidRPr="69ECA480">
              <w:rPr>
                <w:lang w:eastAsia="en-US"/>
              </w:rPr>
              <w:t>/…../2024</w:t>
            </w:r>
          </w:p>
        </w:tc>
        <w:tc>
          <w:tcPr>
            <w:tcW w:w="284" w:type="dxa"/>
            <w:tcMar>
              <w:top w:w="0" w:type="dxa"/>
              <w:left w:w="0" w:type="dxa"/>
              <w:bottom w:w="0" w:type="dxa"/>
              <w:right w:w="0" w:type="dxa"/>
            </w:tcMar>
          </w:tcPr>
          <w:p w14:paraId="41657F2C" w14:textId="77777777" w:rsidR="00EF558E" w:rsidRPr="005D3A54" w:rsidRDefault="00EF558E" w:rsidP="009D46DA">
            <w:pPr>
              <w:spacing w:after="240" w:line="260" w:lineRule="exact"/>
              <w:jc w:val="both"/>
              <w:rPr>
                <w:rFonts w:ascii="Book Antiqua" w:hAnsi="Book Antiqua"/>
                <w:sz w:val="23"/>
                <w:szCs w:val="22"/>
                <w:lang w:val="en-GB"/>
              </w:rPr>
            </w:pPr>
          </w:p>
        </w:tc>
        <w:tc>
          <w:tcPr>
            <w:tcW w:w="4536" w:type="dxa"/>
            <w:hideMark/>
          </w:tcPr>
          <w:p w14:paraId="6DCC9100" w14:textId="77777777" w:rsidR="00EF558E" w:rsidRDefault="00EF558E" w:rsidP="009D46DA">
            <w:pPr>
              <w:pStyle w:val="Signed"/>
              <w:spacing w:line="276" w:lineRule="auto"/>
              <w:rPr>
                <w:rStyle w:val="SignedBold"/>
                <w:rFonts w:eastAsia="Calibri"/>
                <w:bCs w:val="0"/>
                <w:lang w:eastAsia="en-US"/>
              </w:rPr>
            </w:pPr>
          </w:p>
          <w:p w14:paraId="5BE39AEB"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lang w:eastAsia="en-US"/>
              </w:rPr>
              <w:t xml:space="preserve"> for and on behalf of the</w:t>
            </w:r>
            <w:r w:rsidRPr="005D3A54">
              <w:rPr>
                <w:lang w:eastAsia="en-US"/>
              </w:rPr>
              <w:br/>
              <w:t>State of Tasmania by</w:t>
            </w:r>
          </w:p>
          <w:p w14:paraId="45BB1531" w14:textId="77777777" w:rsidR="00EF558E" w:rsidRPr="005D3A54" w:rsidRDefault="00EF558E" w:rsidP="009D46DA">
            <w:pPr>
              <w:pStyle w:val="LineForSignature"/>
              <w:rPr>
                <w:lang w:eastAsia="en-US"/>
              </w:rPr>
            </w:pPr>
            <w:r w:rsidRPr="005D3A54">
              <w:rPr>
                <w:lang w:eastAsia="en-US"/>
              </w:rPr>
              <w:tab/>
            </w:r>
          </w:p>
          <w:p w14:paraId="3528E140" w14:textId="77777777" w:rsidR="00EF558E" w:rsidRPr="005D3A54" w:rsidRDefault="00EF558E" w:rsidP="009D46DA">
            <w:pPr>
              <w:pStyle w:val="SingleParagraph"/>
              <w:rPr>
                <w:rStyle w:val="Bold"/>
                <w:rFonts w:eastAsiaTheme="majorEastAsia"/>
              </w:rPr>
            </w:pPr>
            <w:r w:rsidRPr="006F7BA8">
              <w:rPr>
                <w:rStyle w:val="Bold"/>
                <w:rFonts w:eastAsiaTheme="majorEastAsia"/>
                <w:lang w:eastAsia="en-US"/>
              </w:rPr>
              <w:t>The Hon Felix Ellis MP</w:t>
            </w:r>
          </w:p>
          <w:p w14:paraId="7C563607" w14:textId="77777777" w:rsidR="00EF558E" w:rsidRPr="00A5194B" w:rsidRDefault="00EF558E" w:rsidP="009D46DA">
            <w:pPr>
              <w:pStyle w:val="SingleParagraph"/>
              <w:rPr>
                <w:rStyle w:val="Bold"/>
                <w:rFonts w:eastAsiaTheme="majorEastAsia"/>
                <w:b w:val="0"/>
                <w:bCs/>
                <w:sz w:val="20"/>
                <w:szCs w:val="16"/>
              </w:rPr>
            </w:pPr>
            <w:r w:rsidRPr="00D207AB">
              <w:rPr>
                <w:rStyle w:val="Bold"/>
                <w:rFonts w:eastAsiaTheme="majorEastAsia"/>
                <w:bCs/>
                <w:sz w:val="20"/>
                <w:szCs w:val="16"/>
              </w:rPr>
              <w:t>Minister for Skills</w:t>
            </w:r>
            <w:r>
              <w:rPr>
                <w:rStyle w:val="Bold"/>
                <w:rFonts w:eastAsiaTheme="majorEastAsia"/>
                <w:bCs/>
                <w:sz w:val="20"/>
                <w:szCs w:val="16"/>
              </w:rPr>
              <w:t xml:space="preserve"> and Training</w:t>
            </w:r>
          </w:p>
          <w:p w14:paraId="1263AC52" w14:textId="269E04F8" w:rsidR="00DE31CB" w:rsidRPr="00DE31CB" w:rsidRDefault="00EF558E" w:rsidP="007817AC">
            <w:pPr>
              <w:pStyle w:val="SingleParagraph"/>
              <w:tabs>
                <w:tab w:val="num" w:pos="1134"/>
              </w:tabs>
              <w:spacing w:after="240"/>
              <w:rPr>
                <w:lang w:eastAsia="en-US"/>
              </w:rPr>
            </w:pPr>
            <w:proofErr w:type="gramStart"/>
            <w:r w:rsidRPr="401424EC">
              <w:rPr>
                <w:lang w:eastAsia="en-US"/>
              </w:rPr>
              <w:t>…..</w:t>
            </w:r>
            <w:proofErr w:type="gramEnd"/>
            <w:r w:rsidRPr="401424EC">
              <w:rPr>
                <w:lang w:eastAsia="en-US"/>
              </w:rPr>
              <w:t>/…../2024</w:t>
            </w:r>
          </w:p>
        </w:tc>
      </w:tr>
      <w:tr w:rsidR="00EF558E" w14:paraId="6E25A817" w14:textId="77777777" w:rsidTr="009D46DA">
        <w:trPr>
          <w:cantSplit/>
          <w:jc w:val="center"/>
        </w:trPr>
        <w:tc>
          <w:tcPr>
            <w:tcW w:w="4536" w:type="dxa"/>
            <w:hideMark/>
          </w:tcPr>
          <w:p w14:paraId="066C4F8C" w14:textId="77777777" w:rsidR="00EF558E" w:rsidRDefault="00EF558E" w:rsidP="009D46DA">
            <w:pPr>
              <w:pStyle w:val="Signed"/>
              <w:spacing w:line="276" w:lineRule="auto"/>
              <w:rPr>
                <w:rStyle w:val="SignedBold"/>
                <w:rFonts w:eastAsia="Calibri"/>
                <w:bCs w:val="0"/>
                <w:lang w:eastAsia="en-US"/>
              </w:rPr>
            </w:pPr>
          </w:p>
          <w:p w14:paraId="04345D98" w14:textId="77777777" w:rsidR="00EF558E" w:rsidRPr="005D3A54" w:rsidRDefault="00EF558E" w:rsidP="009D46DA">
            <w:pPr>
              <w:pStyle w:val="Signed"/>
              <w:spacing w:line="276" w:lineRule="auto"/>
              <w:rPr>
                <w:lang w:eastAsia="en-US"/>
              </w:rPr>
            </w:pPr>
            <w:r w:rsidRPr="005D3A54">
              <w:rPr>
                <w:rStyle w:val="SignedBold"/>
                <w:rFonts w:eastAsia="Calibri"/>
                <w:bCs w:val="0"/>
                <w:lang w:eastAsia="en-US"/>
              </w:rPr>
              <w:t>Signed</w:t>
            </w:r>
            <w:r w:rsidRPr="005D3A54">
              <w:rPr>
                <w:i w:val="0"/>
                <w:lang w:eastAsia="en-US"/>
              </w:rPr>
              <w:t xml:space="preserve"> </w:t>
            </w:r>
            <w:r w:rsidRPr="005D3A54">
              <w:rPr>
                <w:lang w:eastAsia="en-US"/>
              </w:rPr>
              <w:t>for and on behalf of the</w:t>
            </w:r>
            <w:r w:rsidRPr="005D3A54">
              <w:rPr>
                <w:i w:val="0"/>
                <w:lang w:eastAsia="en-US"/>
              </w:rPr>
              <w:t xml:space="preserve"> </w:t>
            </w:r>
            <w:r w:rsidRPr="005D3A54">
              <w:rPr>
                <w:lang w:eastAsia="en-US"/>
              </w:rPr>
              <w:t>Australian Capital Territory by</w:t>
            </w:r>
          </w:p>
          <w:p w14:paraId="67F73861" w14:textId="77777777" w:rsidR="00EF558E" w:rsidRPr="005D3A54" w:rsidRDefault="00EF558E" w:rsidP="009D46DA">
            <w:pPr>
              <w:pStyle w:val="LineForSignature"/>
              <w:rPr>
                <w:lang w:eastAsia="en-US"/>
              </w:rPr>
            </w:pPr>
            <w:r w:rsidRPr="005D3A54">
              <w:rPr>
                <w:lang w:eastAsia="en-US"/>
              </w:rPr>
              <w:tab/>
            </w:r>
          </w:p>
          <w:p w14:paraId="123AC8DE" w14:textId="77777777" w:rsidR="00EF558E" w:rsidRDefault="00EF558E" w:rsidP="009D46DA">
            <w:pPr>
              <w:pStyle w:val="SingleParagraph"/>
              <w:rPr>
                <w:rStyle w:val="Bold"/>
                <w:rFonts w:eastAsiaTheme="majorEastAsia"/>
                <w:lang w:eastAsia="en-US"/>
              </w:rPr>
            </w:pPr>
            <w:r w:rsidRPr="00350C92">
              <w:rPr>
                <w:rStyle w:val="Bold"/>
                <w:rFonts w:eastAsiaTheme="majorEastAsia"/>
                <w:lang w:eastAsia="en-US"/>
              </w:rPr>
              <w:t>Mr. Chris Steel MLA</w:t>
            </w:r>
          </w:p>
          <w:p w14:paraId="7438A823" w14:textId="77777777" w:rsidR="00EF558E" w:rsidRPr="00A5194B" w:rsidRDefault="00EF558E" w:rsidP="009D46DA">
            <w:pPr>
              <w:pStyle w:val="SingleParagraph"/>
              <w:rPr>
                <w:rStyle w:val="Bold"/>
                <w:rFonts w:eastAsiaTheme="majorEastAsia"/>
                <w:b w:val="0"/>
                <w:bCs/>
                <w:sz w:val="20"/>
                <w:szCs w:val="16"/>
              </w:rPr>
            </w:pPr>
            <w:r w:rsidRPr="00CE2A7A">
              <w:rPr>
                <w:rStyle w:val="Bold"/>
                <w:rFonts w:eastAsiaTheme="majorEastAsia"/>
                <w:bCs/>
                <w:sz w:val="20"/>
                <w:szCs w:val="16"/>
              </w:rPr>
              <w:t>Minister for Skills</w:t>
            </w:r>
            <w:r>
              <w:rPr>
                <w:rStyle w:val="Bold"/>
                <w:rFonts w:eastAsiaTheme="majorEastAsia"/>
                <w:bCs/>
                <w:sz w:val="20"/>
                <w:szCs w:val="16"/>
              </w:rPr>
              <w:t xml:space="preserve"> and Training</w:t>
            </w:r>
          </w:p>
          <w:p w14:paraId="3C974F76" w14:textId="77777777" w:rsidR="00EF558E" w:rsidRPr="005D3A54" w:rsidRDefault="00EF558E" w:rsidP="009D46DA">
            <w:pPr>
              <w:pStyle w:val="SingleParagraph"/>
              <w:tabs>
                <w:tab w:val="num" w:pos="1134"/>
              </w:tabs>
              <w:spacing w:after="240"/>
              <w:rPr>
                <w:lang w:eastAsia="en-US"/>
              </w:rPr>
            </w:pPr>
            <w:proofErr w:type="gramStart"/>
            <w:r w:rsidRPr="401424EC">
              <w:rPr>
                <w:lang w:eastAsia="en-US"/>
              </w:rPr>
              <w:t>…..</w:t>
            </w:r>
            <w:proofErr w:type="gramEnd"/>
            <w:r w:rsidRPr="401424EC">
              <w:rPr>
                <w:lang w:eastAsia="en-US"/>
              </w:rPr>
              <w:t>/…../2024</w:t>
            </w:r>
          </w:p>
        </w:tc>
        <w:tc>
          <w:tcPr>
            <w:tcW w:w="284" w:type="dxa"/>
            <w:tcMar>
              <w:top w:w="0" w:type="dxa"/>
              <w:left w:w="0" w:type="dxa"/>
              <w:bottom w:w="0" w:type="dxa"/>
              <w:right w:w="0" w:type="dxa"/>
            </w:tcMar>
          </w:tcPr>
          <w:p w14:paraId="13D02861" w14:textId="77777777" w:rsidR="00EF558E" w:rsidRPr="005D3A54" w:rsidRDefault="00EF558E" w:rsidP="009D46DA">
            <w:pPr>
              <w:spacing w:after="240" w:line="260" w:lineRule="exact"/>
              <w:jc w:val="both"/>
              <w:rPr>
                <w:rFonts w:ascii="Book Antiqua" w:hAnsi="Book Antiqua"/>
                <w:sz w:val="23"/>
                <w:szCs w:val="22"/>
                <w:lang w:val="en-GB"/>
              </w:rPr>
            </w:pPr>
          </w:p>
        </w:tc>
        <w:tc>
          <w:tcPr>
            <w:tcW w:w="4536" w:type="dxa"/>
            <w:hideMark/>
          </w:tcPr>
          <w:p w14:paraId="33A9C1CB" w14:textId="77777777" w:rsidR="00EF558E" w:rsidRDefault="00EF558E" w:rsidP="009D46DA">
            <w:pPr>
              <w:pStyle w:val="Signed"/>
              <w:spacing w:line="276" w:lineRule="auto"/>
              <w:rPr>
                <w:rStyle w:val="SignedBold"/>
                <w:rFonts w:eastAsia="Calibri"/>
                <w:bCs w:val="0"/>
                <w:lang w:eastAsia="en-US"/>
              </w:rPr>
            </w:pPr>
          </w:p>
          <w:p w14:paraId="127C5733" w14:textId="77777777" w:rsidR="00EF558E" w:rsidRPr="006C7DBC" w:rsidRDefault="00EF558E" w:rsidP="009D46DA">
            <w:pPr>
              <w:pStyle w:val="Signed"/>
              <w:spacing w:line="276" w:lineRule="auto"/>
              <w:rPr>
                <w:lang w:eastAsia="en-US"/>
              </w:rPr>
            </w:pPr>
            <w:r w:rsidRPr="006C7DBC">
              <w:rPr>
                <w:rStyle w:val="SignedBold"/>
                <w:rFonts w:eastAsia="Calibri"/>
                <w:bCs w:val="0"/>
                <w:lang w:eastAsia="en-US"/>
              </w:rPr>
              <w:t>Signed</w:t>
            </w:r>
            <w:r w:rsidRPr="006C7DBC">
              <w:rPr>
                <w:i w:val="0"/>
                <w:lang w:eastAsia="en-US"/>
              </w:rPr>
              <w:t xml:space="preserve"> </w:t>
            </w:r>
            <w:r w:rsidRPr="006C7DBC">
              <w:rPr>
                <w:lang w:eastAsia="en-US"/>
              </w:rPr>
              <w:t>for and on behalf of the</w:t>
            </w:r>
            <w:r w:rsidRPr="006C7DBC">
              <w:rPr>
                <w:i w:val="0"/>
                <w:lang w:eastAsia="en-US"/>
              </w:rPr>
              <w:t xml:space="preserve"> </w:t>
            </w:r>
            <w:r w:rsidRPr="006C7DBC">
              <w:rPr>
                <w:lang w:eastAsia="en-US"/>
              </w:rPr>
              <w:t>Northern Territory by</w:t>
            </w:r>
          </w:p>
          <w:p w14:paraId="4729F9D2" w14:textId="77777777" w:rsidR="00EF558E" w:rsidRPr="006C7DBC" w:rsidRDefault="00EF558E" w:rsidP="009D46DA">
            <w:pPr>
              <w:pStyle w:val="LineForSignature"/>
              <w:rPr>
                <w:lang w:eastAsia="en-US"/>
              </w:rPr>
            </w:pPr>
            <w:r w:rsidRPr="006C7DBC">
              <w:rPr>
                <w:lang w:eastAsia="en-US"/>
              </w:rPr>
              <w:tab/>
            </w:r>
          </w:p>
          <w:p w14:paraId="3061D345" w14:textId="38127CB8" w:rsidR="00EF558E" w:rsidRPr="006C7DBC" w:rsidRDefault="00EF558E" w:rsidP="009D46DA">
            <w:pPr>
              <w:pStyle w:val="SingleParagraph"/>
              <w:rPr>
                <w:rStyle w:val="Bold"/>
                <w:rFonts w:eastAsiaTheme="majorEastAsia"/>
              </w:rPr>
            </w:pPr>
            <w:r w:rsidRPr="006C7DBC">
              <w:rPr>
                <w:rStyle w:val="Bold"/>
                <w:rFonts w:eastAsiaTheme="majorEastAsia"/>
                <w:lang w:eastAsia="en-US"/>
              </w:rPr>
              <w:t>The Hon</w:t>
            </w:r>
            <w:r w:rsidR="00BD5EBC" w:rsidRPr="006C7DBC">
              <w:rPr>
                <w:rStyle w:val="Bold"/>
                <w:rFonts w:eastAsiaTheme="majorEastAsia"/>
                <w:lang w:eastAsia="en-US"/>
              </w:rPr>
              <w:t xml:space="preserve"> Gerard Phillip Maley</w:t>
            </w:r>
          </w:p>
          <w:p w14:paraId="33F2B9B6" w14:textId="77777777" w:rsidR="00EF558E" w:rsidRPr="006C7DBC" w:rsidRDefault="00EF558E" w:rsidP="009D46DA">
            <w:pPr>
              <w:pStyle w:val="SingleParagraph"/>
              <w:rPr>
                <w:rStyle w:val="Bold"/>
                <w:rFonts w:eastAsiaTheme="majorEastAsia"/>
                <w:b w:val="0"/>
                <w:bCs/>
                <w:sz w:val="20"/>
                <w:szCs w:val="16"/>
              </w:rPr>
            </w:pPr>
            <w:r w:rsidRPr="006C7DBC">
              <w:rPr>
                <w:rStyle w:val="Bold"/>
                <w:rFonts w:eastAsiaTheme="majorEastAsia"/>
                <w:bCs/>
                <w:sz w:val="20"/>
                <w:szCs w:val="16"/>
              </w:rPr>
              <w:t xml:space="preserve">Minister for Skills, Training and International Education </w:t>
            </w:r>
          </w:p>
          <w:p w14:paraId="01CB4513" w14:textId="77777777" w:rsidR="00EF558E" w:rsidRPr="00663CCF" w:rsidRDefault="00EF558E" w:rsidP="009D46DA">
            <w:pPr>
              <w:pStyle w:val="SingleParagraph"/>
              <w:tabs>
                <w:tab w:val="num" w:pos="1134"/>
              </w:tabs>
              <w:spacing w:after="240"/>
              <w:rPr>
                <w:lang w:eastAsia="en-US"/>
              </w:rPr>
            </w:pPr>
            <w:proofErr w:type="gramStart"/>
            <w:r w:rsidRPr="006C7DBC">
              <w:rPr>
                <w:lang w:eastAsia="en-US"/>
              </w:rPr>
              <w:t>…..</w:t>
            </w:r>
            <w:proofErr w:type="gramEnd"/>
            <w:r w:rsidRPr="006C7DBC">
              <w:rPr>
                <w:lang w:eastAsia="en-US"/>
              </w:rPr>
              <w:t>/…../2024</w:t>
            </w:r>
          </w:p>
        </w:tc>
      </w:tr>
    </w:tbl>
    <w:p w14:paraId="073B053B" w14:textId="77777777" w:rsidR="00DE31CB" w:rsidRPr="007817AC" w:rsidRDefault="00DE31CB" w:rsidP="00EF558E">
      <w:pPr>
        <w:rPr>
          <w:sz w:val="10"/>
          <w:szCs w:val="12"/>
        </w:rPr>
      </w:pPr>
    </w:p>
    <w:p w14:paraId="7A75C08E" w14:textId="77777777" w:rsidR="00EF558E" w:rsidRPr="007817AC" w:rsidRDefault="00EF558E" w:rsidP="00EF558E">
      <w:pPr>
        <w:rPr>
          <w:sz w:val="10"/>
          <w:szCs w:val="12"/>
        </w:rPr>
        <w:sectPr w:rsidR="00EF558E" w:rsidRPr="007817AC" w:rsidSect="007817AC">
          <w:headerReference w:type="even" r:id="rId23"/>
          <w:headerReference w:type="default" r:id="rId24"/>
          <w:footerReference w:type="even" r:id="rId25"/>
          <w:footerReference w:type="default" r:id="rId26"/>
          <w:headerReference w:type="first" r:id="rId27"/>
          <w:footerReference w:type="first" r:id="rId28"/>
          <w:pgSz w:w="11904" w:h="16834"/>
          <w:pgMar w:top="284" w:right="1440" w:bottom="1440" w:left="1440" w:header="510" w:footer="567" w:gutter="0"/>
          <w:cols w:space="720"/>
          <w:docGrid w:linePitch="299"/>
        </w:sectPr>
      </w:pPr>
    </w:p>
    <w:p w14:paraId="357834F6" w14:textId="77777777" w:rsidR="0029427C" w:rsidRPr="003351E6" w:rsidRDefault="00CD24A0" w:rsidP="0067049F">
      <w:pPr>
        <w:spacing w:after="153" w:line="265" w:lineRule="auto"/>
        <w:ind w:left="0" w:firstLine="0"/>
      </w:pPr>
      <w:r w:rsidRPr="003351E6">
        <w:rPr>
          <w:color w:val="2E74B5"/>
        </w:rPr>
        <w:lastRenderedPageBreak/>
        <w:t xml:space="preserve">Appendix A: Funding Principles for the Fee-Free TAFE Fund (FFT Fund) </w:t>
      </w:r>
    </w:p>
    <w:p w14:paraId="5F9487F3" w14:textId="77777777" w:rsidR="0029427C" w:rsidRPr="003351E6" w:rsidRDefault="00CD24A0">
      <w:pPr>
        <w:spacing w:after="0" w:line="265" w:lineRule="auto"/>
        <w:ind w:left="-3" w:hanging="10"/>
      </w:pPr>
      <w:r w:rsidRPr="003351E6">
        <w:rPr>
          <w:color w:val="2E74B5"/>
        </w:rPr>
        <w:t xml:space="preserve">Priority Learners </w:t>
      </w:r>
    </w:p>
    <w:p w14:paraId="60305329" w14:textId="77777777" w:rsidR="0029427C" w:rsidRPr="003351E6" w:rsidRDefault="00CD24A0">
      <w:pPr>
        <w:numPr>
          <w:ilvl w:val="0"/>
          <w:numId w:val="1"/>
        </w:numPr>
        <w:spacing w:after="51" w:line="249" w:lineRule="auto"/>
        <w:ind w:hanging="360"/>
      </w:pPr>
      <w:r w:rsidRPr="003351E6">
        <w:rPr>
          <w:rFonts w:eastAsia="Corbel"/>
        </w:rPr>
        <w:t xml:space="preserve">States will administer learner eligibility for Fee-Free TAFE, prioritising groups including First Nations Australians, young people (17-24), people out of work or receiving income support, unpaid carers, women facing economic insecurity, women undertaking study in non-traditional fields, people with disability and certain categories of visa holders. </w:t>
      </w:r>
    </w:p>
    <w:p w14:paraId="38F33C96" w14:textId="77777777" w:rsidR="0029427C" w:rsidRPr="003351E6" w:rsidRDefault="00CD24A0">
      <w:pPr>
        <w:numPr>
          <w:ilvl w:val="2"/>
          <w:numId w:val="2"/>
        </w:numPr>
        <w:spacing w:after="51" w:line="249" w:lineRule="auto"/>
        <w:ind w:hanging="358"/>
      </w:pPr>
      <w:r w:rsidRPr="003351E6">
        <w:rPr>
          <w:rFonts w:eastAsia="Corbel"/>
        </w:rPr>
        <w:t xml:space="preserve">In this context, States will in local eligibility arrangements in their Implementation Plans and how Fee Free TAFE will be marketed in the first instance to the priority groups. </w:t>
      </w:r>
      <w:r w:rsidRPr="003351E6">
        <w:t xml:space="preserve"> </w:t>
      </w:r>
    </w:p>
    <w:p w14:paraId="66682786" w14:textId="77777777" w:rsidR="0029427C" w:rsidRPr="003351E6" w:rsidRDefault="00CD24A0">
      <w:pPr>
        <w:numPr>
          <w:ilvl w:val="2"/>
          <w:numId w:val="2"/>
        </w:numPr>
        <w:spacing w:after="51" w:line="249" w:lineRule="auto"/>
        <w:ind w:hanging="358"/>
      </w:pPr>
      <w:r w:rsidRPr="003351E6">
        <w:rPr>
          <w:rFonts w:eastAsia="Corbel"/>
        </w:rPr>
        <w:t xml:space="preserve">States will outline the proposed learner eligibility in the Implementation Plan and advise on any changes in quarterly progress reports. </w:t>
      </w:r>
    </w:p>
    <w:p w14:paraId="44C12223" w14:textId="77777777" w:rsidR="0029427C" w:rsidRPr="003351E6" w:rsidRDefault="00CD24A0">
      <w:pPr>
        <w:spacing w:after="0" w:line="265" w:lineRule="auto"/>
        <w:ind w:left="-3" w:hanging="10"/>
      </w:pPr>
      <w:r w:rsidRPr="003351E6">
        <w:rPr>
          <w:color w:val="2E74B5"/>
        </w:rPr>
        <w:t xml:space="preserve">Training in scope of funding </w:t>
      </w:r>
    </w:p>
    <w:p w14:paraId="4047661E" w14:textId="77777777" w:rsidR="0029427C" w:rsidRPr="003351E6" w:rsidRDefault="00CD24A0">
      <w:pPr>
        <w:numPr>
          <w:ilvl w:val="0"/>
          <w:numId w:val="1"/>
        </w:numPr>
        <w:spacing w:after="163"/>
        <w:ind w:hanging="360"/>
      </w:pPr>
      <w:r w:rsidRPr="003351E6">
        <w:t xml:space="preserve">Commencing 1 January 2023, the national target for the Fund is 180,000 Fee-Free TAFE places, including 15,000 aged care places (see definitions for Fee-Free and TAFE below). The total indicative numbers of Fee-Free TAFE places, and aged care places, in each jurisdiction in 2023 will be outlined in the State’s Implementation Plan.  </w:t>
      </w:r>
    </w:p>
    <w:p w14:paraId="0E2558BB" w14:textId="77777777" w:rsidR="0029427C" w:rsidRPr="003351E6" w:rsidRDefault="00CD24A0">
      <w:pPr>
        <w:numPr>
          <w:ilvl w:val="0"/>
          <w:numId w:val="1"/>
        </w:numPr>
        <w:ind w:hanging="360"/>
      </w:pPr>
      <w:r w:rsidRPr="003351E6">
        <w:t xml:space="preserve">States will determine the courses (accredited qualifications and short courses) to be funded under this Schedule, to deliver national and/or State-based priorities. National areas of priority include: </w:t>
      </w:r>
    </w:p>
    <w:p w14:paraId="49C9AA84" w14:textId="77777777" w:rsidR="0029427C" w:rsidRPr="003351E6" w:rsidRDefault="00CD24A0">
      <w:pPr>
        <w:numPr>
          <w:ilvl w:val="2"/>
          <w:numId w:val="3"/>
        </w:numPr>
        <w:spacing w:after="2"/>
        <w:ind w:hanging="360"/>
      </w:pPr>
      <w:r w:rsidRPr="003351E6">
        <w:t>care (aged care, childcare, health care, disability care</w:t>
      </w:r>
      <w:proofErr w:type="gramStart"/>
      <w:r w:rsidRPr="003351E6">
        <w:t>);</w:t>
      </w:r>
      <w:proofErr w:type="gramEnd"/>
      <w:r w:rsidRPr="003351E6">
        <w:t xml:space="preserve">  </w:t>
      </w:r>
    </w:p>
    <w:p w14:paraId="589F66B7" w14:textId="77777777" w:rsidR="0029427C" w:rsidRPr="003351E6" w:rsidRDefault="00CD24A0">
      <w:pPr>
        <w:numPr>
          <w:ilvl w:val="2"/>
          <w:numId w:val="3"/>
        </w:numPr>
        <w:spacing w:after="2"/>
        <w:ind w:hanging="360"/>
      </w:pPr>
      <w:r w:rsidRPr="003351E6">
        <w:t xml:space="preserve">technology and </w:t>
      </w:r>
      <w:proofErr w:type="gramStart"/>
      <w:r w:rsidRPr="003351E6">
        <w:t>digital;</w:t>
      </w:r>
      <w:proofErr w:type="gramEnd"/>
      <w:r w:rsidRPr="003351E6">
        <w:t xml:space="preserve"> </w:t>
      </w:r>
    </w:p>
    <w:p w14:paraId="76344F5F" w14:textId="77777777" w:rsidR="0029427C" w:rsidRPr="003351E6" w:rsidRDefault="00CD24A0">
      <w:pPr>
        <w:numPr>
          <w:ilvl w:val="2"/>
          <w:numId w:val="3"/>
        </w:numPr>
        <w:spacing w:after="2"/>
        <w:ind w:hanging="360"/>
      </w:pPr>
      <w:r w:rsidRPr="003351E6">
        <w:t xml:space="preserve">hospitality and </w:t>
      </w:r>
      <w:proofErr w:type="gramStart"/>
      <w:r w:rsidRPr="003351E6">
        <w:t>tourism;</w:t>
      </w:r>
      <w:proofErr w:type="gramEnd"/>
      <w:r w:rsidRPr="003351E6">
        <w:t xml:space="preserve">  </w:t>
      </w:r>
    </w:p>
    <w:p w14:paraId="4FD5E7FF" w14:textId="77777777" w:rsidR="0029427C" w:rsidRPr="003351E6" w:rsidRDefault="00CD24A0">
      <w:pPr>
        <w:numPr>
          <w:ilvl w:val="2"/>
          <w:numId w:val="3"/>
        </w:numPr>
        <w:spacing w:after="2"/>
        <w:ind w:hanging="360"/>
      </w:pPr>
      <w:proofErr w:type="gramStart"/>
      <w:r w:rsidRPr="003351E6">
        <w:t>construction;</w:t>
      </w:r>
      <w:proofErr w:type="gramEnd"/>
      <w:r w:rsidRPr="003351E6">
        <w:t xml:space="preserve"> </w:t>
      </w:r>
    </w:p>
    <w:p w14:paraId="5C31FE79" w14:textId="77777777" w:rsidR="0029427C" w:rsidRPr="003351E6" w:rsidRDefault="00CD24A0">
      <w:pPr>
        <w:numPr>
          <w:ilvl w:val="2"/>
          <w:numId w:val="3"/>
        </w:numPr>
        <w:spacing w:after="2"/>
        <w:ind w:hanging="360"/>
      </w:pPr>
      <w:r w:rsidRPr="003351E6">
        <w:t xml:space="preserve">agriculture; and  </w:t>
      </w:r>
    </w:p>
    <w:p w14:paraId="04FC43D3" w14:textId="77777777" w:rsidR="0029427C" w:rsidRPr="003351E6" w:rsidRDefault="00CD24A0">
      <w:pPr>
        <w:numPr>
          <w:ilvl w:val="2"/>
          <w:numId w:val="3"/>
        </w:numPr>
        <w:spacing w:after="2"/>
        <w:ind w:hanging="360"/>
      </w:pPr>
      <w:r w:rsidRPr="003351E6">
        <w:t xml:space="preserve">sovereign capability (for example manufacturing, and Defence).   </w:t>
      </w:r>
    </w:p>
    <w:p w14:paraId="5CC29D4A" w14:textId="77777777" w:rsidR="0029427C" w:rsidRPr="003351E6" w:rsidRDefault="00CD24A0">
      <w:pPr>
        <w:spacing w:after="0" w:line="259" w:lineRule="auto"/>
        <w:ind w:left="1081" w:firstLine="0"/>
      </w:pPr>
      <w:r w:rsidRPr="003351E6">
        <w:t xml:space="preserve"> </w:t>
      </w:r>
    </w:p>
    <w:p w14:paraId="3118FD18" w14:textId="77777777" w:rsidR="0029427C" w:rsidRPr="003351E6" w:rsidRDefault="00CD24A0">
      <w:pPr>
        <w:numPr>
          <w:ilvl w:val="0"/>
          <w:numId w:val="1"/>
        </w:numPr>
        <w:spacing w:after="160"/>
        <w:ind w:hanging="360"/>
      </w:pPr>
      <w:r w:rsidRPr="003351E6">
        <w:t xml:space="preserve">The States will specify an initial list of courses (qualifications and short courses) covered by this Schedule in their Implementation Plan, which will also address the indicative aggregate of full qualifications and short courses (including micro-credentials), how the list will address national and/or State priority areas, and how the list may be updated.  </w:t>
      </w:r>
    </w:p>
    <w:p w14:paraId="26B25A10" w14:textId="77777777" w:rsidR="0029427C" w:rsidRPr="003351E6" w:rsidRDefault="00CD24A0">
      <w:pPr>
        <w:numPr>
          <w:ilvl w:val="0"/>
          <w:numId w:val="1"/>
        </w:numPr>
        <w:spacing w:after="163"/>
        <w:ind w:hanging="360"/>
      </w:pPr>
      <w:r w:rsidRPr="003351E6">
        <w:t xml:space="preserve">Fee-Free TAFE will be delivered by a registered training provider that is recognised as a TAFE or public dual sector higher education provider, including TAFE </w:t>
      </w:r>
      <w:proofErr w:type="spellStart"/>
      <w:r w:rsidRPr="003351E6">
        <w:t>auspicing</w:t>
      </w:r>
      <w:proofErr w:type="spellEnd"/>
      <w:r w:rsidRPr="003351E6">
        <w:t xml:space="preserve"> or partnership arrangements. In limited circumstances delivery may also include community training providers or Indigenous training providers where they are better placed to deliver specialist training, as agreed with the Commonwealth in the Implementation Plan. </w:t>
      </w:r>
    </w:p>
    <w:p w14:paraId="2335D136" w14:textId="77777777" w:rsidR="0029427C" w:rsidRPr="003351E6" w:rsidRDefault="00CD24A0">
      <w:pPr>
        <w:numPr>
          <w:ilvl w:val="0"/>
          <w:numId w:val="1"/>
        </w:numPr>
        <w:spacing w:after="150" w:line="249" w:lineRule="auto"/>
        <w:ind w:hanging="360"/>
      </w:pPr>
      <w:r w:rsidRPr="003351E6">
        <w:t xml:space="preserve">To deliver priority training in the care sector (including 15,000 places nationally in aged care), State delivery may include broader eligibility and qualifications, as agreed with the Commonwealth in the Implementation Plan. </w:t>
      </w:r>
    </w:p>
    <w:p w14:paraId="62A7BD56" w14:textId="77777777" w:rsidR="0029427C" w:rsidRPr="003351E6" w:rsidRDefault="00CD24A0">
      <w:pPr>
        <w:numPr>
          <w:ilvl w:val="0"/>
          <w:numId w:val="1"/>
        </w:numPr>
        <w:spacing w:after="163"/>
        <w:ind w:hanging="360"/>
      </w:pPr>
      <w:r w:rsidRPr="003351E6">
        <w:t xml:space="preserve">The Commonwealth and States may, by exception, agree to specific bilateral training delivery arrangements in the Implementation Plan. </w:t>
      </w:r>
    </w:p>
    <w:p w14:paraId="58177956" w14:textId="77777777" w:rsidR="0029427C" w:rsidRDefault="00CD24A0">
      <w:pPr>
        <w:numPr>
          <w:ilvl w:val="0"/>
          <w:numId w:val="1"/>
        </w:numPr>
        <w:spacing w:after="150" w:line="249" w:lineRule="auto"/>
        <w:ind w:hanging="360"/>
      </w:pPr>
      <w:r w:rsidRPr="003351E6">
        <w:t xml:space="preserve">Commonwealth Government payments under this Schedule will be directed to State Governments, which will manage the distribution of funds in line with this Schedule and according to their policies and procedures. </w:t>
      </w:r>
    </w:p>
    <w:p w14:paraId="75ABFCB6" w14:textId="77777777" w:rsidR="005E1F13" w:rsidRDefault="005E1F13" w:rsidP="005E1F13">
      <w:pPr>
        <w:spacing w:after="150" w:line="249" w:lineRule="auto"/>
      </w:pPr>
    </w:p>
    <w:p w14:paraId="3F2BE1AB" w14:textId="77777777" w:rsidR="00F20CE9" w:rsidRPr="003351E6" w:rsidRDefault="00F20CE9" w:rsidP="005E1F13">
      <w:pPr>
        <w:spacing w:after="150" w:line="249" w:lineRule="auto"/>
      </w:pPr>
    </w:p>
    <w:p w14:paraId="1796C411" w14:textId="77777777" w:rsidR="0029427C" w:rsidRPr="003351E6" w:rsidRDefault="00CD24A0">
      <w:pPr>
        <w:spacing w:after="0" w:line="265" w:lineRule="auto"/>
        <w:ind w:left="-3" w:hanging="10"/>
      </w:pPr>
      <w:r w:rsidRPr="003351E6">
        <w:rPr>
          <w:color w:val="2E74B5"/>
        </w:rPr>
        <w:lastRenderedPageBreak/>
        <w:t xml:space="preserve">Enrolment Period </w:t>
      </w:r>
    </w:p>
    <w:p w14:paraId="0DEC8244" w14:textId="77777777" w:rsidR="0029427C" w:rsidRPr="003351E6" w:rsidRDefault="00CD24A0">
      <w:pPr>
        <w:numPr>
          <w:ilvl w:val="0"/>
          <w:numId w:val="1"/>
        </w:numPr>
        <w:ind w:hanging="360"/>
      </w:pPr>
      <w:r w:rsidRPr="003351E6">
        <w:t xml:space="preserve">Enrolments for, or delivery commenced from the time of signing this Schedule to 31 December 2023 will be eligible for this Fund, unless varied in the Implementation Plan. </w:t>
      </w:r>
    </w:p>
    <w:p w14:paraId="454E261F" w14:textId="77777777" w:rsidR="0029427C" w:rsidRPr="003351E6" w:rsidRDefault="00CD24A0">
      <w:pPr>
        <w:spacing w:after="0" w:line="265" w:lineRule="auto"/>
        <w:ind w:left="-3" w:hanging="10"/>
      </w:pPr>
      <w:r w:rsidRPr="003351E6">
        <w:rPr>
          <w:color w:val="2E74B5"/>
        </w:rPr>
        <w:t xml:space="preserve">Course Pricing </w:t>
      </w:r>
    </w:p>
    <w:p w14:paraId="62194EAC" w14:textId="77777777" w:rsidR="0029427C" w:rsidRPr="003351E6" w:rsidRDefault="00CD24A0">
      <w:pPr>
        <w:numPr>
          <w:ilvl w:val="0"/>
          <w:numId w:val="1"/>
        </w:numPr>
        <w:spacing w:after="2"/>
        <w:ind w:hanging="360"/>
      </w:pPr>
      <w:r w:rsidRPr="003351E6">
        <w:t xml:space="preserve">States will use their current pricing policies for VET places in their jurisdiction for setting the price of </w:t>
      </w:r>
    </w:p>
    <w:p w14:paraId="7FEC0D66" w14:textId="77777777" w:rsidR="0029427C" w:rsidRPr="003351E6" w:rsidRDefault="00CD24A0">
      <w:pPr>
        <w:spacing w:after="160"/>
        <w:ind w:left="362" w:firstLine="0"/>
      </w:pPr>
      <w:r w:rsidRPr="003351E6">
        <w:t xml:space="preserve">Fee-Free TAFE training places. In doing so, they will be informed by advice from Commonwealth Government and State and Territory Government agencies. States’ current pricing policies are subject to change and the price set for the training places under this Schedule may be adjusted through a revised Implementation Plan. </w:t>
      </w:r>
    </w:p>
    <w:p w14:paraId="1DCAF7FF" w14:textId="77777777" w:rsidR="0029427C" w:rsidRPr="003351E6" w:rsidRDefault="00CD24A0" w:rsidP="00BE72B2">
      <w:pPr>
        <w:spacing w:after="0" w:line="240" w:lineRule="auto"/>
        <w:ind w:left="0" w:hanging="11"/>
      </w:pPr>
      <w:r w:rsidRPr="003351E6">
        <w:rPr>
          <w:color w:val="2E74B5"/>
        </w:rPr>
        <w:t xml:space="preserve">Reporting Arrangements </w:t>
      </w:r>
    </w:p>
    <w:p w14:paraId="0E98A185" w14:textId="77777777" w:rsidR="0029427C" w:rsidRPr="003351E6" w:rsidRDefault="00CD24A0">
      <w:pPr>
        <w:numPr>
          <w:ilvl w:val="0"/>
          <w:numId w:val="1"/>
        </w:numPr>
        <w:spacing w:after="163"/>
        <w:ind w:hanging="360"/>
      </w:pPr>
      <w:r w:rsidRPr="003351E6">
        <w:t xml:space="preserve">The States will provide reports in accordance with Part 3 aligned with the templates attached to this Schedule. </w:t>
      </w:r>
    </w:p>
    <w:p w14:paraId="1079216B" w14:textId="77777777" w:rsidR="0029427C" w:rsidRPr="003351E6" w:rsidRDefault="00CD24A0">
      <w:pPr>
        <w:numPr>
          <w:ilvl w:val="0"/>
          <w:numId w:val="1"/>
        </w:numPr>
        <w:spacing w:after="163"/>
        <w:ind w:hanging="360"/>
      </w:pPr>
      <w:r w:rsidRPr="003351E6">
        <w:t xml:space="preserve">The Commonwealth may share the reports set out in Part 3 with any Commonwealth entity for information, reporting and promotion purposes. </w:t>
      </w:r>
    </w:p>
    <w:p w14:paraId="1203BEE5" w14:textId="77777777" w:rsidR="0029427C" w:rsidRPr="003351E6" w:rsidRDefault="00CD24A0">
      <w:pPr>
        <w:spacing w:after="0" w:line="265" w:lineRule="auto"/>
        <w:ind w:left="-3" w:hanging="10"/>
      </w:pPr>
      <w:r w:rsidRPr="003351E6">
        <w:rPr>
          <w:color w:val="2E74B5"/>
        </w:rPr>
        <w:t xml:space="preserve">Ancillary Purposes and Student Support Services </w:t>
      </w:r>
    </w:p>
    <w:p w14:paraId="34BF136F" w14:textId="77777777" w:rsidR="0029427C" w:rsidRPr="003351E6" w:rsidRDefault="00CD24A0">
      <w:pPr>
        <w:numPr>
          <w:ilvl w:val="0"/>
          <w:numId w:val="1"/>
        </w:numPr>
        <w:spacing w:after="160"/>
        <w:ind w:hanging="360"/>
      </w:pPr>
      <w:r w:rsidRPr="003351E6">
        <w:t xml:space="preserve">The State may use up to 10 per cent of the Commonwealth funding contribution for Fee-Free places on (ancillary) costs on a cost shared basis to support the delivery of Fee-Free TAFE and student outcomes. States will not use the Fund for wage subsidies, or major capital works. States will match the ancillary amount and may count existing commitments. </w:t>
      </w:r>
    </w:p>
    <w:p w14:paraId="215964AA" w14:textId="77777777" w:rsidR="0029427C" w:rsidRPr="003351E6" w:rsidRDefault="00CD24A0">
      <w:pPr>
        <w:numPr>
          <w:ilvl w:val="0"/>
          <w:numId w:val="1"/>
        </w:numPr>
        <w:spacing w:after="162"/>
        <w:ind w:hanging="360"/>
      </w:pPr>
      <w:r w:rsidRPr="003351E6">
        <w:t>The State will also match its (per-capita) allocation of Student Support Services and</w:t>
      </w:r>
      <w:r w:rsidRPr="003351E6">
        <w:rPr>
          <w:i/>
        </w:rPr>
        <w:t xml:space="preserve"> </w:t>
      </w:r>
      <w:r w:rsidRPr="003351E6">
        <w:t xml:space="preserve">may count existing commitments.  </w:t>
      </w:r>
    </w:p>
    <w:p w14:paraId="7D779157" w14:textId="77777777" w:rsidR="0029427C" w:rsidRPr="003351E6" w:rsidRDefault="00CD24A0">
      <w:pPr>
        <w:spacing w:after="0" w:line="265" w:lineRule="auto"/>
        <w:ind w:left="-3" w:hanging="10"/>
      </w:pPr>
      <w:r w:rsidRPr="003351E6">
        <w:rPr>
          <w:color w:val="2E74B5"/>
        </w:rPr>
        <w:t xml:space="preserve">Unused funding </w:t>
      </w:r>
    </w:p>
    <w:p w14:paraId="6F0FB0A9" w14:textId="6C6BEBF6" w:rsidR="0029427C" w:rsidRPr="003351E6" w:rsidRDefault="00CD24A0">
      <w:pPr>
        <w:numPr>
          <w:ilvl w:val="0"/>
          <w:numId w:val="1"/>
        </w:numPr>
        <w:spacing w:after="160"/>
        <w:ind w:hanging="360"/>
      </w:pPr>
      <w:r w:rsidRPr="003351E6">
        <w:t xml:space="preserve">Where a student </w:t>
      </w:r>
      <w:r>
        <w:t>enrols</w:t>
      </w:r>
      <w:r w:rsidRPr="003351E6">
        <w:t xml:space="preserve"> in a training place funded through the Fund and then withdraws after the State has received the related milestone payment, the State agrees to redirect that amount back into the Fund to support additional places and associated student supports. </w:t>
      </w:r>
    </w:p>
    <w:p w14:paraId="47F93F8D" w14:textId="77777777" w:rsidR="0029427C" w:rsidRPr="003351E6" w:rsidRDefault="00CD24A0">
      <w:pPr>
        <w:numPr>
          <w:ilvl w:val="0"/>
          <w:numId w:val="1"/>
        </w:numPr>
        <w:spacing w:after="160"/>
        <w:ind w:hanging="360"/>
      </w:pPr>
      <w:r w:rsidRPr="003351E6">
        <w:t xml:space="preserve">Where there is unallocated funding left over from a Commonwealth contribution received by the State at the end of this Fund, States agree to spend any such amount in the TAFE sector. </w:t>
      </w:r>
    </w:p>
    <w:p w14:paraId="4007DD50" w14:textId="77777777" w:rsidR="0029427C" w:rsidRPr="003351E6" w:rsidRDefault="00CD24A0">
      <w:pPr>
        <w:spacing w:after="0" w:line="265" w:lineRule="auto"/>
        <w:ind w:left="-3" w:hanging="10"/>
      </w:pPr>
      <w:r w:rsidRPr="003351E6">
        <w:rPr>
          <w:color w:val="2E74B5"/>
        </w:rPr>
        <w:t xml:space="preserve">Promotion of the Fund </w:t>
      </w:r>
    </w:p>
    <w:p w14:paraId="08C21EC8" w14:textId="77777777" w:rsidR="0029427C" w:rsidRPr="003351E6" w:rsidRDefault="00CD24A0">
      <w:pPr>
        <w:numPr>
          <w:ilvl w:val="0"/>
          <w:numId w:val="1"/>
        </w:numPr>
        <w:spacing w:after="163"/>
        <w:ind w:hanging="360"/>
      </w:pPr>
      <w:r w:rsidRPr="003351E6">
        <w:t xml:space="preserve">All governments will take steps to promote access to Fee-Free TAFE training.  </w:t>
      </w:r>
    </w:p>
    <w:p w14:paraId="1A239488" w14:textId="77777777" w:rsidR="0029427C" w:rsidRPr="003351E6" w:rsidRDefault="00CD24A0">
      <w:pPr>
        <w:numPr>
          <w:ilvl w:val="0"/>
          <w:numId w:val="1"/>
        </w:numPr>
        <w:spacing w:after="163"/>
        <w:ind w:hanging="360"/>
      </w:pPr>
      <w:r w:rsidRPr="003351E6">
        <w:t xml:space="preserve">States and the Commonwealth will make best efforts to ensure they consult on the nature and content of any events, announcements, promotional activity or publicity related to the Fund. </w:t>
      </w:r>
    </w:p>
    <w:p w14:paraId="6205EFE2" w14:textId="77777777" w:rsidR="0029427C" w:rsidRPr="003351E6" w:rsidRDefault="00CD24A0">
      <w:pPr>
        <w:spacing w:after="0" w:line="265" w:lineRule="auto"/>
        <w:ind w:left="-3" w:hanging="10"/>
      </w:pPr>
      <w:r w:rsidRPr="003351E6">
        <w:rPr>
          <w:color w:val="2E74B5"/>
        </w:rPr>
        <w:t xml:space="preserve">Baseline and matched funding arrangements </w:t>
      </w:r>
    </w:p>
    <w:p w14:paraId="18D0A013" w14:textId="77777777" w:rsidR="0029427C" w:rsidRPr="003351E6" w:rsidRDefault="00CD24A0">
      <w:pPr>
        <w:numPr>
          <w:ilvl w:val="0"/>
          <w:numId w:val="1"/>
        </w:numPr>
        <w:spacing w:after="160"/>
        <w:ind w:hanging="360"/>
      </w:pPr>
      <w:r w:rsidRPr="003351E6">
        <w:t xml:space="preserve">Consistent with the cost shared arrangements for Fee-Free TAFE, States agree to match the Commonwealth's funding commitment in the 2023 calendar year and not to use FFT Funds to substitute existing expenditure.   </w:t>
      </w:r>
    </w:p>
    <w:p w14:paraId="1699ACC1" w14:textId="77777777" w:rsidR="0029427C" w:rsidRPr="003351E6" w:rsidRDefault="00CD24A0">
      <w:pPr>
        <w:numPr>
          <w:ilvl w:val="0"/>
          <w:numId w:val="1"/>
        </w:numPr>
        <w:spacing w:after="160"/>
        <w:ind w:hanging="360"/>
      </w:pPr>
      <w:r w:rsidRPr="003351E6">
        <w:t xml:space="preserve">State contributions may be met through the allocation of funding under existing program streams but must be in addition to the agreed Baseline Funding commitment. States further agree to ensure a proportional increase in funding provided to TAFEs relative to pre-COVID (2019) levels, with this to be agreed with the Commonwealth in the Implementation Plan. </w:t>
      </w:r>
    </w:p>
    <w:p w14:paraId="20853644" w14:textId="77777777" w:rsidR="0029427C" w:rsidRPr="003351E6" w:rsidRDefault="00CD24A0">
      <w:pPr>
        <w:numPr>
          <w:ilvl w:val="0"/>
          <w:numId w:val="1"/>
        </w:numPr>
        <w:spacing w:after="160"/>
        <w:ind w:hanging="360"/>
      </w:pPr>
      <w:r w:rsidRPr="003351E6">
        <w:lastRenderedPageBreak/>
        <w:t xml:space="preserve">The Baseline Funding commitment has been determined by reference to 2019, based on the 2019 NCVER Funding Collection, with adjustments for agreed one-off spending and State funding contributions under Fee-Free TAFE (Table 1 refers).  </w:t>
      </w:r>
    </w:p>
    <w:p w14:paraId="317F937D" w14:textId="1CBD3B5A" w:rsidR="0029427C" w:rsidRPr="003351E6" w:rsidRDefault="00CD24A0">
      <w:pPr>
        <w:numPr>
          <w:ilvl w:val="0"/>
          <w:numId w:val="1"/>
        </w:numPr>
        <w:spacing w:after="160"/>
        <w:ind w:hanging="360"/>
      </w:pPr>
      <w:r w:rsidRPr="003351E6">
        <w:t xml:space="preserve">If the Baseline Funding commitment is not met in 2023, Commonwealth payments to States under the new long-term skills funding agreement may be reduced to offset the shortfall in funding. The Commonwealth will not seek to offset shortfalls in funding driven by factors outside the control of States and where States have demonstrated best </w:t>
      </w:r>
      <w:r w:rsidR="003C1D29" w:rsidRPr="003351E6">
        <w:t>endeavours</w:t>
      </w:r>
      <w:r w:rsidRPr="003351E6">
        <w:t xml:space="preserve"> to fulfil the Baseline Funding commitment. </w:t>
      </w:r>
    </w:p>
    <w:p w14:paraId="0649F283" w14:textId="7910130B" w:rsidR="0029427C" w:rsidRPr="003351E6" w:rsidRDefault="00CD24A0">
      <w:pPr>
        <w:spacing w:after="0" w:line="259" w:lineRule="auto"/>
        <w:ind w:left="1" w:firstLine="0"/>
      </w:pPr>
      <w:r w:rsidRPr="003351E6">
        <w:rPr>
          <w:b/>
        </w:rPr>
        <w:t>Table 1: State and Territory Baseline funding commitments and additional contributions under the Fee</w:t>
      </w:r>
      <w:r w:rsidR="00202754">
        <w:rPr>
          <w:b/>
        </w:rPr>
        <w:t>-</w:t>
      </w:r>
      <w:r w:rsidRPr="003351E6">
        <w:rPr>
          <w:b/>
        </w:rPr>
        <w:t xml:space="preserve">Free TAFE Fund ($m)  </w:t>
      </w:r>
    </w:p>
    <w:p w14:paraId="5DE945BC" w14:textId="77777777" w:rsidR="0029427C" w:rsidRPr="003351E6" w:rsidRDefault="00CD24A0">
      <w:pPr>
        <w:spacing w:after="0" w:line="259" w:lineRule="auto"/>
        <w:ind w:left="110" w:firstLine="0"/>
      </w:pPr>
      <w:r w:rsidRPr="003351E6">
        <w:rPr>
          <w:b/>
        </w:rPr>
        <w:t xml:space="preserve"> </w:t>
      </w:r>
    </w:p>
    <w:tbl>
      <w:tblPr>
        <w:tblStyle w:val="TableGrid1"/>
        <w:tblW w:w="9638" w:type="dxa"/>
        <w:tblInd w:w="2" w:type="dxa"/>
        <w:tblCellMar>
          <w:top w:w="89" w:type="dxa"/>
          <w:left w:w="108" w:type="dxa"/>
          <w:right w:w="115" w:type="dxa"/>
        </w:tblCellMar>
        <w:tblLook w:val="04A0" w:firstRow="1" w:lastRow="0" w:firstColumn="1" w:lastColumn="0" w:noHBand="0" w:noVBand="1"/>
      </w:tblPr>
      <w:tblGrid>
        <w:gridCol w:w="2834"/>
        <w:gridCol w:w="3403"/>
        <w:gridCol w:w="3401"/>
      </w:tblGrid>
      <w:tr w:rsidR="0029427C" w:rsidRPr="003351E6" w14:paraId="74AB827D" w14:textId="77777777">
        <w:trPr>
          <w:trHeight w:val="382"/>
        </w:trPr>
        <w:tc>
          <w:tcPr>
            <w:tcW w:w="2834" w:type="dxa"/>
            <w:tcBorders>
              <w:top w:val="single" w:sz="4" w:space="0" w:color="000000"/>
              <w:left w:val="single" w:sz="4" w:space="0" w:color="000000"/>
              <w:bottom w:val="single" w:sz="4" w:space="0" w:color="000000"/>
              <w:right w:val="single" w:sz="4" w:space="0" w:color="000000"/>
            </w:tcBorders>
          </w:tcPr>
          <w:p w14:paraId="59251556" w14:textId="77777777" w:rsidR="0029427C" w:rsidRPr="003351E6" w:rsidRDefault="0029427C">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7EB06E7D" w14:textId="77777777" w:rsidR="0029427C" w:rsidRPr="003351E6" w:rsidRDefault="00CD24A0">
            <w:pPr>
              <w:spacing w:after="0" w:line="259" w:lineRule="auto"/>
              <w:ind w:left="10" w:firstLine="0"/>
              <w:jc w:val="center"/>
            </w:pPr>
            <w:r w:rsidRPr="003351E6">
              <w:t xml:space="preserve">Level of baseline funding </w:t>
            </w:r>
          </w:p>
        </w:tc>
        <w:tc>
          <w:tcPr>
            <w:tcW w:w="3401" w:type="dxa"/>
            <w:tcBorders>
              <w:top w:val="single" w:sz="4" w:space="0" w:color="000000"/>
              <w:left w:val="single" w:sz="4" w:space="0" w:color="000000"/>
              <w:bottom w:val="single" w:sz="4" w:space="0" w:color="000000"/>
              <w:right w:val="single" w:sz="4" w:space="0" w:color="000000"/>
            </w:tcBorders>
          </w:tcPr>
          <w:p w14:paraId="518BA0FA" w14:textId="77777777" w:rsidR="0029427C" w:rsidRPr="003351E6" w:rsidRDefault="00CD24A0">
            <w:pPr>
              <w:spacing w:after="0" w:line="259" w:lineRule="auto"/>
              <w:ind w:left="8" w:firstLine="0"/>
              <w:jc w:val="center"/>
            </w:pPr>
            <w:r w:rsidRPr="003351E6">
              <w:t xml:space="preserve">Additional Fee-Free TAFE funding </w:t>
            </w:r>
          </w:p>
        </w:tc>
      </w:tr>
      <w:tr w:rsidR="0029427C" w:rsidRPr="003351E6" w14:paraId="45CA615D" w14:textId="77777777">
        <w:trPr>
          <w:trHeight w:val="463"/>
        </w:trPr>
        <w:tc>
          <w:tcPr>
            <w:tcW w:w="2834" w:type="dxa"/>
            <w:tcBorders>
              <w:top w:val="single" w:sz="4" w:space="0" w:color="000000"/>
              <w:left w:val="single" w:sz="4" w:space="0" w:color="000000"/>
              <w:bottom w:val="single" w:sz="4" w:space="0" w:color="000000"/>
              <w:right w:val="single" w:sz="4" w:space="0" w:color="000000"/>
            </w:tcBorders>
          </w:tcPr>
          <w:p w14:paraId="72B9F649" w14:textId="77777777" w:rsidR="0029427C" w:rsidRPr="003351E6" w:rsidRDefault="00CD24A0">
            <w:pPr>
              <w:spacing w:after="0" w:line="259" w:lineRule="auto"/>
              <w:ind w:left="0" w:firstLine="0"/>
            </w:pPr>
            <w:r w:rsidRPr="003351E6">
              <w:t xml:space="preserve">New South Wales </w:t>
            </w:r>
          </w:p>
        </w:tc>
        <w:tc>
          <w:tcPr>
            <w:tcW w:w="3403" w:type="dxa"/>
            <w:tcBorders>
              <w:top w:val="single" w:sz="4" w:space="0" w:color="000000"/>
              <w:left w:val="single" w:sz="4" w:space="0" w:color="000000"/>
              <w:bottom w:val="single" w:sz="4" w:space="0" w:color="000000"/>
              <w:right w:val="single" w:sz="4" w:space="0" w:color="000000"/>
            </w:tcBorders>
          </w:tcPr>
          <w:p w14:paraId="632A388B" w14:textId="77777777" w:rsidR="0029427C" w:rsidRPr="003351E6" w:rsidRDefault="00CD24A0">
            <w:pPr>
              <w:spacing w:after="0" w:line="259" w:lineRule="auto"/>
              <w:ind w:left="13" w:firstLine="0"/>
              <w:jc w:val="center"/>
            </w:pPr>
            <w:r w:rsidRPr="003351E6">
              <w:t xml:space="preserve">1,099.7 </w:t>
            </w:r>
          </w:p>
        </w:tc>
        <w:tc>
          <w:tcPr>
            <w:tcW w:w="3401" w:type="dxa"/>
            <w:tcBorders>
              <w:top w:val="single" w:sz="4" w:space="0" w:color="000000"/>
              <w:left w:val="single" w:sz="4" w:space="0" w:color="000000"/>
              <w:bottom w:val="single" w:sz="4" w:space="0" w:color="000000"/>
              <w:right w:val="single" w:sz="4" w:space="0" w:color="000000"/>
            </w:tcBorders>
          </w:tcPr>
          <w:p w14:paraId="65C8073B" w14:textId="77777777" w:rsidR="0029427C" w:rsidRPr="003351E6" w:rsidRDefault="00CD24A0">
            <w:pPr>
              <w:spacing w:after="0" w:line="259" w:lineRule="auto"/>
              <w:ind w:left="9" w:firstLine="0"/>
              <w:jc w:val="center"/>
            </w:pPr>
            <w:r w:rsidRPr="003351E6">
              <w:t xml:space="preserve">155.2 </w:t>
            </w:r>
          </w:p>
        </w:tc>
      </w:tr>
      <w:tr w:rsidR="0029427C" w:rsidRPr="003351E6" w14:paraId="05702B28" w14:textId="77777777">
        <w:trPr>
          <w:trHeight w:val="463"/>
        </w:trPr>
        <w:tc>
          <w:tcPr>
            <w:tcW w:w="2834" w:type="dxa"/>
            <w:tcBorders>
              <w:top w:val="single" w:sz="4" w:space="0" w:color="000000"/>
              <w:left w:val="single" w:sz="4" w:space="0" w:color="000000"/>
              <w:bottom w:val="single" w:sz="4" w:space="0" w:color="000000"/>
              <w:right w:val="single" w:sz="4" w:space="0" w:color="000000"/>
            </w:tcBorders>
          </w:tcPr>
          <w:p w14:paraId="0005FB17" w14:textId="77777777" w:rsidR="0029427C" w:rsidRPr="003351E6" w:rsidRDefault="00CD24A0">
            <w:pPr>
              <w:spacing w:after="0" w:line="259" w:lineRule="auto"/>
              <w:ind w:left="0" w:firstLine="0"/>
            </w:pPr>
            <w:r w:rsidRPr="003351E6">
              <w:t xml:space="preserve">Victoria </w:t>
            </w:r>
          </w:p>
        </w:tc>
        <w:tc>
          <w:tcPr>
            <w:tcW w:w="3403" w:type="dxa"/>
            <w:tcBorders>
              <w:top w:val="single" w:sz="4" w:space="0" w:color="000000"/>
              <w:left w:val="single" w:sz="4" w:space="0" w:color="000000"/>
              <w:bottom w:val="single" w:sz="4" w:space="0" w:color="000000"/>
              <w:right w:val="single" w:sz="4" w:space="0" w:color="000000"/>
            </w:tcBorders>
          </w:tcPr>
          <w:p w14:paraId="007E4DB8" w14:textId="77777777" w:rsidR="0029427C" w:rsidRPr="003351E6" w:rsidRDefault="00CD24A0">
            <w:pPr>
              <w:spacing w:after="0" w:line="259" w:lineRule="auto"/>
              <w:ind w:left="11" w:firstLine="0"/>
              <w:jc w:val="center"/>
            </w:pPr>
            <w:r w:rsidRPr="003351E6">
              <w:t xml:space="preserve">798.3 </w:t>
            </w:r>
          </w:p>
        </w:tc>
        <w:tc>
          <w:tcPr>
            <w:tcW w:w="3401" w:type="dxa"/>
            <w:tcBorders>
              <w:top w:val="single" w:sz="4" w:space="0" w:color="000000"/>
              <w:left w:val="single" w:sz="4" w:space="0" w:color="000000"/>
              <w:bottom w:val="single" w:sz="4" w:space="0" w:color="000000"/>
              <w:right w:val="single" w:sz="4" w:space="0" w:color="000000"/>
            </w:tcBorders>
          </w:tcPr>
          <w:p w14:paraId="08782D58" w14:textId="77777777" w:rsidR="0029427C" w:rsidRPr="003351E6" w:rsidRDefault="00CD24A0">
            <w:pPr>
              <w:spacing w:after="0" w:line="259" w:lineRule="auto"/>
              <w:ind w:left="8" w:firstLine="0"/>
              <w:jc w:val="center"/>
            </w:pPr>
            <w:r w:rsidRPr="003351E6">
              <w:t xml:space="preserve">127.8 </w:t>
            </w:r>
          </w:p>
        </w:tc>
      </w:tr>
      <w:tr w:rsidR="0029427C" w:rsidRPr="003351E6" w14:paraId="19EDC9BF" w14:textId="77777777">
        <w:trPr>
          <w:trHeight w:val="466"/>
        </w:trPr>
        <w:tc>
          <w:tcPr>
            <w:tcW w:w="2834" w:type="dxa"/>
            <w:tcBorders>
              <w:top w:val="single" w:sz="4" w:space="0" w:color="000000"/>
              <w:left w:val="single" w:sz="4" w:space="0" w:color="000000"/>
              <w:bottom w:val="single" w:sz="4" w:space="0" w:color="000000"/>
              <w:right w:val="single" w:sz="4" w:space="0" w:color="000000"/>
            </w:tcBorders>
          </w:tcPr>
          <w:p w14:paraId="3B34632D" w14:textId="77777777" w:rsidR="0029427C" w:rsidRPr="003351E6" w:rsidRDefault="00CD24A0">
            <w:pPr>
              <w:spacing w:after="0" w:line="259" w:lineRule="auto"/>
              <w:ind w:left="0" w:firstLine="0"/>
            </w:pPr>
            <w:r w:rsidRPr="003351E6">
              <w:t xml:space="preserve">Queensland </w:t>
            </w:r>
          </w:p>
        </w:tc>
        <w:tc>
          <w:tcPr>
            <w:tcW w:w="3403" w:type="dxa"/>
            <w:tcBorders>
              <w:top w:val="single" w:sz="4" w:space="0" w:color="000000"/>
              <w:left w:val="single" w:sz="4" w:space="0" w:color="000000"/>
              <w:bottom w:val="single" w:sz="4" w:space="0" w:color="000000"/>
              <w:right w:val="single" w:sz="4" w:space="0" w:color="000000"/>
            </w:tcBorders>
          </w:tcPr>
          <w:p w14:paraId="63CD9C09" w14:textId="77777777" w:rsidR="0029427C" w:rsidRPr="003351E6" w:rsidRDefault="00CD24A0">
            <w:pPr>
              <w:spacing w:after="0" w:line="259" w:lineRule="auto"/>
              <w:ind w:left="11" w:firstLine="0"/>
              <w:jc w:val="center"/>
            </w:pPr>
            <w:r w:rsidRPr="003351E6">
              <w:t xml:space="preserve">618.3 </w:t>
            </w:r>
          </w:p>
        </w:tc>
        <w:tc>
          <w:tcPr>
            <w:tcW w:w="3401" w:type="dxa"/>
            <w:tcBorders>
              <w:top w:val="single" w:sz="4" w:space="0" w:color="000000"/>
              <w:left w:val="single" w:sz="4" w:space="0" w:color="000000"/>
              <w:bottom w:val="single" w:sz="4" w:space="0" w:color="000000"/>
              <w:right w:val="single" w:sz="4" w:space="0" w:color="000000"/>
            </w:tcBorders>
          </w:tcPr>
          <w:p w14:paraId="61E7EFF7" w14:textId="77777777" w:rsidR="0029427C" w:rsidRPr="003351E6" w:rsidRDefault="00CD24A0">
            <w:pPr>
              <w:spacing w:after="0" w:line="259" w:lineRule="auto"/>
              <w:ind w:left="9" w:firstLine="0"/>
              <w:jc w:val="center"/>
            </w:pPr>
            <w:r w:rsidRPr="003351E6">
              <w:t xml:space="preserve">101.2 </w:t>
            </w:r>
          </w:p>
        </w:tc>
      </w:tr>
      <w:tr w:rsidR="0029427C" w:rsidRPr="003351E6" w14:paraId="2BC6DFE1" w14:textId="77777777">
        <w:trPr>
          <w:trHeight w:val="463"/>
        </w:trPr>
        <w:tc>
          <w:tcPr>
            <w:tcW w:w="2834" w:type="dxa"/>
            <w:tcBorders>
              <w:top w:val="single" w:sz="4" w:space="0" w:color="000000"/>
              <w:left w:val="single" w:sz="4" w:space="0" w:color="000000"/>
              <w:bottom w:val="single" w:sz="4" w:space="0" w:color="000000"/>
              <w:right w:val="single" w:sz="4" w:space="0" w:color="000000"/>
            </w:tcBorders>
          </w:tcPr>
          <w:p w14:paraId="52617742" w14:textId="77777777" w:rsidR="0029427C" w:rsidRPr="003351E6" w:rsidRDefault="00CD24A0">
            <w:pPr>
              <w:spacing w:after="0" w:line="259" w:lineRule="auto"/>
              <w:ind w:left="0" w:firstLine="0"/>
            </w:pPr>
            <w:r w:rsidRPr="003351E6">
              <w:t xml:space="preserve">Western Australia </w:t>
            </w:r>
          </w:p>
        </w:tc>
        <w:tc>
          <w:tcPr>
            <w:tcW w:w="3403" w:type="dxa"/>
            <w:tcBorders>
              <w:top w:val="single" w:sz="4" w:space="0" w:color="000000"/>
              <w:left w:val="single" w:sz="4" w:space="0" w:color="000000"/>
              <w:bottom w:val="single" w:sz="4" w:space="0" w:color="000000"/>
              <w:right w:val="single" w:sz="4" w:space="0" w:color="000000"/>
            </w:tcBorders>
          </w:tcPr>
          <w:p w14:paraId="0028F4C6" w14:textId="77777777" w:rsidR="0029427C" w:rsidRPr="003351E6" w:rsidRDefault="00CD24A0">
            <w:pPr>
              <w:spacing w:after="0" w:line="259" w:lineRule="auto"/>
              <w:ind w:left="11" w:firstLine="0"/>
              <w:jc w:val="center"/>
            </w:pPr>
            <w:r w:rsidRPr="003351E6">
              <w:t xml:space="preserve">355.7 </w:t>
            </w:r>
          </w:p>
        </w:tc>
        <w:tc>
          <w:tcPr>
            <w:tcW w:w="3401" w:type="dxa"/>
            <w:tcBorders>
              <w:top w:val="single" w:sz="4" w:space="0" w:color="000000"/>
              <w:left w:val="single" w:sz="4" w:space="0" w:color="000000"/>
              <w:bottom w:val="single" w:sz="4" w:space="0" w:color="000000"/>
              <w:right w:val="single" w:sz="4" w:space="0" w:color="000000"/>
            </w:tcBorders>
          </w:tcPr>
          <w:p w14:paraId="3E430295" w14:textId="77777777" w:rsidR="0029427C" w:rsidRPr="003351E6" w:rsidRDefault="00CD24A0">
            <w:pPr>
              <w:spacing w:after="0" w:line="259" w:lineRule="auto"/>
              <w:ind w:left="9" w:firstLine="0"/>
              <w:jc w:val="center"/>
            </w:pPr>
            <w:r w:rsidRPr="003351E6">
              <w:t xml:space="preserve">51.8 </w:t>
            </w:r>
          </w:p>
        </w:tc>
      </w:tr>
      <w:tr w:rsidR="0029427C" w:rsidRPr="003351E6" w14:paraId="4D6DC33F" w14:textId="77777777">
        <w:trPr>
          <w:trHeight w:val="463"/>
        </w:trPr>
        <w:tc>
          <w:tcPr>
            <w:tcW w:w="2834" w:type="dxa"/>
            <w:tcBorders>
              <w:top w:val="single" w:sz="4" w:space="0" w:color="000000"/>
              <w:left w:val="single" w:sz="4" w:space="0" w:color="000000"/>
              <w:bottom w:val="single" w:sz="4" w:space="0" w:color="000000"/>
              <w:right w:val="single" w:sz="4" w:space="0" w:color="000000"/>
            </w:tcBorders>
          </w:tcPr>
          <w:p w14:paraId="0787831F" w14:textId="77777777" w:rsidR="0029427C" w:rsidRPr="003351E6" w:rsidRDefault="00CD24A0">
            <w:pPr>
              <w:spacing w:after="0" w:line="259" w:lineRule="auto"/>
              <w:ind w:left="0" w:firstLine="0"/>
            </w:pPr>
            <w:r w:rsidRPr="003351E6">
              <w:t xml:space="preserve">South Australia </w:t>
            </w:r>
          </w:p>
        </w:tc>
        <w:tc>
          <w:tcPr>
            <w:tcW w:w="3403" w:type="dxa"/>
            <w:tcBorders>
              <w:top w:val="single" w:sz="4" w:space="0" w:color="000000"/>
              <w:left w:val="single" w:sz="4" w:space="0" w:color="000000"/>
              <w:bottom w:val="single" w:sz="4" w:space="0" w:color="000000"/>
              <w:right w:val="single" w:sz="4" w:space="0" w:color="000000"/>
            </w:tcBorders>
          </w:tcPr>
          <w:p w14:paraId="74BE0191" w14:textId="77777777" w:rsidR="0029427C" w:rsidRPr="003351E6" w:rsidRDefault="00CD24A0">
            <w:pPr>
              <w:spacing w:after="0" w:line="259" w:lineRule="auto"/>
              <w:ind w:left="11" w:firstLine="0"/>
              <w:jc w:val="center"/>
            </w:pPr>
            <w:r w:rsidRPr="003351E6">
              <w:t xml:space="preserve">174.0 </w:t>
            </w:r>
          </w:p>
        </w:tc>
        <w:tc>
          <w:tcPr>
            <w:tcW w:w="3401" w:type="dxa"/>
            <w:tcBorders>
              <w:top w:val="single" w:sz="4" w:space="0" w:color="000000"/>
              <w:left w:val="single" w:sz="4" w:space="0" w:color="000000"/>
              <w:bottom w:val="single" w:sz="4" w:space="0" w:color="000000"/>
              <w:right w:val="single" w:sz="4" w:space="0" w:color="000000"/>
            </w:tcBorders>
          </w:tcPr>
          <w:p w14:paraId="384F188E" w14:textId="77777777" w:rsidR="0029427C" w:rsidRPr="003351E6" w:rsidRDefault="00CD24A0">
            <w:pPr>
              <w:spacing w:after="0" w:line="259" w:lineRule="auto"/>
              <w:ind w:left="9" w:firstLine="0"/>
              <w:jc w:val="center"/>
            </w:pPr>
            <w:r w:rsidRPr="003351E6">
              <w:t xml:space="preserve">34.0 </w:t>
            </w:r>
          </w:p>
        </w:tc>
      </w:tr>
      <w:tr w:rsidR="0029427C" w:rsidRPr="003351E6" w14:paraId="7BA4A676" w14:textId="77777777">
        <w:trPr>
          <w:trHeight w:val="466"/>
        </w:trPr>
        <w:tc>
          <w:tcPr>
            <w:tcW w:w="2834" w:type="dxa"/>
            <w:tcBorders>
              <w:top w:val="single" w:sz="4" w:space="0" w:color="000000"/>
              <w:left w:val="single" w:sz="4" w:space="0" w:color="000000"/>
              <w:bottom w:val="single" w:sz="4" w:space="0" w:color="000000"/>
              <w:right w:val="single" w:sz="4" w:space="0" w:color="000000"/>
            </w:tcBorders>
          </w:tcPr>
          <w:p w14:paraId="06E8228E" w14:textId="77777777" w:rsidR="0029427C" w:rsidRPr="003351E6" w:rsidRDefault="00CD24A0">
            <w:pPr>
              <w:spacing w:after="0" w:line="259" w:lineRule="auto"/>
              <w:ind w:left="0" w:firstLine="0"/>
            </w:pPr>
            <w:r w:rsidRPr="003351E6">
              <w:t xml:space="preserve">Tasmania </w:t>
            </w:r>
          </w:p>
        </w:tc>
        <w:tc>
          <w:tcPr>
            <w:tcW w:w="3403" w:type="dxa"/>
            <w:tcBorders>
              <w:top w:val="single" w:sz="4" w:space="0" w:color="000000"/>
              <w:left w:val="single" w:sz="4" w:space="0" w:color="000000"/>
              <w:bottom w:val="single" w:sz="4" w:space="0" w:color="000000"/>
              <w:right w:val="single" w:sz="4" w:space="0" w:color="000000"/>
            </w:tcBorders>
          </w:tcPr>
          <w:p w14:paraId="12824CD3" w14:textId="77777777" w:rsidR="0029427C" w:rsidRPr="003351E6" w:rsidRDefault="00CD24A0">
            <w:pPr>
              <w:spacing w:after="0" w:line="259" w:lineRule="auto"/>
              <w:ind w:left="11" w:firstLine="0"/>
              <w:jc w:val="center"/>
            </w:pPr>
            <w:r w:rsidRPr="003351E6">
              <w:t xml:space="preserve">106.2 </w:t>
            </w:r>
          </w:p>
        </w:tc>
        <w:tc>
          <w:tcPr>
            <w:tcW w:w="3401" w:type="dxa"/>
            <w:tcBorders>
              <w:top w:val="single" w:sz="4" w:space="0" w:color="000000"/>
              <w:left w:val="single" w:sz="4" w:space="0" w:color="000000"/>
              <w:bottom w:val="single" w:sz="4" w:space="0" w:color="000000"/>
              <w:right w:val="single" w:sz="4" w:space="0" w:color="000000"/>
            </w:tcBorders>
          </w:tcPr>
          <w:p w14:paraId="2BC9E6B6" w14:textId="77777777" w:rsidR="0029427C" w:rsidRPr="003351E6" w:rsidRDefault="00CD24A0">
            <w:pPr>
              <w:spacing w:after="0" w:line="259" w:lineRule="auto"/>
              <w:ind w:left="9" w:firstLine="0"/>
              <w:jc w:val="center"/>
            </w:pPr>
            <w:r w:rsidRPr="003351E6">
              <w:t xml:space="preserve">10.4 </w:t>
            </w:r>
          </w:p>
        </w:tc>
      </w:tr>
      <w:tr w:rsidR="0029427C" w:rsidRPr="003351E6" w14:paraId="4A9F798B" w14:textId="77777777">
        <w:trPr>
          <w:trHeight w:val="463"/>
        </w:trPr>
        <w:tc>
          <w:tcPr>
            <w:tcW w:w="2834" w:type="dxa"/>
            <w:tcBorders>
              <w:top w:val="single" w:sz="4" w:space="0" w:color="000000"/>
              <w:left w:val="single" w:sz="4" w:space="0" w:color="000000"/>
              <w:bottom w:val="single" w:sz="4" w:space="0" w:color="000000"/>
              <w:right w:val="single" w:sz="4" w:space="0" w:color="000000"/>
            </w:tcBorders>
          </w:tcPr>
          <w:p w14:paraId="7692EE9B" w14:textId="77777777" w:rsidR="0029427C" w:rsidRPr="003351E6" w:rsidRDefault="00CD24A0">
            <w:pPr>
              <w:spacing w:after="0" w:line="259" w:lineRule="auto"/>
              <w:ind w:left="0" w:firstLine="0"/>
            </w:pPr>
            <w:r w:rsidRPr="003351E6">
              <w:t xml:space="preserve">Australian Capital Territory </w:t>
            </w:r>
          </w:p>
        </w:tc>
        <w:tc>
          <w:tcPr>
            <w:tcW w:w="3403" w:type="dxa"/>
            <w:tcBorders>
              <w:top w:val="single" w:sz="4" w:space="0" w:color="000000"/>
              <w:left w:val="single" w:sz="4" w:space="0" w:color="000000"/>
              <w:bottom w:val="single" w:sz="4" w:space="0" w:color="000000"/>
              <w:right w:val="single" w:sz="4" w:space="0" w:color="000000"/>
            </w:tcBorders>
          </w:tcPr>
          <w:p w14:paraId="7DD8A651" w14:textId="77777777" w:rsidR="0029427C" w:rsidRPr="003351E6" w:rsidRDefault="00CD24A0">
            <w:pPr>
              <w:spacing w:after="0" w:line="259" w:lineRule="auto"/>
              <w:ind w:left="11" w:firstLine="0"/>
              <w:jc w:val="center"/>
            </w:pPr>
            <w:r w:rsidRPr="003351E6">
              <w:t xml:space="preserve">79.8 </w:t>
            </w:r>
          </w:p>
        </w:tc>
        <w:tc>
          <w:tcPr>
            <w:tcW w:w="3401" w:type="dxa"/>
            <w:tcBorders>
              <w:top w:val="single" w:sz="4" w:space="0" w:color="000000"/>
              <w:left w:val="single" w:sz="4" w:space="0" w:color="000000"/>
              <w:bottom w:val="single" w:sz="4" w:space="0" w:color="000000"/>
              <w:right w:val="single" w:sz="4" w:space="0" w:color="000000"/>
            </w:tcBorders>
          </w:tcPr>
          <w:p w14:paraId="7B7174EC" w14:textId="77777777" w:rsidR="0029427C" w:rsidRPr="003351E6" w:rsidRDefault="00CD24A0">
            <w:pPr>
              <w:spacing w:after="0" w:line="259" w:lineRule="auto"/>
              <w:ind w:left="11" w:firstLine="0"/>
              <w:jc w:val="center"/>
            </w:pPr>
            <w:r w:rsidRPr="003351E6">
              <w:t xml:space="preserve">8.3 </w:t>
            </w:r>
          </w:p>
        </w:tc>
      </w:tr>
      <w:tr w:rsidR="0029427C" w:rsidRPr="003351E6" w14:paraId="0CC30A84" w14:textId="77777777">
        <w:trPr>
          <w:trHeight w:val="463"/>
        </w:trPr>
        <w:tc>
          <w:tcPr>
            <w:tcW w:w="2834" w:type="dxa"/>
            <w:tcBorders>
              <w:top w:val="single" w:sz="4" w:space="0" w:color="000000"/>
              <w:left w:val="single" w:sz="4" w:space="0" w:color="000000"/>
              <w:bottom w:val="single" w:sz="4" w:space="0" w:color="000000"/>
              <w:right w:val="single" w:sz="4" w:space="0" w:color="000000"/>
            </w:tcBorders>
          </w:tcPr>
          <w:p w14:paraId="6306B46B" w14:textId="77777777" w:rsidR="0029427C" w:rsidRPr="003351E6" w:rsidRDefault="00CD24A0">
            <w:pPr>
              <w:spacing w:after="0" w:line="259" w:lineRule="auto"/>
              <w:ind w:left="0" w:firstLine="0"/>
            </w:pPr>
            <w:r w:rsidRPr="003351E6">
              <w:t xml:space="preserve">Northern Territory </w:t>
            </w:r>
          </w:p>
        </w:tc>
        <w:tc>
          <w:tcPr>
            <w:tcW w:w="3403" w:type="dxa"/>
            <w:tcBorders>
              <w:top w:val="single" w:sz="4" w:space="0" w:color="000000"/>
              <w:left w:val="single" w:sz="4" w:space="0" w:color="000000"/>
              <w:bottom w:val="single" w:sz="4" w:space="0" w:color="000000"/>
              <w:right w:val="single" w:sz="4" w:space="0" w:color="000000"/>
            </w:tcBorders>
          </w:tcPr>
          <w:p w14:paraId="13444E6E" w14:textId="77777777" w:rsidR="0029427C" w:rsidRPr="003351E6" w:rsidRDefault="00CD24A0">
            <w:pPr>
              <w:spacing w:after="0" w:line="259" w:lineRule="auto"/>
              <w:ind w:left="11" w:firstLine="0"/>
              <w:jc w:val="center"/>
            </w:pPr>
            <w:r w:rsidRPr="003351E6">
              <w:t xml:space="preserve">76.6 </w:t>
            </w:r>
          </w:p>
        </w:tc>
        <w:tc>
          <w:tcPr>
            <w:tcW w:w="3401" w:type="dxa"/>
            <w:tcBorders>
              <w:top w:val="single" w:sz="4" w:space="0" w:color="000000"/>
              <w:left w:val="single" w:sz="4" w:space="0" w:color="000000"/>
              <w:bottom w:val="single" w:sz="4" w:space="0" w:color="000000"/>
              <w:right w:val="single" w:sz="4" w:space="0" w:color="000000"/>
            </w:tcBorders>
          </w:tcPr>
          <w:p w14:paraId="3E819878" w14:textId="77777777" w:rsidR="0029427C" w:rsidRPr="003351E6" w:rsidRDefault="00CD24A0">
            <w:pPr>
              <w:spacing w:after="0" w:line="259" w:lineRule="auto"/>
              <w:ind w:left="11" w:firstLine="0"/>
              <w:jc w:val="center"/>
            </w:pPr>
            <w:r w:rsidRPr="003351E6">
              <w:t xml:space="preserve">4.7 </w:t>
            </w:r>
          </w:p>
        </w:tc>
      </w:tr>
    </w:tbl>
    <w:p w14:paraId="3177120A" w14:textId="77777777" w:rsidR="0029427C" w:rsidRDefault="00CD24A0">
      <w:pPr>
        <w:spacing w:after="175" w:line="259" w:lineRule="auto"/>
        <w:ind w:left="2" w:firstLine="0"/>
      </w:pPr>
      <w:r w:rsidRPr="003351E6">
        <w:t xml:space="preserve"> </w:t>
      </w:r>
    </w:p>
    <w:p w14:paraId="6374E28F" w14:textId="77777777" w:rsidR="00BC6CA6" w:rsidRDefault="00BC6CA6">
      <w:pPr>
        <w:spacing w:after="175" w:line="259" w:lineRule="auto"/>
        <w:ind w:left="2" w:firstLine="0"/>
        <w:sectPr w:rsidR="00BC6CA6" w:rsidSect="001F28FC">
          <w:headerReference w:type="even" r:id="rId29"/>
          <w:headerReference w:type="default" r:id="rId30"/>
          <w:footerReference w:type="even" r:id="rId31"/>
          <w:footerReference w:type="default" r:id="rId32"/>
          <w:headerReference w:type="first" r:id="rId33"/>
          <w:footerReference w:type="first" r:id="rId34"/>
          <w:pgSz w:w="11906" w:h="16838"/>
          <w:pgMar w:top="1332" w:right="1135" w:bottom="1609" w:left="1131" w:header="751" w:footer="730" w:gutter="0"/>
          <w:cols w:space="720"/>
        </w:sectPr>
      </w:pPr>
    </w:p>
    <w:p w14:paraId="3E57FEDC" w14:textId="77777777" w:rsidR="0029427C" w:rsidRPr="003351E6" w:rsidRDefault="00CD24A0">
      <w:pPr>
        <w:spacing w:after="0" w:line="265" w:lineRule="auto"/>
        <w:ind w:left="-3" w:hanging="10"/>
      </w:pPr>
      <w:r w:rsidRPr="003351E6">
        <w:rPr>
          <w:color w:val="2E74B5"/>
        </w:rPr>
        <w:lastRenderedPageBreak/>
        <w:t xml:space="preserve">Definitions:  </w:t>
      </w:r>
    </w:p>
    <w:p w14:paraId="50D91FED" w14:textId="77777777" w:rsidR="0029427C" w:rsidRPr="003351E6" w:rsidRDefault="00CD24A0">
      <w:pPr>
        <w:numPr>
          <w:ilvl w:val="0"/>
          <w:numId w:val="1"/>
        </w:numPr>
        <w:ind w:hanging="360"/>
      </w:pPr>
      <w:r w:rsidRPr="003351E6">
        <w:t xml:space="preserve">For the purposes of this Appendix: </w:t>
      </w:r>
    </w:p>
    <w:p w14:paraId="34AAB76B" w14:textId="77777777" w:rsidR="0029427C" w:rsidRPr="003351E6" w:rsidRDefault="00CD24A0">
      <w:pPr>
        <w:numPr>
          <w:ilvl w:val="1"/>
          <w:numId w:val="1"/>
        </w:numPr>
        <w:ind w:hanging="360"/>
      </w:pPr>
      <w:r w:rsidRPr="003351E6">
        <w:rPr>
          <w:b/>
        </w:rPr>
        <w:t>Ancillary funding</w:t>
      </w:r>
      <w:r w:rsidRPr="003351E6">
        <w:t xml:space="preserve"> is up to 10 per cent of the value of the Fund</w:t>
      </w:r>
      <w:r w:rsidRPr="003351E6">
        <w:rPr>
          <w:b/>
        </w:rPr>
        <w:t xml:space="preserve">, </w:t>
      </w:r>
      <w:r w:rsidRPr="003351E6">
        <w:t xml:space="preserve">to support the delivery of Fee-Free TAFE and student outcomes.  This may include wraparound support services to help disadvantaged learners to access training, promotion of Fee-Free TAFE, funding support to assist students in accessing required work placements, or support for learners to access training that is best suited to their needs and the local jobs market and to transition from learning to employment. </w:t>
      </w:r>
    </w:p>
    <w:p w14:paraId="144B4211" w14:textId="77777777" w:rsidR="0029427C" w:rsidRPr="003351E6" w:rsidRDefault="00CD24A0">
      <w:pPr>
        <w:numPr>
          <w:ilvl w:val="1"/>
          <w:numId w:val="1"/>
        </w:numPr>
        <w:ind w:hanging="360"/>
      </w:pPr>
      <w:r w:rsidRPr="003351E6">
        <w:rPr>
          <w:b/>
        </w:rPr>
        <w:t xml:space="preserve">Baseline Funding commitment </w:t>
      </w:r>
      <w:r w:rsidRPr="003351E6">
        <w:t xml:space="preserve">means the agreed financial baseline for which additional contributions under the Fund is assessed in 2023. </w:t>
      </w:r>
      <w:r w:rsidRPr="003351E6">
        <w:rPr>
          <w:b/>
        </w:rPr>
        <w:t xml:space="preserve"> </w:t>
      </w:r>
    </w:p>
    <w:p w14:paraId="26323083" w14:textId="6A002E40" w:rsidR="0029427C" w:rsidRPr="003351E6" w:rsidRDefault="00CD24A0">
      <w:pPr>
        <w:numPr>
          <w:ilvl w:val="1"/>
          <w:numId w:val="1"/>
        </w:numPr>
        <w:ind w:hanging="360"/>
      </w:pPr>
      <w:r w:rsidRPr="003351E6">
        <w:rPr>
          <w:b/>
        </w:rPr>
        <w:t>Cost shared</w:t>
      </w:r>
      <w:r w:rsidRPr="003351E6">
        <w:t xml:space="preserve"> means </w:t>
      </w:r>
      <w:r w:rsidRPr="003351E6">
        <w:rPr>
          <w:b/>
        </w:rPr>
        <w:t>50:50 cost sharing</w:t>
      </w:r>
      <w:r w:rsidRPr="003351E6">
        <w:t xml:space="preserve"> between the Commonwealth and the States to deliver Fee</w:t>
      </w:r>
      <w:r w:rsidR="00DB7FB7">
        <w:t>-</w:t>
      </w:r>
      <w:r w:rsidRPr="003351E6">
        <w:t xml:space="preserve">Free TAFE places (including student support) and meet ancillary costs.  </w:t>
      </w:r>
      <w:r w:rsidRPr="003351E6">
        <w:rPr>
          <w:b/>
        </w:rPr>
        <w:t xml:space="preserve"> </w:t>
      </w:r>
    </w:p>
    <w:p w14:paraId="6E7BDD1D" w14:textId="77777777" w:rsidR="0029427C" w:rsidRPr="003351E6" w:rsidRDefault="00CD24A0">
      <w:pPr>
        <w:numPr>
          <w:ilvl w:val="1"/>
          <w:numId w:val="1"/>
        </w:numPr>
        <w:ind w:hanging="360"/>
      </w:pPr>
      <w:r w:rsidRPr="003351E6">
        <w:rPr>
          <w:b/>
        </w:rPr>
        <w:t>Existing Training Place</w:t>
      </w:r>
      <w:r w:rsidRPr="003351E6">
        <w:t xml:space="preserve"> means a training place identified by the State as a current place (in agreed priority qualifications and/or for priority learners) where the fee component is met from the Fund</w:t>
      </w:r>
      <w:r w:rsidRPr="003351E6">
        <w:rPr>
          <w:i/>
        </w:rPr>
        <w:t>.</w:t>
      </w:r>
      <w:r w:rsidRPr="003351E6">
        <w:t xml:space="preserve"> States will outline their approach to managing existing places bilaterally.   </w:t>
      </w:r>
    </w:p>
    <w:p w14:paraId="20DEA556" w14:textId="77777777" w:rsidR="0029427C" w:rsidRPr="003351E6" w:rsidRDefault="00CD24A0">
      <w:pPr>
        <w:numPr>
          <w:ilvl w:val="1"/>
          <w:numId w:val="1"/>
        </w:numPr>
        <w:ind w:hanging="360"/>
      </w:pPr>
      <w:r w:rsidRPr="003351E6">
        <w:rPr>
          <w:b/>
        </w:rPr>
        <w:t xml:space="preserve">Eligible Visa Holders </w:t>
      </w:r>
      <w:r w:rsidRPr="003351E6">
        <w:t>means a student who holds an eligible visa as agreed between the State and Commonwealth.</w:t>
      </w:r>
      <w:r w:rsidRPr="003351E6">
        <w:rPr>
          <w:b/>
        </w:rPr>
        <w:t xml:space="preserve"> </w:t>
      </w:r>
      <w:r w:rsidRPr="003351E6">
        <w:t xml:space="preserve"> </w:t>
      </w:r>
    </w:p>
    <w:p w14:paraId="18799B34" w14:textId="77777777" w:rsidR="0029427C" w:rsidRPr="003351E6" w:rsidRDefault="00CD24A0">
      <w:pPr>
        <w:numPr>
          <w:ilvl w:val="1"/>
          <w:numId w:val="1"/>
        </w:numPr>
        <w:ind w:hanging="360"/>
      </w:pPr>
      <w:r w:rsidRPr="003351E6">
        <w:rPr>
          <w:b/>
        </w:rPr>
        <w:t xml:space="preserve">Fee-Free </w:t>
      </w:r>
      <w:r w:rsidRPr="003351E6">
        <w:t xml:space="preserve">means the learner will not be charged a fee for the tuition component of training funded through this Fund. Any other fees (e.g., Administration fee or material costs) will be minimal and agreed with the Commonwealth in the Implementation Plan. </w:t>
      </w:r>
    </w:p>
    <w:p w14:paraId="0C43CDE5" w14:textId="77777777" w:rsidR="0029427C" w:rsidRPr="003351E6" w:rsidRDefault="00CD24A0">
      <w:pPr>
        <w:numPr>
          <w:ilvl w:val="1"/>
          <w:numId w:val="1"/>
        </w:numPr>
        <w:ind w:hanging="360"/>
      </w:pPr>
      <w:r w:rsidRPr="003351E6">
        <w:rPr>
          <w:b/>
        </w:rPr>
        <w:t>Fee-Free TAFE Fund</w:t>
      </w:r>
      <w:r w:rsidRPr="003351E6">
        <w:t xml:space="preserve"> includes the Fee-Free TAFE Places fund, ancillary funding and funding for additional support.  </w:t>
      </w:r>
    </w:p>
    <w:p w14:paraId="203E7FEB" w14:textId="77777777" w:rsidR="0029427C" w:rsidRPr="003351E6" w:rsidRDefault="00CD24A0">
      <w:pPr>
        <w:numPr>
          <w:ilvl w:val="1"/>
          <w:numId w:val="1"/>
        </w:numPr>
        <w:ind w:hanging="360"/>
      </w:pPr>
      <w:r w:rsidRPr="003351E6">
        <w:rPr>
          <w:b/>
        </w:rPr>
        <w:t xml:space="preserve">Implementation Plan </w:t>
      </w:r>
      <w:r w:rsidRPr="003351E6">
        <w:t xml:space="preserve">is a bilateral plan outlining how Fee-Free TAFE will operate in practice, to be agreed with the Commonwealth. The Implementation Plan template will be provided by the Commonwealth. </w:t>
      </w:r>
      <w:r w:rsidRPr="003351E6">
        <w:rPr>
          <w:b/>
        </w:rPr>
        <w:t xml:space="preserve"> </w:t>
      </w:r>
    </w:p>
    <w:p w14:paraId="18BE16EA" w14:textId="77777777" w:rsidR="0029427C" w:rsidRPr="003351E6" w:rsidRDefault="00CD24A0">
      <w:pPr>
        <w:numPr>
          <w:ilvl w:val="1"/>
          <w:numId w:val="1"/>
        </w:numPr>
        <w:spacing w:after="143"/>
        <w:ind w:hanging="360"/>
      </w:pPr>
      <w:r w:rsidRPr="003351E6">
        <w:rPr>
          <w:b/>
        </w:rPr>
        <w:t xml:space="preserve">New Training Places </w:t>
      </w:r>
      <w:r w:rsidRPr="003351E6">
        <w:t xml:space="preserve">are those where the price of training is fully met from the Fund.  </w:t>
      </w:r>
    </w:p>
    <w:p w14:paraId="4F81DFDB" w14:textId="77777777" w:rsidR="0029427C" w:rsidRPr="003351E6" w:rsidRDefault="00CD24A0">
      <w:pPr>
        <w:numPr>
          <w:ilvl w:val="1"/>
          <w:numId w:val="1"/>
        </w:numPr>
        <w:spacing w:after="142"/>
        <w:ind w:hanging="360"/>
      </w:pPr>
      <w:r w:rsidRPr="003351E6">
        <w:rPr>
          <w:b/>
        </w:rPr>
        <w:t xml:space="preserve">Student Support Services </w:t>
      </w:r>
      <w:r w:rsidRPr="003351E6">
        <w:t xml:space="preserve">means services that enhance student access to training and supporting completions. These will be agreed bilaterally and included in State Implementation Plans. </w:t>
      </w:r>
      <w:r w:rsidRPr="003351E6">
        <w:rPr>
          <w:rFonts w:eastAsia="Times New Roman"/>
        </w:rPr>
        <w:t xml:space="preserve"> </w:t>
      </w:r>
    </w:p>
    <w:p w14:paraId="4475AE06" w14:textId="77777777" w:rsidR="0029427C" w:rsidRPr="003351E6" w:rsidRDefault="00CD24A0">
      <w:pPr>
        <w:numPr>
          <w:ilvl w:val="1"/>
          <w:numId w:val="1"/>
        </w:numPr>
        <w:spacing w:after="241"/>
        <w:ind w:hanging="360"/>
      </w:pPr>
      <w:r w:rsidRPr="003351E6">
        <w:rPr>
          <w:b/>
        </w:rPr>
        <w:t xml:space="preserve">TAFE </w:t>
      </w:r>
      <w:r w:rsidRPr="003351E6">
        <w:t xml:space="preserve">means a training provider that is recognised as a TAFE, public dual sector higher education provider, a TAFE </w:t>
      </w:r>
      <w:proofErr w:type="spellStart"/>
      <w:r w:rsidRPr="003351E6">
        <w:t>auspicing</w:t>
      </w:r>
      <w:proofErr w:type="spellEnd"/>
      <w:r w:rsidRPr="003351E6">
        <w:t xml:space="preserve"> or partnership arrangement.</w:t>
      </w:r>
      <w:r w:rsidRPr="003351E6">
        <w:rPr>
          <w:rFonts w:eastAsia="Times New Roman"/>
        </w:rPr>
        <w:t xml:space="preserve"> </w:t>
      </w:r>
    </w:p>
    <w:p w14:paraId="33904880" w14:textId="77777777" w:rsidR="00480259" w:rsidRDefault="00CD24A0">
      <w:pPr>
        <w:spacing w:after="160" w:line="259" w:lineRule="auto"/>
        <w:ind w:left="0" w:firstLine="0"/>
        <w:rPr>
          <w:b/>
          <w:color w:val="2E74B5"/>
        </w:rPr>
        <w:sectPr w:rsidR="00480259" w:rsidSect="001F28FC">
          <w:pgSz w:w="11906" w:h="16838"/>
          <w:pgMar w:top="1332" w:right="1135" w:bottom="1609" w:left="1131" w:header="751" w:footer="730" w:gutter="0"/>
          <w:cols w:space="720"/>
        </w:sectPr>
      </w:pPr>
      <w:r w:rsidRPr="003351E6">
        <w:rPr>
          <w:b/>
          <w:color w:val="2E74B5"/>
        </w:rPr>
        <w:t xml:space="preserve"> </w:t>
      </w:r>
    </w:p>
    <w:p w14:paraId="5316A7CC" w14:textId="77777777" w:rsidR="0029427C" w:rsidRPr="00647AFD" w:rsidRDefault="00CD24A0">
      <w:pPr>
        <w:spacing w:after="239" w:line="259" w:lineRule="auto"/>
        <w:ind w:left="2" w:firstLine="0"/>
        <w:rPr>
          <w:bCs/>
        </w:rPr>
      </w:pPr>
      <w:r w:rsidRPr="00647AFD">
        <w:rPr>
          <w:bCs/>
          <w:color w:val="2E74B5"/>
        </w:rPr>
        <w:lastRenderedPageBreak/>
        <w:t xml:space="preserve">Appendix B: The TAFE Technology Fund </w:t>
      </w:r>
    </w:p>
    <w:p w14:paraId="2730106E" w14:textId="77777777" w:rsidR="0029427C" w:rsidRPr="003351E6" w:rsidRDefault="00CD24A0">
      <w:pPr>
        <w:spacing w:after="153" w:line="265" w:lineRule="auto"/>
        <w:ind w:left="-3" w:hanging="10"/>
      </w:pPr>
      <w:r w:rsidRPr="003351E6">
        <w:rPr>
          <w:color w:val="2E74B5"/>
        </w:rPr>
        <w:t xml:space="preserve">Overview </w:t>
      </w:r>
    </w:p>
    <w:p w14:paraId="79F32533" w14:textId="77777777" w:rsidR="0029427C" w:rsidRPr="003351E6" w:rsidRDefault="00CD24A0">
      <w:pPr>
        <w:numPr>
          <w:ilvl w:val="0"/>
          <w:numId w:val="4"/>
        </w:numPr>
        <w:ind w:hanging="360"/>
      </w:pPr>
      <w:r w:rsidRPr="003351E6">
        <w:t xml:space="preserve">The States acknowledge the Commonwealth has announced a $50 million TAFE Technology Fund, including </w:t>
      </w:r>
      <w:proofErr w:type="gramStart"/>
      <w:r w:rsidRPr="003351E6">
        <w:t>a number of</w:t>
      </w:r>
      <w:proofErr w:type="gramEnd"/>
      <w:r w:rsidRPr="003351E6">
        <w:t xml:space="preserve"> specific projects across the country to be delivered as a priority.  </w:t>
      </w:r>
    </w:p>
    <w:p w14:paraId="7FE6FC2D" w14:textId="77777777" w:rsidR="0029427C" w:rsidRPr="003351E6" w:rsidRDefault="00CD24A0">
      <w:pPr>
        <w:numPr>
          <w:ilvl w:val="0"/>
          <w:numId w:val="4"/>
        </w:numPr>
        <w:ind w:hanging="360"/>
      </w:pPr>
      <w:r w:rsidRPr="003351E6">
        <w:t xml:space="preserve">The States agree to work bilaterally with the Commonwealth on the administration of the Fund.  </w:t>
      </w:r>
    </w:p>
    <w:p w14:paraId="5B6544DB" w14:textId="77777777" w:rsidR="0029427C" w:rsidRPr="003351E6" w:rsidRDefault="00CD24A0">
      <w:pPr>
        <w:numPr>
          <w:ilvl w:val="0"/>
          <w:numId w:val="4"/>
        </w:numPr>
        <w:ind w:hanging="360"/>
      </w:pPr>
      <w:r w:rsidRPr="003351E6">
        <w:t xml:space="preserve">In respect of Committed Projects, Implementation Plans will be agreed with the Commonwealth from   31 March 2023. </w:t>
      </w:r>
    </w:p>
    <w:p w14:paraId="570F5ECC" w14:textId="77777777" w:rsidR="0029427C" w:rsidRPr="003351E6" w:rsidRDefault="00CD24A0">
      <w:pPr>
        <w:numPr>
          <w:ilvl w:val="0"/>
          <w:numId w:val="4"/>
        </w:numPr>
        <w:ind w:hanging="360"/>
      </w:pPr>
      <w:r w:rsidRPr="003351E6">
        <w:t xml:space="preserve">In relation to access to the remaining TAFE Technology Funding Pool, TAFE infrastructure project proposals (projects) will be assessed by the Commonwealth on a competitive basis against the following:  </w:t>
      </w:r>
    </w:p>
    <w:p w14:paraId="03B49EC4" w14:textId="77777777" w:rsidR="0029427C" w:rsidRPr="003351E6" w:rsidRDefault="00CD24A0">
      <w:pPr>
        <w:ind w:left="722" w:firstLine="0"/>
      </w:pPr>
      <w:r w:rsidRPr="003351E6">
        <w:t xml:space="preserve">Criterion A: Value for money.  </w:t>
      </w:r>
    </w:p>
    <w:p w14:paraId="433B72D6" w14:textId="77777777" w:rsidR="0029427C" w:rsidRPr="003351E6" w:rsidRDefault="00CD24A0">
      <w:pPr>
        <w:ind w:left="722" w:firstLine="0"/>
      </w:pPr>
      <w:r w:rsidRPr="003351E6">
        <w:t xml:space="preserve">Criterion B: Contribution to improving training delivery standards expected by industry.  </w:t>
      </w:r>
    </w:p>
    <w:p w14:paraId="5AB146F8" w14:textId="77777777" w:rsidR="0029427C" w:rsidRPr="003351E6" w:rsidRDefault="00CD24A0">
      <w:pPr>
        <w:ind w:left="722" w:firstLine="0"/>
      </w:pPr>
      <w:r w:rsidRPr="003351E6">
        <w:t xml:space="preserve">Criterion C: Evidence of industry support.  </w:t>
      </w:r>
    </w:p>
    <w:p w14:paraId="5DFC8005" w14:textId="77777777" w:rsidR="0029427C" w:rsidRPr="003351E6" w:rsidRDefault="00CD24A0">
      <w:pPr>
        <w:ind w:left="722" w:firstLine="0"/>
      </w:pPr>
      <w:r w:rsidRPr="003351E6">
        <w:t xml:space="preserve">Criterion D: Demonstrable need identified in the State or Territory TAFE sector.  </w:t>
      </w:r>
    </w:p>
    <w:p w14:paraId="3AC8172F" w14:textId="77777777" w:rsidR="0029427C" w:rsidRPr="003351E6" w:rsidRDefault="00CD24A0">
      <w:pPr>
        <w:ind w:left="722" w:firstLine="0"/>
      </w:pPr>
      <w:r w:rsidRPr="003351E6">
        <w:t xml:space="preserve">Criterion E: Ability to deliver. </w:t>
      </w:r>
    </w:p>
    <w:p w14:paraId="292E37F9" w14:textId="77777777" w:rsidR="0029427C" w:rsidRPr="003351E6" w:rsidRDefault="00CD24A0">
      <w:pPr>
        <w:ind w:left="722" w:firstLine="0"/>
      </w:pPr>
      <w:r w:rsidRPr="003351E6">
        <w:t xml:space="preserve">Criterion F: History of capital support for addressing the need.  </w:t>
      </w:r>
    </w:p>
    <w:p w14:paraId="6D261363" w14:textId="77777777" w:rsidR="0029427C" w:rsidRPr="003351E6" w:rsidRDefault="00CD24A0">
      <w:pPr>
        <w:numPr>
          <w:ilvl w:val="0"/>
          <w:numId w:val="4"/>
        </w:numPr>
        <w:spacing w:after="242"/>
        <w:ind w:hanging="360"/>
      </w:pPr>
      <w:r w:rsidRPr="003351E6">
        <w:t xml:space="preserve">Comprehensive Fund Guidelines and templates will be provided to States (and published).  </w:t>
      </w:r>
    </w:p>
    <w:p w14:paraId="68C2A530" w14:textId="77777777" w:rsidR="0029427C" w:rsidRPr="003351E6" w:rsidRDefault="00CD24A0">
      <w:pPr>
        <w:spacing w:after="153" w:line="265" w:lineRule="auto"/>
        <w:ind w:left="-3" w:hanging="10"/>
      </w:pPr>
      <w:r w:rsidRPr="003351E6">
        <w:rPr>
          <w:color w:val="2E74B5"/>
        </w:rPr>
        <w:t xml:space="preserve">Cost Sharing Arrangement </w:t>
      </w:r>
    </w:p>
    <w:p w14:paraId="0E4815C1" w14:textId="77777777" w:rsidR="0029427C" w:rsidRPr="003351E6" w:rsidRDefault="00CD24A0">
      <w:pPr>
        <w:numPr>
          <w:ilvl w:val="0"/>
          <w:numId w:val="4"/>
        </w:numPr>
        <w:spacing w:after="239"/>
        <w:ind w:hanging="360"/>
      </w:pPr>
      <w:r w:rsidRPr="003351E6">
        <w:t xml:space="preserve">There is no requirement for States and Territories to match TAFE Technology Funding. </w:t>
      </w:r>
    </w:p>
    <w:p w14:paraId="7E77557E" w14:textId="77777777" w:rsidR="0029427C" w:rsidRPr="003351E6" w:rsidRDefault="00CD24A0">
      <w:pPr>
        <w:spacing w:after="153" w:line="265" w:lineRule="auto"/>
        <w:ind w:left="-3" w:hanging="10"/>
      </w:pPr>
      <w:r w:rsidRPr="003351E6">
        <w:rPr>
          <w:color w:val="2E74B5"/>
        </w:rPr>
        <w:t xml:space="preserve">Definitions  </w:t>
      </w:r>
    </w:p>
    <w:p w14:paraId="4317AE72" w14:textId="77777777" w:rsidR="0029427C" w:rsidRPr="003351E6" w:rsidRDefault="00CD24A0">
      <w:pPr>
        <w:numPr>
          <w:ilvl w:val="0"/>
          <w:numId w:val="4"/>
        </w:numPr>
        <w:spacing w:after="158"/>
        <w:ind w:hanging="360"/>
      </w:pPr>
      <w:r w:rsidRPr="003351E6">
        <w:t xml:space="preserve">For the purposes of this Appendix: </w:t>
      </w:r>
    </w:p>
    <w:p w14:paraId="7E8C2600" w14:textId="77777777" w:rsidR="0029427C" w:rsidRPr="003351E6" w:rsidRDefault="00CD24A0">
      <w:pPr>
        <w:numPr>
          <w:ilvl w:val="1"/>
          <w:numId w:val="4"/>
        </w:numPr>
        <w:spacing w:after="159"/>
        <w:ind w:hanging="360"/>
      </w:pPr>
      <w:r w:rsidRPr="003351E6">
        <w:rPr>
          <w:b/>
        </w:rPr>
        <w:t>The TAFE Technology Fund</w:t>
      </w:r>
      <w:r w:rsidRPr="003351E6">
        <w:t xml:space="preserve"> is a $50m Australian Government fund to improve IT facilities, workshops, laboratories, and tele-health simulators across the country.  </w:t>
      </w:r>
    </w:p>
    <w:p w14:paraId="619ABEFD" w14:textId="77777777" w:rsidR="0029427C" w:rsidRPr="003351E6" w:rsidRDefault="00CD24A0">
      <w:pPr>
        <w:numPr>
          <w:ilvl w:val="1"/>
          <w:numId w:val="4"/>
        </w:numPr>
        <w:spacing w:after="158"/>
        <w:ind w:hanging="360"/>
      </w:pPr>
      <w:r w:rsidRPr="003351E6">
        <w:rPr>
          <w:b/>
        </w:rPr>
        <w:t xml:space="preserve">Committed Projects </w:t>
      </w:r>
      <w:r w:rsidRPr="003351E6">
        <w:t xml:space="preserve">are 14 projects valued at $28.2 million which will be delivered as a priority from the TAFE Technology Fund. </w:t>
      </w:r>
    </w:p>
    <w:p w14:paraId="089DECD2" w14:textId="010297FD" w:rsidR="003443DA" w:rsidRDefault="00CD24A0">
      <w:pPr>
        <w:numPr>
          <w:ilvl w:val="1"/>
          <w:numId w:val="4"/>
        </w:numPr>
        <w:spacing w:after="173"/>
        <w:ind w:hanging="360"/>
      </w:pPr>
      <w:r w:rsidRPr="003351E6">
        <w:t>The TAFE Technology</w:t>
      </w:r>
      <w:r w:rsidRPr="003351E6">
        <w:rPr>
          <w:b/>
        </w:rPr>
        <w:t xml:space="preserve"> Funding Pool </w:t>
      </w:r>
      <w:r w:rsidRPr="003351E6">
        <w:t xml:space="preserve">is $21.8 million which States can apply to access. </w:t>
      </w:r>
    </w:p>
    <w:p w14:paraId="65F711F0" w14:textId="77777777" w:rsidR="00480259" w:rsidRDefault="00480259" w:rsidP="00F012E5">
      <w:pPr>
        <w:spacing w:after="173"/>
      </w:pPr>
    </w:p>
    <w:p w14:paraId="3BE0A70D" w14:textId="77777777" w:rsidR="00F012E5" w:rsidRDefault="00F012E5" w:rsidP="00F012E5">
      <w:pPr>
        <w:spacing w:after="173"/>
        <w:ind w:left="0" w:firstLine="0"/>
        <w:sectPr w:rsidR="00F012E5" w:rsidSect="001F28FC">
          <w:pgSz w:w="11906" w:h="16838"/>
          <w:pgMar w:top="1332" w:right="1135" w:bottom="1609" w:left="1131" w:header="751" w:footer="730" w:gutter="0"/>
          <w:cols w:space="720"/>
        </w:sectPr>
      </w:pPr>
    </w:p>
    <w:p w14:paraId="2DEB20BB" w14:textId="77777777" w:rsidR="008E4832" w:rsidRPr="003351E6" w:rsidRDefault="008E4832" w:rsidP="00F012E5">
      <w:pPr>
        <w:spacing w:after="231" w:line="265" w:lineRule="auto"/>
        <w:ind w:left="0" w:firstLine="0"/>
      </w:pPr>
      <w:r w:rsidRPr="000E1895">
        <w:rPr>
          <w:color w:val="2E74B5"/>
        </w:rPr>
        <w:lastRenderedPageBreak/>
        <w:t>Appendix C: Provision of seed funding for VET data Infrastructure Reforms.</w:t>
      </w:r>
      <w:r w:rsidRPr="003351E6">
        <w:rPr>
          <w:color w:val="2E74B5"/>
        </w:rPr>
        <w:t xml:space="preserve">  </w:t>
      </w:r>
    </w:p>
    <w:p w14:paraId="3053646D" w14:textId="77777777" w:rsidR="008E4832" w:rsidRPr="003351E6" w:rsidRDefault="008E4832" w:rsidP="008E4832">
      <w:pPr>
        <w:spacing w:after="153" w:line="265" w:lineRule="auto"/>
        <w:ind w:left="-3" w:hanging="10"/>
      </w:pPr>
      <w:r w:rsidRPr="003351E6">
        <w:rPr>
          <w:color w:val="2E74B5"/>
        </w:rPr>
        <w:t xml:space="preserve">Overview </w:t>
      </w:r>
    </w:p>
    <w:p w14:paraId="0A4086D0" w14:textId="77777777" w:rsidR="008E4832" w:rsidRPr="003351E6" w:rsidRDefault="008E4832" w:rsidP="008E4832">
      <w:pPr>
        <w:numPr>
          <w:ilvl w:val="0"/>
          <w:numId w:val="5"/>
        </w:numPr>
        <w:ind w:hanging="360"/>
      </w:pPr>
      <w:r w:rsidRPr="003351E6">
        <w:t xml:space="preserve">$6.85 million has been allocated nationally to support jurisdictions with a funding contribution to undertake impact assessment and cost planning, technical design, sector coordination, implementation and rollout activities associated with implementation of the VET Data Streamlining (VDS) Program during 2023. </w:t>
      </w:r>
    </w:p>
    <w:p w14:paraId="68808B8A" w14:textId="77777777" w:rsidR="008E4832" w:rsidRPr="003351E6" w:rsidRDefault="008E4832" w:rsidP="0026574C">
      <w:pPr>
        <w:numPr>
          <w:ilvl w:val="0"/>
          <w:numId w:val="5"/>
        </w:numPr>
        <w:ind w:left="720" w:hanging="720"/>
      </w:pPr>
      <w:r w:rsidRPr="003351E6">
        <w:t xml:space="preserve">These funds are a contribution toward the State undertaking VDS transition planning by the end of 2023. </w:t>
      </w:r>
    </w:p>
    <w:p w14:paraId="26760CE5" w14:textId="21EF7986" w:rsidR="008E4832" w:rsidRPr="003351E6" w:rsidRDefault="008E4832" w:rsidP="008E4832">
      <w:pPr>
        <w:numPr>
          <w:ilvl w:val="0"/>
          <w:numId w:val="5"/>
        </w:numPr>
        <w:ind w:hanging="360"/>
      </w:pPr>
      <w:r w:rsidRPr="003351E6">
        <w:t xml:space="preserve">Funding has been notionally allocated to jurisdictions as </w:t>
      </w:r>
      <w:r w:rsidRPr="003C1D29">
        <w:t xml:space="preserve">outlined in Table </w:t>
      </w:r>
      <w:r w:rsidR="00FB4B49" w:rsidRPr="003C1D29">
        <w:t>4</w:t>
      </w:r>
      <w:r w:rsidRPr="003C1D29">
        <w:t>.</w:t>
      </w:r>
      <w:r w:rsidRPr="003351E6">
        <w:t xml:space="preserve">  </w:t>
      </w:r>
    </w:p>
    <w:p w14:paraId="19D965EA" w14:textId="77777777" w:rsidR="008E4832" w:rsidRPr="003351E6" w:rsidRDefault="008E4832" w:rsidP="008E4832">
      <w:pPr>
        <w:numPr>
          <w:ilvl w:val="0"/>
          <w:numId w:val="5"/>
        </w:numPr>
        <w:spacing w:after="242"/>
        <w:ind w:hanging="360"/>
      </w:pPr>
      <w:r w:rsidRPr="003351E6">
        <w:t xml:space="preserve">Milestone payments will be made in accordance with Part 2.  </w:t>
      </w:r>
    </w:p>
    <w:p w14:paraId="442788BD" w14:textId="77777777" w:rsidR="008E4832" w:rsidRPr="003351E6" w:rsidRDefault="008E4832" w:rsidP="008E4832">
      <w:pPr>
        <w:spacing w:after="153" w:line="265" w:lineRule="auto"/>
        <w:ind w:left="-3" w:hanging="10"/>
      </w:pPr>
      <w:r w:rsidRPr="003351E6">
        <w:rPr>
          <w:color w:val="2E74B5"/>
        </w:rPr>
        <w:t xml:space="preserve">Cost Sharing Arrangement </w:t>
      </w:r>
    </w:p>
    <w:p w14:paraId="3BB5A67C" w14:textId="77777777" w:rsidR="008E4832" w:rsidRPr="003351E6" w:rsidRDefault="008E4832" w:rsidP="008E4832">
      <w:pPr>
        <w:numPr>
          <w:ilvl w:val="0"/>
          <w:numId w:val="5"/>
        </w:numPr>
        <w:spacing w:after="239"/>
        <w:ind w:hanging="360"/>
      </w:pPr>
      <w:r w:rsidRPr="003351E6">
        <w:t xml:space="preserve">There is no requirement for States to match this funding.  </w:t>
      </w:r>
    </w:p>
    <w:p w14:paraId="42C0A522" w14:textId="77777777" w:rsidR="008E4832" w:rsidRPr="003351E6" w:rsidRDefault="008E4832" w:rsidP="008E4832">
      <w:pPr>
        <w:spacing w:after="153" w:line="265" w:lineRule="auto"/>
        <w:ind w:left="-3" w:hanging="10"/>
      </w:pPr>
      <w:r w:rsidRPr="003351E6">
        <w:rPr>
          <w:color w:val="2E74B5"/>
        </w:rPr>
        <w:t xml:space="preserve">Definitions  </w:t>
      </w:r>
    </w:p>
    <w:p w14:paraId="738BEB21" w14:textId="77777777" w:rsidR="008E4832" w:rsidRPr="003351E6" w:rsidRDefault="008E4832" w:rsidP="008E4832">
      <w:pPr>
        <w:numPr>
          <w:ilvl w:val="0"/>
          <w:numId w:val="5"/>
        </w:numPr>
        <w:spacing w:after="158"/>
        <w:ind w:hanging="360"/>
      </w:pPr>
      <w:r w:rsidRPr="003351E6">
        <w:t xml:space="preserve">For the purposes of this Appendix: </w:t>
      </w:r>
    </w:p>
    <w:p w14:paraId="59C852C3" w14:textId="77777777" w:rsidR="008E4832" w:rsidRPr="003351E6" w:rsidRDefault="008E4832" w:rsidP="008E4832">
      <w:pPr>
        <w:spacing w:after="159"/>
        <w:ind w:left="1090"/>
      </w:pPr>
      <w:r w:rsidRPr="003351E6">
        <w:t>a.</w:t>
      </w:r>
      <w:r w:rsidRPr="003351E6">
        <w:rPr>
          <w:rFonts w:eastAsia="Arial"/>
        </w:rPr>
        <w:t xml:space="preserve"> </w:t>
      </w:r>
      <w:r w:rsidRPr="003351E6">
        <w:t>The</w:t>
      </w:r>
      <w:r w:rsidRPr="003351E6">
        <w:rPr>
          <w:b/>
        </w:rPr>
        <w:t xml:space="preserve"> VET Data Streamlining</w:t>
      </w:r>
      <w:r w:rsidRPr="003351E6">
        <w:t xml:space="preserve"> Program is focussed on improving the collection and use of VET activity data. The program aims to introduce: </w:t>
      </w:r>
    </w:p>
    <w:p w14:paraId="751BF3C1" w14:textId="77777777" w:rsidR="008E4832" w:rsidRPr="003351E6" w:rsidRDefault="008E4832" w:rsidP="008E4832">
      <w:pPr>
        <w:numPr>
          <w:ilvl w:val="1"/>
          <w:numId w:val="5"/>
        </w:numPr>
        <w:spacing w:after="158"/>
        <w:ind w:left="1852" w:hanging="386"/>
      </w:pPr>
      <w:r w:rsidRPr="003351E6">
        <w:t xml:space="preserve">a modern technology that enables near real-time submission of VET activity </w:t>
      </w:r>
      <w:proofErr w:type="gramStart"/>
      <w:r w:rsidRPr="003351E6">
        <w:t>data;</w:t>
      </w:r>
      <w:proofErr w:type="gramEnd"/>
      <w:r w:rsidRPr="003351E6">
        <w:t xml:space="preserve"> </w:t>
      </w:r>
    </w:p>
    <w:p w14:paraId="4C63290D" w14:textId="77777777" w:rsidR="008E4832" w:rsidRPr="003351E6" w:rsidRDefault="008E4832" w:rsidP="008E4832">
      <w:pPr>
        <w:numPr>
          <w:ilvl w:val="1"/>
          <w:numId w:val="5"/>
        </w:numPr>
        <w:spacing w:after="158"/>
        <w:ind w:left="1852" w:hanging="386"/>
      </w:pPr>
      <w:r w:rsidRPr="003351E6">
        <w:t xml:space="preserve">a VET Information Standard to replace the existing Australian Vocational Education and Training Management Information Statistical Standard (AVETMISS); and </w:t>
      </w:r>
    </w:p>
    <w:p w14:paraId="132AADF8" w14:textId="77777777" w:rsidR="008E4832" w:rsidRPr="003351E6" w:rsidRDefault="008E4832" w:rsidP="008E4832">
      <w:pPr>
        <w:numPr>
          <w:ilvl w:val="1"/>
          <w:numId w:val="5"/>
        </w:numPr>
        <w:spacing w:after="158"/>
        <w:ind w:left="1852" w:hanging="386"/>
      </w:pPr>
      <w:r w:rsidRPr="003351E6">
        <w:t xml:space="preserve">updated regulatory and governance settings. </w:t>
      </w:r>
    </w:p>
    <w:p w14:paraId="6760B931" w14:textId="77777777" w:rsidR="008E4832" w:rsidRPr="003351E6" w:rsidRDefault="008E4832" w:rsidP="008E4832">
      <w:pPr>
        <w:spacing w:after="173" w:line="259" w:lineRule="auto"/>
        <w:ind w:left="2" w:firstLine="0"/>
      </w:pPr>
      <w:r w:rsidRPr="003351E6">
        <w:rPr>
          <w:b/>
        </w:rPr>
        <w:t xml:space="preserve"> </w:t>
      </w:r>
    </w:p>
    <w:p w14:paraId="5E880DC6" w14:textId="77777777" w:rsidR="00F012E5" w:rsidRDefault="008E4832" w:rsidP="008E4832">
      <w:pPr>
        <w:spacing w:after="0" w:line="259" w:lineRule="auto"/>
        <w:ind w:left="2" w:firstLine="0"/>
        <w:rPr>
          <w:color w:val="2E74B5"/>
        </w:rPr>
        <w:sectPr w:rsidR="00F012E5" w:rsidSect="001F28FC">
          <w:pgSz w:w="11906" w:h="16838"/>
          <w:pgMar w:top="1332" w:right="1135" w:bottom="1609" w:left="1131" w:header="751" w:footer="730" w:gutter="0"/>
          <w:cols w:space="720"/>
        </w:sectPr>
      </w:pPr>
      <w:r w:rsidRPr="003351E6">
        <w:rPr>
          <w:b/>
        </w:rPr>
        <w:t xml:space="preserve"> </w:t>
      </w:r>
      <w:r w:rsidRPr="003351E6">
        <w:rPr>
          <w:b/>
        </w:rPr>
        <w:tab/>
      </w:r>
      <w:r w:rsidRPr="003351E6">
        <w:rPr>
          <w:color w:val="2E74B5"/>
        </w:rPr>
        <w:t xml:space="preserve"> </w:t>
      </w:r>
    </w:p>
    <w:p w14:paraId="2F77D38D" w14:textId="77777777" w:rsidR="008E4832" w:rsidRPr="003351E6" w:rsidRDefault="008E4832" w:rsidP="008E4832">
      <w:pPr>
        <w:spacing w:after="231" w:line="265" w:lineRule="auto"/>
        <w:ind w:left="-3" w:hanging="10"/>
      </w:pPr>
      <w:r w:rsidRPr="000E1895">
        <w:rPr>
          <w:color w:val="2E74B5"/>
        </w:rPr>
        <w:lastRenderedPageBreak/>
        <w:t>Appendix D: Principles for cost sharing under the VET Student Loans Program</w:t>
      </w:r>
      <w:r w:rsidRPr="003351E6">
        <w:rPr>
          <w:color w:val="2E74B5"/>
        </w:rPr>
        <w:t xml:space="preserve">  </w:t>
      </w:r>
    </w:p>
    <w:p w14:paraId="22FB8BCF" w14:textId="77777777" w:rsidR="008E4832" w:rsidRPr="003351E6" w:rsidRDefault="008E4832" w:rsidP="008E4832">
      <w:pPr>
        <w:spacing w:after="153" w:line="265" w:lineRule="auto"/>
        <w:ind w:left="-3" w:hanging="10"/>
      </w:pPr>
      <w:r w:rsidRPr="003351E6">
        <w:rPr>
          <w:color w:val="2E74B5"/>
        </w:rPr>
        <w:t xml:space="preserve">Overview </w:t>
      </w:r>
    </w:p>
    <w:p w14:paraId="272F57E5" w14:textId="77777777" w:rsidR="008E4832" w:rsidRPr="003351E6" w:rsidRDefault="008E4832" w:rsidP="008E4832">
      <w:pPr>
        <w:numPr>
          <w:ilvl w:val="0"/>
          <w:numId w:val="6"/>
        </w:numPr>
        <w:ind w:hanging="360"/>
      </w:pPr>
      <w:r w:rsidRPr="003351E6">
        <w:t>The Commonwealth and the States agree to the VET Student Loans (VSL)</w:t>
      </w:r>
      <w:r w:rsidRPr="003351E6">
        <w:rPr>
          <w:b/>
        </w:rPr>
        <w:t xml:space="preserve"> </w:t>
      </w:r>
      <w:r w:rsidRPr="003351E6">
        <w:t xml:space="preserve">Program cost sharing arrangement (below) from 1 January 2023 to 31 December 2023, unless alternative arrangements are bilaterally agreed. </w:t>
      </w:r>
    </w:p>
    <w:p w14:paraId="5E4BC1E8" w14:textId="77777777" w:rsidR="008E4832" w:rsidRPr="003351E6" w:rsidRDefault="008E4832" w:rsidP="008E4832">
      <w:pPr>
        <w:numPr>
          <w:ilvl w:val="0"/>
          <w:numId w:val="6"/>
        </w:numPr>
        <w:ind w:hanging="360"/>
      </w:pPr>
      <w:r w:rsidRPr="003351E6">
        <w:t xml:space="preserve">This arrangement will cover enrolments from 1 July 2022 to 31 December 2023. </w:t>
      </w:r>
    </w:p>
    <w:p w14:paraId="1B5AD9B2" w14:textId="77777777" w:rsidR="008E4832" w:rsidRPr="003351E6" w:rsidRDefault="008E4832" w:rsidP="008E4832">
      <w:pPr>
        <w:numPr>
          <w:ilvl w:val="0"/>
          <w:numId w:val="6"/>
        </w:numPr>
        <w:spacing w:after="242"/>
        <w:ind w:hanging="360"/>
      </w:pPr>
      <w:r w:rsidRPr="003351E6">
        <w:t xml:space="preserve">This arrangement is limited to loans provided to State subsidised students for courses at the Diploma and Advanced Diploma level. </w:t>
      </w:r>
    </w:p>
    <w:p w14:paraId="075E312C" w14:textId="77777777" w:rsidR="008E4832" w:rsidRPr="003351E6" w:rsidRDefault="008E4832" w:rsidP="008E4832">
      <w:pPr>
        <w:spacing w:after="153" w:line="265" w:lineRule="auto"/>
        <w:ind w:left="-3" w:hanging="10"/>
      </w:pPr>
      <w:r w:rsidRPr="003351E6">
        <w:rPr>
          <w:color w:val="2E74B5"/>
        </w:rPr>
        <w:t xml:space="preserve">Cost Sharing Arrangement </w:t>
      </w:r>
    </w:p>
    <w:p w14:paraId="43911E9B" w14:textId="77777777" w:rsidR="008E4832" w:rsidRPr="003351E6" w:rsidRDefault="008E4832" w:rsidP="008E4832">
      <w:pPr>
        <w:numPr>
          <w:ilvl w:val="0"/>
          <w:numId w:val="6"/>
        </w:numPr>
        <w:ind w:hanging="360"/>
      </w:pPr>
      <w:r w:rsidRPr="003351E6">
        <w:t xml:space="preserve">Each jurisdiction will contribute 50 per cent of the cost of the: </w:t>
      </w:r>
    </w:p>
    <w:p w14:paraId="314FEDEF" w14:textId="77777777" w:rsidR="008E4832" w:rsidRPr="003351E6" w:rsidRDefault="008E4832" w:rsidP="008E4832">
      <w:pPr>
        <w:numPr>
          <w:ilvl w:val="1"/>
          <w:numId w:val="6"/>
        </w:numPr>
        <w:ind w:hanging="360"/>
      </w:pPr>
      <w:r w:rsidRPr="003351E6">
        <w:rPr>
          <w:i/>
        </w:rPr>
        <w:t xml:space="preserve">Debt Not Expected to be Repaid </w:t>
      </w:r>
      <w:r w:rsidRPr="003351E6">
        <w:t>(</w:t>
      </w:r>
      <w:r w:rsidRPr="003351E6">
        <w:rPr>
          <w:b/>
          <w:i/>
        </w:rPr>
        <w:t>DNER</w:t>
      </w:r>
      <w:r w:rsidRPr="003351E6">
        <w:t xml:space="preserve">). The DNER rate will be set at 22 per cent of the value of loans issued in a jurisdiction to its State-subsidised students; and </w:t>
      </w:r>
    </w:p>
    <w:p w14:paraId="6267CA8E" w14:textId="77777777" w:rsidR="008E4832" w:rsidRPr="003351E6" w:rsidRDefault="008E4832" w:rsidP="008E4832">
      <w:pPr>
        <w:numPr>
          <w:ilvl w:val="1"/>
          <w:numId w:val="6"/>
        </w:numPr>
        <w:ind w:hanging="360"/>
      </w:pPr>
      <w:r w:rsidRPr="003351E6">
        <w:rPr>
          <w:i/>
        </w:rPr>
        <w:t>Deferral Adjustment Costs</w:t>
      </w:r>
      <w:r w:rsidRPr="003351E6">
        <w:t xml:space="preserve"> for those loans, arising from the concessional treatment that applies to VSL.  </w:t>
      </w:r>
    </w:p>
    <w:p w14:paraId="42D29688" w14:textId="77777777" w:rsidR="008E4832" w:rsidRPr="003351E6" w:rsidRDefault="008E4832" w:rsidP="008E4832">
      <w:pPr>
        <w:numPr>
          <w:ilvl w:val="0"/>
          <w:numId w:val="6"/>
        </w:numPr>
        <w:ind w:hanging="360"/>
      </w:pPr>
      <w:r w:rsidRPr="003351E6">
        <w:t xml:space="preserve">The Commonwealth will waive the 20 per cent loan fee for State subsidised students who access a VSL. </w:t>
      </w:r>
    </w:p>
    <w:p w14:paraId="23E5BD4B" w14:textId="77777777" w:rsidR="008E4832" w:rsidRPr="003351E6" w:rsidRDefault="008E4832" w:rsidP="008E4832">
      <w:pPr>
        <w:numPr>
          <w:ilvl w:val="0"/>
          <w:numId w:val="6"/>
        </w:numPr>
        <w:ind w:hanging="360"/>
      </w:pPr>
      <w:r w:rsidRPr="003351E6">
        <w:t xml:space="preserve">The Commonwealth will issue invoices in April each year for the calendar year prior. </w:t>
      </w:r>
    </w:p>
    <w:p w14:paraId="3F9BB093" w14:textId="77777777" w:rsidR="008E4832" w:rsidRPr="003351E6" w:rsidRDefault="008E4832" w:rsidP="008E4832">
      <w:pPr>
        <w:numPr>
          <w:ilvl w:val="0"/>
          <w:numId w:val="6"/>
        </w:numPr>
        <w:spacing w:after="249" w:line="249" w:lineRule="auto"/>
        <w:ind w:hanging="360"/>
      </w:pPr>
      <w:r w:rsidRPr="003351E6">
        <w:t xml:space="preserve">At the time of invoicing, the Commonwealth will provide data on the jurisdiction’s subsidised loans issued by each provider in their jurisdiction for the calendar year prior, including enrolments and loan values. </w:t>
      </w:r>
    </w:p>
    <w:p w14:paraId="52D1D86F" w14:textId="77777777" w:rsidR="008E4832" w:rsidRPr="003351E6" w:rsidRDefault="008E4832" w:rsidP="008E4832">
      <w:pPr>
        <w:spacing w:after="153" w:line="265" w:lineRule="auto"/>
        <w:ind w:left="-3" w:hanging="10"/>
      </w:pPr>
      <w:r w:rsidRPr="003351E6">
        <w:rPr>
          <w:color w:val="2E74B5"/>
        </w:rPr>
        <w:t xml:space="preserve">Definitions  </w:t>
      </w:r>
    </w:p>
    <w:p w14:paraId="5768FCC7" w14:textId="77777777" w:rsidR="008E4832" w:rsidRPr="003351E6" w:rsidRDefault="008E4832" w:rsidP="008E4832">
      <w:pPr>
        <w:numPr>
          <w:ilvl w:val="0"/>
          <w:numId w:val="6"/>
        </w:numPr>
        <w:spacing w:after="158"/>
        <w:ind w:hanging="360"/>
      </w:pPr>
      <w:r w:rsidRPr="003351E6">
        <w:t xml:space="preserve">For the purposes of this Appendix: </w:t>
      </w:r>
    </w:p>
    <w:p w14:paraId="71B6520E" w14:textId="77777777" w:rsidR="008E4832" w:rsidRPr="003351E6" w:rsidRDefault="008E4832" w:rsidP="008E4832">
      <w:pPr>
        <w:numPr>
          <w:ilvl w:val="1"/>
          <w:numId w:val="6"/>
        </w:numPr>
        <w:spacing w:after="159"/>
        <w:ind w:hanging="360"/>
      </w:pPr>
      <w:r w:rsidRPr="003351E6">
        <w:rPr>
          <w:b/>
        </w:rPr>
        <w:t xml:space="preserve">Debt Not Expected to Be Repaid (DNER) </w:t>
      </w:r>
      <w:r w:rsidRPr="003351E6">
        <w:t xml:space="preserve">means loans that are not expected to be repaid due to the income contingent nature of the VSL program. The AGA has modelled the rate of DNER for VSL and advised that a DNER rate of 22 per cent be used for the purposes of cost sharing until the modelling is reviewed again in 2024.  </w:t>
      </w:r>
    </w:p>
    <w:p w14:paraId="7A76D546" w14:textId="77777777" w:rsidR="008E4832" w:rsidRPr="003351E6" w:rsidRDefault="008E4832" w:rsidP="008E4832">
      <w:pPr>
        <w:numPr>
          <w:ilvl w:val="1"/>
          <w:numId w:val="6"/>
        </w:numPr>
        <w:spacing w:after="159"/>
        <w:ind w:hanging="360"/>
      </w:pPr>
      <w:r w:rsidRPr="003351E6">
        <w:rPr>
          <w:b/>
        </w:rPr>
        <w:t>Deferral Adjustment Costs</w:t>
      </w:r>
      <w:r w:rsidRPr="003351E6">
        <w:t xml:space="preserve"> means the represented cost of deferring the repayment of the debt and recognises that debts are charged interest broadly in line with the change in the CPI each year, which is different to the underlying cost of government borrowing. The Australian Government Actuary will determine the deferral adjustment rate. </w:t>
      </w:r>
    </w:p>
    <w:p w14:paraId="3BE0D7BD" w14:textId="77777777" w:rsidR="008E4832" w:rsidRPr="003351E6" w:rsidRDefault="008E4832" w:rsidP="008E4832">
      <w:pPr>
        <w:spacing w:after="0" w:line="259" w:lineRule="auto"/>
        <w:ind w:left="2" w:firstLine="0"/>
      </w:pPr>
      <w:r w:rsidRPr="003351E6">
        <w:rPr>
          <w:color w:val="2E74B5"/>
        </w:rPr>
        <w:t xml:space="preserve"> </w:t>
      </w:r>
    </w:p>
    <w:p w14:paraId="2B085D23" w14:textId="70FACF35" w:rsidR="006B7256" w:rsidRPr="003351E6" w:rsidRDefault="006B7256">
      <w:pPr>
        <w:spacing w:after="160" w:line="278" w:lineRule="auto"/>
        <w:ind w:left="0" w:firstLine="0"/>
        <w:rPr>
          <w:color w:val="2E74B5"/>
        </w:rPr>
      </w:pPr>
    </w:p>
    <w:p w14:paraId="7744C8A5" w14:textId="77777777" w:rsidR="0029427C" w:rsidRPr="003351E6" w:rsidRDefault="0029427C">
      <w:pPr>
        <w:sectPr w:rsidR="0029427C" w:rsidRPr="003351E6" w:rsidSect="001F28FC">
          <w:pgSz w:w="11906" w:h="16838"/>
          <w:pgMar w:top="1332" w:right="1135" w:bottom="1609" w:left="1131" w:header="751" w:footer="730" w:gutter="0"/>
          <w:cols w:space="720"/>
        </w:sectPr>
      </w:pPr>
    </w:p>
    <w:p w14:paraId="34120DF3" w14:textId="747524EF" w:rsidR="0029427C" w:rsidRPr="003351E6" w:rsidRDefault="00F00D10">
      <w:pPr>
        <w:spacing w:after="178" w:line="265" w:lineRule="auto"/>
        <w:ind w:left="-3" w:hanging="10"/>
      </w:pPr>
      <w:r>
        <w:rPr>
          <w:noProof/>
        </w:rPr>
        <w:lastRenderedPageBreak/>
        <w:drawing>
          <wp:anchor distT="0" distB="0" distL="114300" distR="114300" simplePos="0" relativeHeight="251659268" behindDoc="1" locked="0" layoutInCell="1" allowOverlap="1" wp14:anchorId="4D16EA6C" wp14:editId="55ADC393">
            <wp:simplePos x="0" y="0"/>
            <wp:positionH relativeFrom="column">
              <wp:posOffset>-31425</wp:posOffset>
            </wp:positionH>
            <wp:positionV relativeFrom="paragraph">
              <wp:posOffset>289619</wp:posOffset>
            </wp:positionV>
            <wp:extent cx="9197340" cy="2902585"/>
            <wp:effectExtent l="0" t="0" r="3810" b="0"/>
            <wp:wrapTight wrapText="bothSides">
              <wp:wrapPolygon edited="0">
                <wp:start x="0" y="0"/>
                <wp:lineTo x="0" y="21406"/>
                <wp:lineTo x="21564" y="21406"/>
                <wp:lineTo x="2156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97340" cy="290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4A0" w:rsidRPr="003351E6">
        <w:rPr>
          <w:color w:val="2E74B5"/>
        </w:rPr>
        <w:t xml:space="preserve">Appendix </w:t>
      </w:r>
      <w:r w:rsidR="0035738F">
        <w:rPr>
          <w:color w:val="2E74B5"/>
        </w:rPr>
        <w:t>E</w:t>
      </w:r>
      <w:r w:rsidR="00CD24A0" w:rsidRPr="003351E6">
        <w:rPr>
          <w:color w:val="2E74B5"/>
        </w:rPr>
        <w:t xml:space="preserve">: Fee-Free TAFE Reporting Schedule  </w:t>
      </w:r>
    </w:p>
    <w:p w14:paraId="35445487" w14:textId="0634C489" w:rsidR="0029427C" w:rsidRPr="003351E6" w:rsidRDefault="00CD24A0" w:rsidP="0073209C">
      <w:pPr>
        <w:spacing w:before="225" w:after="0" w:line="259" w:lineRule="auto"/>
        <w:ind w:left="0" w:firstLine="0"/>
      </w:pPr>
      <w:r w:rsidRPr="003351E6">
        <w:rPr>
          <w:color w:val="2E74B5"/>
        </w:rPr>
        <w:t xml:space="preserve">  </w:t>
      </w:r>
    </w:p>
    <w:p w14:paraId="196B912B" w14:textId="264DB459" w:rsidR="0029427C" w:rsidRPr="003351E6" w:rsidRDefault="00CD24A0">
      <w:pPr>
        <w:spacing w:before="166" w:after="0" w:line="259" w:lineRule="auto"/>
        <w:ind w:left="0" w:firstLine="0"/>
        <w:jc w:val="both"/>
      </w:pPr>
      <w:r w:rsidRPr="003351E6">
        <w:rPr>
          <w:color w:val="2E74B5"/>
        </w:rPr>
        <w:lastRenderedPageBreak/>
        <w:t xml:space="preserve"> </w:t>
      </w:r>
      <w:r w:rsidRPr="003351E6">
        <w:rPr>
          <w:color w:val="2E74B5"/>
        </w:rPr>
        <w:tab/>
      </w:r>
      <w:r w:rsidR="00F00D10">
        <w:rPr>
          <w:noProof/>
        </w:rPr>
        <w:drawing>
          <wp:inline distT="0" distB="0" distL="0" distR="0" wp14:anchorId="0E0C81E4" wp14:editId="1DF4FE6F">
            <wp:extent cx="9154795" cy="5465445"/>
            <wp:effectExtent l="0" t="0" r="8255" b="1905"/>
            <wp:docPr id="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documen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54795" cy="5465445"/>
                    </a:xfrm>
                    <a:prstGeom prst="rect">
                      <a:avLst/>
                    </a:prstGeom>
                    <a:noFill/>
                    <a:ln>
                      <a:noFill/>
                    </a:ln>
                  </pic:spPr>
                </pic:pic>
              </a:graphicData>
            </a:graphic>
          </wp:inline>
        </w:drawing>
      </w:r>
      <w:r w:rsidRPr="003351E6">
        <w:rPr>
          <w:color w:val="2E74B5"/>
        </w:rPr>
        <w:t xml:space="preserve"> </w:t>
      </w:r>
    </w:p>
    <w:p w14:paraId="1A301F50" w14:textId="19062CB2" w:rsidR="00F00D10" w:rsidRDefault="00CD24A0" w:rsidP="00B9643B">
      <w:pPr>
        <w:spacing w:after="158" w:line="259" w:lineRule="auto"/>
        <w:ind w:left="0" w:firstLine="0"/>
        <w:jc w:val="both"/>
        <w:rPr>
          <w:color w:val="2E74B5"/>
        </w:rPr>
      </w:pPr>
      <w:r w:rsidRPr="003351E6">
        <w:rPr>
          <w:color w:val="2E74B5"/>
        </w:rPr>
        <w:lastRenderedPageBreak/>
        <w:t xml:space="preserve">  </w:t>
      </w:r>
      <w:r w:rsidR="00F00D10">
        <w:rPr>
          <w:noProof/>
        </w:rPr>
        <w:drawing>
          <wp:inline distT="0" distB="0" distL="0" distR="0" wp14:anchorId="538E274F" wp14:editId="11991EE0">
            <wp:extent cx="9260840" cy="2296795"/>
            <wp:effectExtent l="0" t="0" r="0" b="8255"/>
            <wp:docPr id="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comput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60840" cy="2296795"/>
                    </a:xfrm>
                    <a:prstGeom prst="rect">
                      <a:avLst/>
                    </a:prstGeom>
                    <a:noFill/>
                    <a:ln>
                      <a:noFill/>
                    </a:ln>
                  </pic:spPr>
                </pic:pic>
              </a:graphicData>
            </a:graphic>
          </wp:inline>
        </w:drawing>
      </w:r>
    </w:p>
    <w:p w14:paraId="5B18046A" w14:textId="10900526" w:rsidR="00F00D10" w:rsidRDefault="00F00D10" w:rsidP="00B9643B">
      <w:pPr>
        <w:spacing w:after="158" w:line="259" w:lineRule="auto"/>
        <w:ind w:left="0" w:firstLine="0"/>
        <w:jc w:val="both"/>
      </w:pPr>
      <w:r>
        <w:rPr>
          <w:noProof/>
        </w:rPr>
        <w:drawing>
          <wp:anchor distT="0" distB="0" distL="114300" distR="114300" simplePos="0" relativeHeight="251660292" behindDoc="1" locked="0" layoutInCell="1" allowOverlap="1" wp14:anchorId="0B51C553" wp14:editId="64484C7A">
            <wp:simplePos x="0" y="0"/>
            <wp:positionH relativeFrom="column">
              <wp:posOffset>50193</wp:posOffset>
            </wp:positionH>
            <wp:positionV relativeFrom="paragraph">
              <wp:posOffset>9089</wp:posOffset>
            </wp:positionV>
            <wp:extent cx="3263900" cy="1637665"/>
            <wp:effectExtent l="0" t="0" r="0" b="635"/>
            <wp:wrapTight wrapText="bothSides">
              <wp:wrapPolygon edited="0">
                <wp:start x="0" y="0"/>
                <wp:lineTo x="0" y="21357"/>
                <wp:lineTo x="21432" y="21357"/>
                <wp:lineTo x="21432" y="0"/>
                <wp:lineTo x="0" y="0"/>
              </wp:wrapPolygon>
            </wp:wrapTight>
            <wp:docPr id="5" name="Picture 4" descr="A yellow and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yellow and black rectangular object with black tex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63900"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26676" w14:textId="77777777" w:rsidR="00F00D10" w:rsidRDefault="00F00D10" w:rsidP="00B9643B">
      <w:pPr>
        <w:spacing w:after="158" w:line="259" w:lineRule="auto"/>
        <w:ind w:left="0" w:firstLine="0"/>
        <w:jc w:val="both"/>
      </w:pPr>
    </w:p>
    <w:p w14:paraId="2F9ECCB1" w14:textId="1A03988D" w:rsidR="00DF7A43" w:rsidRDefault="00DF7A43" w:rsidP="00B9643B">
      <w:pPr>
        <w:spacing w:after="158" w:line="259" w:lineRule="auto"/>
        <w:ind w:left="0" w:firstLine="0"/>
        <w:jc w:val="both"/>
      </w:pPr>
    </w:p>
    <w:p w14:paraId="3B249E5B" w14:textId="77777777" w:rsidR="00F00D10" w:rsidRDefault="00F00D10">
      <w:pPr>
        <w:spacing w:after="158" w:line="259" w:lineRule="auto"/>
        <w:ind w:left="0" w:firstLine="0"/>
        <w:jc w:val="both"/>
        <w:rPr>
          <w:color w:val="2E74B5"/>
        </w:rPr>
      </w:pPr>
    </w:p>
    <w:p w14:paraId="3B29A24C" w14:textId="77777777" w:rsidR="00F00D10" w:rsidRDefault="00F00D10">
      <w:pPr>
        <w:spacing w:after="158" w:line="259" w:lineRule="auto"/>
        <w:ind w:left="0" w:firstLine="0"/>
        <w:jc w:val="both"/>
        <w:rPr>
          <w:color w:val="2E74B5"/>
        </w:rPr>
      </w:pPr>
    </w:p>
    <w:p w14:paraId="18A95AF2" w14:textId="77777777" w:rsidR="00F00D10" w:rsidRDefault="00F00D10">
      <w:pPr>
        <w:spacing w:after="158" w:line="259" w:lineRule="auto"/>
        <w:ind w:left="0" w:firstLine="0"/>
        <w:jc w:val="both"/>
        <w:rPr>
          <w:color w:val="2E74B5"/>
        </w:rPr>
      </w:pPr>
    </w:p>
    <w:p w14:paraId="4CFBBBDA" w14:textId="77777777" w:rsidR="00F00D10" w:rsidRDefault="00F00D10">
      <w:pPr>
        <w:spacing w:after="158" w:line="259" w:lineRule="auto"/>
        <w:ind w:left="0" w:firstLine="0"/>
        <w:jc w:val="both"/>
        <w:rPr>
          <w:color w:val="2E74B5"/>
        </w:rPr>
      </w:pPr>
    </w:p>
    <w:p w14:paraId="0AA8BEDA" w14:textId="77777777" w:rsidR="00F00D10" w:rsidRDefault="00F00D10">
      <w:pPr>
        <w:spacing w:after="158" w:line="259" w:lineRule="auto"/>
        <w:ind w:left="0" w:firstLine="0"/>
        <w:jc w:val="both"/>
        <w:rPr>
          <w:color w:val="2E74B5"/>
        </w:rPr>
      </w:pPr>
    </w:p>
    <w:p w14:paraId="6C83DEB4" w14:textId="4CBEF69F" w:rsidR="00F00D10" w:rsidRDefault="00F00D10">
      <w:pPr>
        <w:spacing w:after="158" w:line="259" w:lineRule="auto"/>
        <w:ind w:left="0" w:firstLine="0"/>
        <w:jc w:val="both"/>
        <w:rPr>
          <w:color w:val="2E74B5"/>
        </w:rPr>
      </w:pPr>
      <w:r>
        <w:rPr>
          <w:noProof/>
        </w:rPr>
        <w:lastRenderedPageBreak/>
        <w:drawing>
          <wp:inline distT="0" distB="0" distL="0" distR="0" wp14:anchorId="550815DD" wp14:editId="7122ED66">
            <wp:extent cx="9359900" cy="1889217"/>
            <wp:effectExtent l="0" t="0" r="0" b="0"/>
            <wp:docPr id="6" name="Picture 5"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spreadshee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59900" cy="1889217"/>
                    </a:xfrm>
                    <a:prstGeom prst="rect">
                      <a:avLst/>
                    </a:prstGeom>
                    <a:noFill/>
                    <a:ln>
                      <a:noFill/>
                    </a:ln>
                  </pic:spPr>
                </pic:pic>
              </a:graphicData>
            </a:graphic>
          </wp:inline>
        </w:drawing>
      </w:r>
    </w:p>
    <w:p w14:paraId="15EB7D2B" w14:textId="06AE6C78" w:rsidR="008F5989" w:rsidRDefault="00CD24A0">
      <w:pPr>
        <w:spacing w:after="158" w:line="259" w:lineRule="auto"/>
        <w:ind w:left="0" w:firstLine="0"/>
        <w:jc w:val="both"/>
        <w:rPr>
          <w:color w:val="2E74B5"/>
        </w:rPr>
        <w:sectPr w:rsidR="008F5989" w:rsidSect="007B0168">
          <w:headerReference w:type="even" r:id="rId40"/>
          <w:headerReference w:type="default" r:id="rId41"/>
          <w:footerReference w:type="even" r:id="rId42"/>
          <w:footerReference w:type="default" r:id="rId43"/>
          <w:headerReference w:type="first" r:id="rId44"/>
          <w:footerReference w:type="first" r:id="rId45"/>
          <w:pgSz w:w="16838" w:h="11906" w:orient="landscape" w:code="9"/>
          <w:pgMar w:top="1134" w:right="760" w:bottom="1140" w:left="1338" w:header="720" w:footer="731" w:gutter="0"/>
          <w:cols w:space="720"/>
          <w:docGrid w:linePitch="299"/>
        </w:sectPr>
      </w:pPr>
      <w:r w:rsidRPr="003351E6">
        <w:rPr>
          <w:color w:val="2E74B5"/>
        </w:rPr>
        <w:t xml:space="preserve"> </w:t>
      </w:r>
    </w:p>
    <w:p w14:paraId="204D3954" w14:textId="6B60ABB8" w:rsidR="0029427C" w:rsidRPr="00647AFD" w:rsidRDefault="00CD24A0">
      <w:pPr>
        <w:pStyle w:val="Heading1"/>
        <w:rPr>
          <w:b w:val="0"/>
          <w:bCs/>
        </w:rPr>
      </w:pPr>
      <w:r w:rsidRPr="00647AFD">
        <w:rPr>
          <w:b w:val="0"/>
          <w:bCs/>
        </w:rPr>
        <w:lastRenderedPageBreak/>
        <w:t xml:space="preserve">Appendix </w:t>
      </w:r>
      <w:r w:rsidR="0035738F" w:rsidRPr="00647AFD">
        <w:rPr>
          <w:b w:val="0"/>
          <w:bCs/>
        </w:rPr>
        <w:t>F</w:t>
      </w:r>
      <w:r w:rsidRPr="00647AFD">
        <w:rPr>
          <w:b w:val="0"/>
          <w:bCs/>
        </w:rPr>
        <w:t xml:space="preserve">: Funding Principles for Fee-Free TAFE Tranche 2  </w:t>
      </w:r>
    </w:p>
    <w:p w14:paraId="4D9D050F" w14:textId="77777777" w:rsidR="0029427C" w:rsidRPr="003351E6" w:rsidRDefault="00CD24A0">
      <w:pPr>
        <w:spacing w:after="0" w:line="259" w:lineRule="auto"/>
        <w:ind w:left="0" w:firstLine="0"/>
      </w:pPr>
      <w:r w:rsidRPr="003351E6">
        <w:rPr>
          <w:color w:val="2E74B5"/>
          <w:sz w:val="24"/>
        </w:rPr>
        <w:t xml:space="preserve"> </w:t>
      </w:r>
    </w:p>
    <w:p w14:paraId="1BD7FD79" w14:textId="77777777" w:rsidR="0029427C" w:rsidRPr="003351E6" w:rsidRDefault="00CD24A0">
      <w:pPr>
        <w:pStyle w:val="Heading2"/>
        <w:ind w:left="-5"/>
      </w:pPr>
      <w:r w:rsidRPr="003351E6">
        <w:t xml:space="preserve">Priority Learners  </w:t>
      </w:r>
    </w:p>
    <w:p w14:paraId="4823C972" w14:textId="77777777" w:rsidR="0029427C" w:rsidRPr="003351E6" w:rsidRDefault="00CD24A0">
      <w:pPr>
        <w:spacing w:after="5" w:line="250" w:lineRule="auto"/>
        <w:ind w:left="355" w:hanging="370"/>
      </w:pPr>
      <w:r w:rsidRPr="003351E6">
        <w:rPr>
          <w:sz w:val="24"/>
        </w:rPr>
        <w:t>1.</w:t>
      </w:r>
      <w:r w:rsidRPr="003351E6">
        <w:rPr>
          <w:rFonts w:eastAsia="Arial"/>
          <w:sz w:val="24"/>
        </w:rPr>
        <w:t xml:space="preserve"> </w:t>
      </w:r>
      <w:r w:rsidRPr="003351E6">
        <w:rPr>
          <w:sz w:val="24"/>
        </w:rPr>
        <w:t xml:space="preserve">States will administer learner eligibility for FFTT2 as described in their Implementation Plan, prioritising cohorts including First Nations Australians, young people (17-24), people out of work or receiving income support, unpaid carers, women facing economic insecurity, women undertaking study in non-traditional fields, people with disability and certain categories of visa holders.  </w:t>
      </w:r>
    </w:p>
    <w:p w14:paraId="1FF406FD" w14:textId="77777777" w:rsidR="0029427C" w:rsidRPr="003351E6" w:rsidRDefault="00CD24A0">
      <w:pPr>
        <w:numPr>
          <w:ilvl w:val="0"/>
          <w:numId w:val="7"/>
        </w:numPr>
        <w:spacing w:after="5" w:line="250" w:lineRule="auto"/>
        <w:ind w:hanging="360"/>
      </w:pPr>
      <w:r w:rsidRPr="003351E6">
        <w:rPr>
          <w:sz w:val="24"/>
        </w:rPr>
        <w:t xml:space="preserve">In this context, States will continue to ensure priority groups are incorporated in local eligibility arrangements and continue marketing FFTT2 to those priority groups.    </w:t>
      </w:r>
    </w:p>
    <w:p w14:paraId="6FBCD2F3" w14:textId="77777777" w:rsidR="0029427C" w:rsidRPr="003351E6" w:rsidRDefault="00CD24A0">
      <w:pPr>
        <w:numPr>
          <w:ilvl w:val="0"/>
          <w:numId w:val="7"/>
        </w:numPr>
        <w:spacing w:after="5" w:line="250" w:lineRule="auto"/>
        <w:ind w:hanging="360"/>
      </w:pPr>
      <w:r w:rsidRPr="003351E6">
        <w:rPr>
          <w:sz w:val="24"/>
        </w:rPr>
        <w:t xml:space="preserve">States will advise on any changes to eligibility through their quarterly reports. </w:t>
      </w:r>
    </w:p>
    <w:p w14:paraId="39F5B993" w14:textId="77777777" w:rsidR="0029427C" w:rsidRPr="003351E6" w:rsidRDefault="00CD24A0">
      <w:pPr>
        <w:pStyle w:val="Heading2"/>
        <w:ind w:left="-5"/>
      </w:pPr>
      <w:r w:rsidRPr="003351E6">
        <w:t xml:space="preserve">Training in scope of funding  </w:t>
      </w:r>
    </w:p>
    <w:p w14:paraId="22DD1BA3" w14:textId="77777777" w:rsidR="0029427C" w:rsidRPr="003351E6" w:rsidRDefault="00CD24A0">
      <w:pPr>
        <w:numPr>
          <w:ilvl w:val="0"/>
          <w:numId w:val="8"/>
        </w:numPr>
        <w:spacing w:after="5" w:line="250" w:lineRule="auto"/>
        <w:ind w:hanging="360"/>
      </w:pPr>
      <w:r w:rsidRPr="003351E6">
        <w:rPr>
          <w:sz w:val="24"/>
        </w:rPr>
        <w:t xml:space="preserve">States will continue to determine the courses (accredited qualifications and short courses) to be funded under this Agreement to deliver national priorities. Funding under this Agreement for State-based priorities will be agreed in implementation plans. National areas of priority are: </w:t>
      </w:r>
    </w:p>
    <w:p w14:paraId="177A10E3" w14:textId="77777777" w:rsidR="0029427C" w:rsidRPr="003351E6" w:rsidRDefault="00CD24A0">
      <w:pPr>
        <w:numPr>
          <w:ilvl w:val="1"/>
          <w:numId w:val="8"/>
        </w:numPr>
        <w:spacing w:after="0" w:line="259" w:lineRule="auto"/>
        <w:ind w:hanging="360"/>
      </w:pPr>
      <w:r w:rsidRPr="003351E6">
        <w:rPr>
          <w:sz w:val="24"/>
        </w:rPr>
        <w:t xml:space="preserve">care (aged care, childcare, health care, disability care)    </w:t>
      </w:r>
    </w:p>
    <w:p w14:paraId="40E691AE" w14:textId="77777777" w:rsidR="0029427C" w:rsidRPr="003351E6" w:rsidRDefault="00CD24A0">
      <w:pPr>
        <w:numPr>
          <w:ilvl w:val="1"/>
          <w:numId w:val="8"/>
        </w:numPr>
        <w:spacing w:after="0" w:line="259" w:lineRule="auto"/>
        <w:ind w:hanging="360"/>
      </w:pPr>
      <w:r w:rsidRPr="003351E6">
        <w:rPr>
          <w:sz w:val="24"/>
        </w:rPr>
        <w:t xml:space="preserve">technology and digital   </w:t>
      </w:r>
    </w:p>
    <w:p w14:paraId="686FA968" w14:textId="77777777" w:rsidR="0029427C" w:rsidRPr="003351E6" w:rsidRDefault="00CD24A0">
      <w:pPr>
        <w:numPr>
          <w:ilvl w:val="1"/>
          <w:numId w:val="8"/>
        </w:numPr>
        <w:spacing w:after="0" w:line="259" w:lineRule="auto"/>
        <w:ind w:hanging="360"/>
      </w:pPr>
      <w:r w:rsidRPr="003351E6">
        <w:rPr>
          <w:sz w:val="24"/>
        </w:rPr>
        <w:t xml:space="preserve">hospitality and tourism    </w:t>
      </w:r>
    </w:p>
    <w:p w14:paraId="1EC2FBE3" w14:textId="77777777" w:rsidR="0029427C" w:rsidRPr="003351E6" w:rsidRDefault="00CD24A0">
      <w:pPr>
        <w:numPr>
          <w:ilvl w:val="1"/>
          <w:numId w:val="8"/>
        </w:numPr>
        <w:spacing w:after="5" w:line="250" w:lineRule="auto"/>
        <w:ind w:hanging="360"/>
      </w:pPr>
      <w:r w:rsidRPr="003351E6">
        <w:rPr>
          <w:sz w:val="24"/>
        </w:rPr>
        <w:t xml:space="preserve">construction  </w:t>
      </w:r>
    </w:p>
    <w:p w14:paraId="3945E5AB" w14:textId="77777777" w:rsidR="0029427C" w:rsidRPr="003351E6" w:rsidRDefault="00CD24A0">
      <w:pPr>
        <w:numPr>
          <w:ilvl w:val="1"/>
          <w:numId w:val="8"/>
        </w:numPr>
        <w:spacing w:after="0" w:line="259" w:lineRule="auto"/>
        <w:ind w:hanging="360"/>
      </w:pPr>
      <w:r w:rsidRPr="003351E6">
        <w:rPr>
          <w:sz w:val="24"/>
        </w:rPr>
        <w:t xml:space="preserve">agriculture, and    </w:t>
      </w:r>
    </w:p>
    <w:p w14:paraId="49889F6C" w14:textId="77777777" w:rsidR="0029427C" w:rsidRPr="003351E6" w:rsidRDefault="00CD24A0">
      <w:pPr>
        <w:numPr>
          <w:ilvl w:val="1"/>
          <w:numId w:val="8"/>
        </w:numPr>
        <w:spacing w:after="0" w:line="259" w:lineRule="auto"/>
        <w:ind w:hanging="360"/>
      </w:pPr>
      <w:r w:rsidRPr="003351E6">
        <w:rPr>
          <w:sz w:val="24"/>
        </w:rPr>
        <w:t xml:space="preserve">sovereign capability (for example manufacturing, and defence).     </w:t>
      </w:r>
    </w:p>
    <w:p w14:paraId="1958C4F5" w14:textId="77777777" w:rsidR="0029427C" w:rsidRPr="003351E6" w:rsidRDefault="00CD24A0">
      <w:pPr>
        <w:numPr>
          <w:ilvl w:val="0"/>
          <w:numId w:val="8"/>
        </w:numPr>
        <w:spacing w:after="5" w:line="250" w:lineRule="auto"/>
        <w:ind w:hanging="360"/>
      </w:pPr>
      <w:r w:rsidRPr="003351E6">
        <w:rPr>
          <w:sz w:val="24"/>
        </w:rPr>
        <w:t>The VET Workforce will be included as a new national priority from 1 January 2024</w:t>
      </w:r>
      <w:r w:rsidRPr="003351E6">
        <w:rPr>
          <w:b/>
          <w:sz w:val="24"/>
        </w:rPr>
        <w:t xml:space="preserve"> </w:t>
      </w:r>
      <w:r w:rsidRPr="003351E6">
        <w:rPr>
          <w:sz w:val="24"/>
        </w:rPr>
        <w:t xml:space="preserve"> </w:t>
      </w:r>
    </w:p>
    <w:p w14:paraId="7D88B2DB" w14:textId="77777777" w:rsidR="0029427C" w:rsidRPr="003351E6" w:rsidRDefault="00CD24A0">
      <w:pPr>
        <w:numPr>
          <w:ilvl w:val="0"/>
          <w:numId w:val="8"/>
        </w:numPr>
        <w:spacing w:after="5" w:line="250" w:lineRule="auto"/>
        <w:ind w:hanging="360"/>
      </w:pPr>
      <w:r w:rsidRPr="003351E6">
        <w:rPr>
          <w:sz w:val="24"/>
        </w:rPr>
        <w:t xml:space="preserve">States will provide estimates of the number of places for each national priority in their Implementation Plans, based on previous delivery patterns. These numbers will be indicative of expected demand.  </w:t>
      </w:r>
    </w:p>
    <w:p w14:paraId="0042832F" w14:textId="77777777" w:rsidR="0029427C" w:rsidRPr="003351E6" w:rsidRDefault="00CD24A0">
      <w:pPr>
        <w:numPr>
          <w:ilvl w:val="0"/>
          <w:numId w:val="8"/>
        </w:numPr>
        <w:spacing w:after="5" w:line="250" w:lineRule="auto"/>
        <w:ind w:hanging="360"/>
      </w:pPr>
      <w:r w:rsidRPr="003351E6">
        <w:rPr>
          <w:sz w:val="24"/>
        </w:rPr>
        <w:t xml:space="preserve">A focus on these priority sectors would not preclude allocation to other priority skill shortage areas as identified and agreed through SWMC. </w:t>
      </w:r>
    </w:p>
    <w:p w14:paraId="12AF4CDD" w14:textId="77777777" w:rsidR="0029427C" w:rsidRPr="003351E6" w:rsidRDefault="00CD24A0">
      <w:pPr>
        <w:numPr>
          <w:ilvl w:val="0"/>
          <w:numId w:val="8"/>
        </w:numPr>
        <w:spacing w:after="5" w:line="250" w:lineRule="auto"/>
        <w:ind w:hanging="360"/>
      </w:pPr>
      <w:r w:rsidRPr="003351E6">
        <w:rPr>
          <w:sz w:val="24"/>
        </w:rPr>
        <w:t xml:space="preserve">FFTT2 will be delivered by registered training providers recognised as a TAFE or public dual sector higher education provider, including TAFE </w:t>
      </w:r>
      <w:proofErr w:type="spellStart"/>
      <w:r w:rsidRPr="003351E6">
        <w:rPr>
          <w:sz w:val="24"/>
        </w:rPr>
        <w:t>auspicing</w:t>
      </w:r>
      <w:proofErr w:type="spellEnd"/>
      <w:r w:rsidRPr="003351E6">
        <w:rPr>
          <w:sz w:val="24"/>
        </w:rPr>
        <w:t xml:space="preserve"> or partnership arrangements. In limited circumstances delivery may continue to include community training providers or Indigenous training providers where they are better placed to deliver specialist training, as agreed within Implementation Plans.   </w:t>
      </w:r>
    </w:p>
    <w:p w14:paraId="6A2462E5" w14:textId="77777777" w:rsidR="0029427C" w:rsidRPr="003351E6" w:rsidRDefault="00CD24A0">
      <w:pPr>
        <w:numPr>
          <w:ilvl w:val="0"/>
          <w:numId w:val="8"/>
        </w:numPr>
        <w:spacing w:after="5" w:line="250" w:lineRule="auto"/>
        <w:ind w:hanging="360"/>
      </w:pPr>
      <w:r w:rsidRPr="003351E6">
        <w:rPr>
          <w:sz w:val="24"/>
        </w:rPr>
        <w:t xml:space="preserve">The Commonwealth and States may, by exception, agree to specific bilateral training delivery arrangements through Implementation Plans.   </w:t>
      </w:r>
    </w:p>
    <w:p w14:paraId="7BB022F3" w14:textId="1D4DF897" w:rsidR="0029427C" w:rsidRPr="003351E6" w:rsidRDefault="00CD24A0" w:rsidP="557806A7">
      <w:pPr>
        <w:numPr>
          <w:ilvl w:val="0"/>
          <w:numId w:val="8"/>
        </w:numPr>
        <w:spacing w:after="5" w:line="250" w:lineRule="auto"/>
        <w:ind w:hanging="360"/>
        <w:rPr>
          <w:sz w:val="24"/>
        </w:rPr>
      </w:pPr>
      <w:r w:rsidRPr="557806A7">
        <w:rPr>
          <w:sz w:val="24"/>
        </w:rPr>
        <w:t xml:space="preserve">Commonwealth Government payments under this Agreement will be directed to State Governments, which will manage the distribution of funds in line with this Agreement and according to their policies and procedures. </w:t>
      </w:r>
    </w:p>
    <w:p w14:paraId="10F2E4A2" w14:textId="2DA4B7DE" w:rsidR="0029427C" w:rsidRPr="003351E6" w:rsidRDefault="00CD24A0" w:rsidP="557806A7">
      <w:pPr>
        <w:spacing w:after="5" w:line="250" w:lineRule="auto"/>
        <w:ind w:left="360" w:hanging="360"/>
      </w:pPr>
      <w:r w:rsidRPr="557806A7">
        <w:rPr>
          <w:color w:val="2E74B5"/>
          <w:sz w:val="24"/>
        </w:rPr>
        <w:t xml:space="preserve">Enrolment Period  </w:t>
      </w:r>
    </w:p>
    <w:p w14:paraId="5139E70E" w14:textId="77777777" w:rsidR="0029427C" w:rsidRPr="003351E6" w:rsidRDefault="00CD24A0">
      <w:pPr>
        <w:numPr>
          <w:ilvl w:val="0"/>
          <w:numId w:val="8"/>
        </w:numPr>
        <w:spacing w:after="5" w:line="250" w:lineRule="auto"/>
        <w:ind w:hanging="360"/>
      </w:pPr>
      <w:r w:rsidRPr="003351E6">
        <w:rPr>
          <w:sz w:val="24"/>
        </w:rPr>
        <w:t xml:space="preserve">Enrolments from the time of signing this Deed of Variation to 31 December 2026 will be eligible unless varied in Implementation Plans.  </w:t>
      </w:r>
    </w:p>
    <w:p w14:paraId="3561D383" w14:textId="77777777" w:rsidR="0029427C" w:rsidRPr="003351E6" w:rsidRDefault="00CD24A0">
      <w:pPr>
        <w:pStyle w:val="Heading2"/>
        <w:ind w:left="-5"/>
      </w:pPr>
      <w:r w:rsidRPr="003351E6">
        <w:t xml:space="preserve">Course Pricing  </w:t>
      </w:r>
    </w:p>
    <w:p w14:paraId="04FC10C0" w14:textId="77777777" w:rsidR="0029427C" w:rsidRPr="003351E6" w:rsidRDefault="00CD24A0">
      <w:pPr>
        <w:spacing w:after="5" w:line="250" w:lineRule="auto"/>
        <w:ind w:left="355" w:hanging="370"/>
      </w:pPr>
      <w:r w:rsidRPr="003351E6">
        <w:rPr>
          <w:sz w:val="24"/>
        </w:rPr>
        <w:t>10.</w:t>
      </w:r>
      <w:r w:rsidRPr="003351E6">
        <w:rPr>
          <w:rFonts w:eastAsia="Arial"/>
          <w:sz w:val="24"/>
        </w:rPr>
        <w:t xml:space="preserve"> </w:t>
      </w:r>
      <w:r w:rsidRPr="003351E6">
        <w:rPr>
          <w:sz w:val="24"/>
        </w:rPr>
        <w:t xml:space="preserve">States will use their current pricing policies to set the price of FFTT2 training places. In doing so, they will be informed by advice from Commonwealth Government and State and Territory Government agencies. States’ current pricing policies are subject to change and the price set </w:t>
      </w:r>
    </w:p>
    <w:p w14:paraId="551B4627" w14:textId="77777777" w:rsidR="0029427C" w:rsidRPr="003351E6" w:rsidRDefault="00CD24A0">
      <w:pPr>
        <w:spacing w:after="5" w:line="250" w:lineRule="auto"/>
        <w:ind w:left="360" w:firstLine="0"/>
      </w:pPr>
      <w:r w:rsidRPr="003351E6">
        <w:rPr>
          <w:sz w:val="24"/>
        </w:rPr>
        <w:t xml:space="preserve">for the training places under this Agreement may be adjusted through a revised Implementation Plan. </w:t>
      </w:r>
    </w:p>
    <w:p w14:paraId="5C80216B" w14:textId="03EA3EDA" w:rsidR="0029427C" w:rsidRPr="003351E6" w:rsidRDefault="00CD24A0" w:rsidP="002D1860">
      <w:pPr>
        <w:spacing w:after="0" w:line="259" w:lineRule="auto"/>
        <w:ind w:left="0" w:firstLine="0"/>
      </w:pPr>
      <w:r w:rsidRPr="003351E6">
        <w:rPr>
          <w:sz w:val="24"/>
        </w:rPr>
        <w:t xml:space="preserve"> </w:t>
      </w:r>
      <w:r w:rsidRPr="003351E6">
        <w:t xml:space="preserve">Reporting Arrangements  </w:t>
      </w:r>
    </w:p>
    <w:p w14:paraId="3A8EEEEC" w14:textId="77777777" w:rsidR="0029427C" w:rsidRPr="003351E6" w:rsidRDefault="00CD24A0">
      <w:pPr>
        <w:numPr>
          <w:ilvl w:val="0"/>
          <w:numId w:val="9"/>
        </w:numPr>
        <w:spacing w:after="5" w:line="250" w:lineRule="auto"/>
        <w:ind w:hanging="360"/>
      </w:pPr>
      <w:r w:rsidRPr="003351E6">
        <w:rPr>
          <w:sz w:val="24"/>
        </w:rPr>
        <w:lastRenderedPageBreak/>
        <w:t xml:space="preserve">The States will provide reports in accordance with Part 3 aligned with the reporting templates provided through the Agreement, in addition to new quarterly reports on savings (estimated or equivalent) for students enrolled in FFTT2. </w:t>
      </w:r>
    </w:p>
    <w:p w14:paraId="36CE7009" w14:textId="77777777" w:rsidR="00EA4D70" w:rsidRPr="00BA17D3" w:rsidRDefault="00CD24A0">
      <w:pPr>
        <w:numPr>
          <w:ilvl w:val="0"/>
          <w:numId w:val="9"/>
        </w:numPr>
        <w:spacing w:after="5" w:line="250" w:lineRule="auto"/>
        <w:ind w:hanging="360"/>
      </w:pPr>
      <w:r w:rsidRPr="003351E6">
        <w:rPr>
          <w:sz w:val="24"/>
        </w:rPr>
        <w:t xml:space="preserve">The Commonwealth may share reports set out in Part 3 with any Commonwealth entity for information, reporting and promotion purposes. </w:t>
      </w:r>
    </w:p>
    <w:p w14:paraId="1870A08A" w14:textId="1C926236" w:rsidR="0029427C" w:rsidRPr="003351E6" w:rsidRDefault="00CD24A0" w:rsidP="00BA17D3">
      <w:pPr>
        <w:spacing w:after="5" w:line="250" w:lineRule="auto"/>
        <w:ind w:left="0" w:firstLine="0"/>
      </w:pPr>
      <w:r w:rsidRPr="003351E6">
        <w:rPr>
          <w:color w:val="2E74B5"/>
          <w:sz w:val="24"/>
        </w:rPr>
        <w:t xml:space="preserve">Unused funding  </w:t>
      </w:r>
    </w:p>
    <w:p w14:paraId="33CB8894" w14:textId="77777777" w:rsidR="0029427C" w:rsidRPr="003351E6" w:rsidRDefault="00CD24A0">
      <w:pPr>
        <w:numPr>
          <w:ilvl w:val="0"/>
          <w:numId w:val="9"/>
        </w:numPr>
        <w:spacing w:after="5" w:line="250" w:lineRule="auto"/>
        <w:ind w:hanging="360"/>
      </w:pPr>
      <w:r w:rsidRPr="003351E6">
        <w:rPr>
          <w:sz w:val="24"/>
        </w:rPr>
        <w:t xml:space="preserve">Where a student enrols in a training place funded through FFTT2 and then withdraws after the State has received the related milestone payment, the State agrees to redirect that amount back into FFTT2 to support additional places.   </w:t>
      </w:r>
    </w:p>
    <w:p w14:paraId="22436352" w14:textId="77777777" w:rsidR="0029427C" w:rsidRPr="003351E6" w:rsidRDefault="00CD24A0">
      <w:pPr>
        <w:numPr>
          <w:ilvl w:val="0"/>
          <w:numId w:val="9"/>
        </w:numPr>
        <w:spacing w:after="5" w:line="250" w:lineRule="auto"/>
        <w:ind w:hanging="360"/>
      </w:pPr>
      <w:r w:rsidRPr="003351E6">
        <w:rPr>
          <w:sz w:val="24"/>
        </w:rPr>
        <w:t xml:space="preserve">Where there is unallocated funding left over at the end of 2026, States agree to invest any such amount in Fee-Free TAFE beyond 2026, where practicable, in line with the intent of this Agreement. Where this is not practicable, any such funds will be invested into delivery of TAFE courses. </w:t>
      </w:r>
    </w:p>
    <w:p w14:paraId="0E45F431" w14:textId="77777777" w:rsidR="0029427C" w:rsidRPr="003351E6" w:rsidRDefault="00CD24A0">
      <w:pPr>
        <w:pStyle w:val="Heading2"/>
        <w:ind w:left="-5"/>
      </w:pPr>
      <w:r w:rsidRPr="003351E6">
        <w:t xml:space="preserve">Promotion of FFTT2  </w:t>
      </w:r>
    </w:p>
    <w:p w14:paraId="2CB5C681" w14:textId="77777777" w:rsidR="0029427C" w:rsidRPr="003351E6" w:rsidRDefault="00CD24A0">
      <w:pPr>
        <w:numPr>
          <w:ilvl w:val="0"/>
          <w:numId w:val="10"/>
        </w:numPr>
        <w:spacing w:after="5" w:line="250" w:lineRule="auto"/>
        <w:ind w:firstLine="0"/>
      </w:pPr>
      <w:r w:rsidRPr="003351E6">
        <w:rPr>
          <w:sz w:val="24"/>
        </w:rPr>
        <w:t xml:space="preserve">All governments will take steps to promote access to Fee-Free TAFE training.   </w:t>
      </w:r>
    </w:p>
    <w:p w14:paraId="548D205F" w14:textId="59BB1F84" w:rsidR="0029427C" w:rsidRPr="003351E6" w:rsidRDefault="00CD24A0" w:rsidP="0071647D">
      <w:pPr>
        <w:numPr>
          <w:ilvl w:val="0"/>
          <w:numId w:val="10"/>
        </w:numPr>
        <w:spacing w:after="0" w:line="240" w:lineRule="auto"/>
        <w:ind w:firstLine="0"/>
      </w:pPr>
      <w:r w:rsidRPr="003351E6">
        <w:rPr>
          <w:sz w:val="24"/>
        </w:rPr>
        <w:t>States and the Commonwealth will make best efforts to ensure they consult on the natur</w:t>
      </w:r>
      <w:r w:rsidR="0071647D">
        <w:rPr>
          <w:sz w:val="24"/>
        </w:rPr>
        <w:t>e</w:t>
      </w:r>
      <w:r w:rsidRPr="0071647D">
        <w:rPr>
          <w:sz w:val="24"/>
        </w:rPr>
        <w:t xml:space="preserve"> and content of any events, announcements, promotional activity, or publicity related to FFTT2. </w:t>
      </w:r>
      <w:r w:rsidRPr="0071647D">
        <w:rPr>
          <w:color w:val="2E74B5"/>
          <w:sz w:val="24"/>
        </w:rPr>
        <w:t xml:space="preserve">Definitions:   </w:t>
      </w:r>
    </w:p>
    <w:p w14:paraId="451FD0BA" w14:textId="77777777" w:rsidR="0029427C" w:rsidRPr="003351E6" w:rsidRDefault="00CD24A0">
      <w:pPr>
        <w:numPr>
          <w:ilvl w:val="0"/>
          <w:numId w:val="10"/>
        </w:numPr>
        <w:spacing w:after="5" w:line="250" w:lineRule="auto"/>
        <w:ind w:firstLine="0"/>
      </w:pPr>
      <w:r w:rsidRPr="003351E6">
        <w:rPr>
          <w:sz w:val="24"/>
        </w:rPr>
        <w:t xml:space="preserve">For the purposes of this Agreement and FFTT2:   </w:t>
      </w:r>
    </w:p>
    <w:p w14:paraId="70973ED8" w14:textId="77777777" w:rsidR="0029427C" w:rsidRPr="003351E6" w:rsidRDefault="00CD24A0">
      <w:pPr>
        <w:numPr>
          <w:ilvl w:val="1"/>
          <w:numId w:val="10"/>
        </w:numPr>
        <w:spacing w:after="5" w:line="250" w:lineRule="auto"/>
        <w:ind w:hanging="286"/>
      </w:pPr>
      <w:r w:rsidRPr="003351E6">
        <w:rPr>
          <w:b/>
          <w:sz w:val="24"/>
        </w:rPr>
        <w:t>Existing Training Place</w:t>
      </w:r>
      <w:r w:rsidRPr="003351E6">
        <w:rPr>
          <w:sz w:val="24"/>
        </w:rPr>
        <w:t xml:space="preserve"> means a training place identified by the State as a current place in agreed priority qualifications and/or for priority learners, where the tuition fee component is met from the Fund</w:t>
      </w:r>
      <w:r w:rsidRPr="003351E6">
        <w:rPr>
          <w:i/>
          <w:sz w:val="24"/>
        </w:rPr>
        <w:t>.</w:t>
      </w:r>
      <w:r w:rsidRPr="003351E6">
        <w:rPr>
          <w:sz w:val="24"/>
        </w:rPr>
        <w:t xml:space="preserve"> States will outline their approach to managing existing places bilaterally.    </w:t>
      </w:r>
    </w:p>
    <w:p w14:paraId="7552C50C" w14:textId="77777777" w:rsidR="0029427C" w:rsidRPr="003351E6" w:rsidRDefault="00CD24A0">
      <w:pPr>
        <w:numPr>
          <w:ilvl w:val="1"/>
          <w:numId w:val="10"/>
        </w:numPr>
        <w:spacing w:after="5" w:line="250" w:lineRule="auto"/>
        <w:ind w:hanging="286"/>
      </w:pPr>
      <w:r w:rsidRPr="003351E6">
        <w:rPr>
          <w:b/>
          <w:sz w:val="24"/>
        </w:rPr>
        <w:t>Implementation Plan</w:t>
      </w:r>
      <w:r w:rsidRPr="003351E6">
        <w:rPr>
          <w:sz w:val="24"/>
        </w:rPr>
        <w:t xml:space="preserve"> is a bilateral plan outlining how FFTT2 will operate in practice, to be agreed with Commonwealth skills officials. The Implementation Plan template will be provided by the Commonwealth.   </w:t>
      </w:r>
    </w:p>
    <w:p w14:paraId="035E62D0" w14:textId="77777777" w:rsidR="0029427C" w:rsidRPr="003351E6" w:rsidRDefault="00CD24A0">
      <w:pPr>
        <w:pStyle w:val="Heading2"/>
        <w:ind w:left="-5"/>
      </w:pPr>
      <w:r w:rsidRPr="003351E6">
        <w:t xml:space="preserve">Fee-Free TAFE Tranche 2 Reporting Schedule  </w:t>
      </w:r>
      <w:r w:rsidRPr="003351E6">
        <w:rPr>
          <w:color w:val="000000"/>
        </w:rPr>
        <w:t xml:space="preserve"> </w:t>
      </w:r>
    </w:p>
    <w:p w14:paraId="57016601" w14:textId="77777777" w:rsidR="0029427C" w:rsidRDefault="00CD24A0">
      <w:pPr>
        <w:spacing w:after="5" w:line="250" w:lineRule="auto"/>
        <w:ind w:left="-15" w:firstLine="0"/>
        <w:rPr>
          <w:color w:val="2E74B5"/>
        </w:rPr>
      </w:pPr>
      <w:r w:rsidRPr="003351E6">
        <w:rPr>
          <w:sz w:val="24"/>
        </w:rPr>
        <w:t>A formal reporting template for the new data set of student cost savings will be supplied.</w:t>
      </w:r>
      <w:r w:rsidRPr="003351E6">
        <w:rPr>
          <w:color w:val="2E74B5"/>
        </w:rPr>
        <w:t xml:space="preserve"> </w:t>
      </w:r>
    </w:p>
    <w:p w14:paraId="64604FE4" w14:textId="77777777" w:rsidR="00E84284" w:rsidRDefault="00E84284">
      <w:pPr>
        <w:spacing w:after="5" w:line="250" w:lineRule="auto"/>
        <w:ind w:left="-15" w:firstLine="0"/>
        <w:rPr>
          <w:color w:val="2E74B5"/>
        </w:rPr>
      </w:pPr>
    </w:p>
    <w:p w14:paraId="65E1A0DE" w14:textId="77777777" w:rsidR="00E84284" w:rsidRDefault="00E84284">
      <w:pPr>
        <w:spacing w:after="5" w:line="250" w:lineRule="auto"/>
        <w:ind w:left="-15" w:firstLine="0"/>
        <w:rPr>
          <w:color w:val="2E74B5"/>
        </w:rPr>
        <w:sectPr w:rsidR="00E84284" w:rsidSect="00756AB5">
          <w:pgSz w:w="11906" w:h="16838" w:code="9"/>
          <w:pgMar w:top="760" w:right="1140" w:bottom="1338" w:left="1134" w:header="720" w:footer="731" w:gutter="0"/>
          <w:cols w:space="720"/>
          <w:docGrid w:linePitch="299"/>
        </w:sectPr>
      </w:pPr>
    </w:p>
    <w:p w14:paraId="2BE8B700" w14:textId="2A216033" w:rsidR="00CD789C" w:rsidRPr="003C1D29" w:rsidRDefault="00CD789C" w:rsidP="00CD789C">
      <w:pPr>
        <w:pStyle w:val="Heading1"/>
        <w:rPr>
          <w:b w:val="0"/>
          <w:bCs/>
        </w:rPr>
      </w:pPr>
      <w:r w:rsidRPr="003C1D29">
        <w:rPr>
          <w:b w:val="0"/>
          <w:bCs/>
        </w:rPr>
        <w:lastRenderedPageBreak/>
        <w:t xml:space="preserve">Appendix </w:t>
      </w:r>
      <w:r w:rsidR="0035738F" w:rsidRPr="003C1D29">
        <w:rPr>
          <w:b w:val="0"/>
          <w:bCs/>
        </w:rPr>
        <w:t>G</w:t>
      </w:r>
      <w:r w:rsidRPr="003C1D29">
        <w:rPr>
          <w:b w:val="0"/>
          <w:bCs/>
        </w:rPr>
        <w:t xml:space="preserve">: Funding Principles for Fee-Free Construction  </w:t>
      </w:r>
    </w:p>
    <w:p w14:paraId="22BF2FF8" w14:textId="3EFE4764" w:rsidR="00DB124D" w:rsidRPr="003C1D29" w:rsidRDefault="00DB124D" w:rsidP="00DB124D">
      <w:pPr>
        <w:pStyle w:val="Heading2"/>
        <w:ind w:left="-5"/>
      </w:pPr>
      <w:r w:rsidRPr="003C1D29">
        <w:t xml:space="preserve">Priority Learners  </w:t>
      </w:r>
    </w:p>
    <w:p w14:paraId="64E9418D" w14:textId="2AF01623" w:rsidR="00D92439" w:rsidRPr="003C1D29" w:rsidRDefault="0004487A" w:rsidP="00D92439">
      <w:pPr>
        <w:pStyle w:val="paragraph"/>
        <w:numPr>
          <w:ilvl w:val="0"/>
          <w:numId w:val="19"/>
        </w:numPr>
        <w:spacing w:before="0" w:beforeAutospacing="0" w:after="0" w:afterAutospacing="0"/>
        <w:textAlignment w:val="baseline"/>
        <w:rPr>
          <w:rStyle w:val="normaltextrun"/>
          <w:rFonts w:ascii="Calibri" w:hAnsi="Calibri" w:cs="Calibri"/>
        </w:rPr>
      </w:pPr>
      <w:r w:rsidRPr="003C1D29">
        <w:rPr>
          <w:rFonts w:ascii="Calibri" w:hAnsi="Calibri" w:cs="Calibri"/>
        </w:rPr>
        <w:t xml:space="preserve">States </w:t>
      </w:r>
      <w:r w:rsidR="00D92439" w:rsidRPr="003C1D29">
        <w:rPr>
          <w:rStyle w:val="normaltextrun"/>
          <w:rFonts w:ascii="Calibri" w:hAnsi="Calibri" w:cs="Calibri"/>
        </w:rPr>
        <w:t>will administer learner eligibility for Fee-Free Construction, as described in their Implementation Plan, prioritising cohorts including First Nations Australians, young people (17-24), people out of work or receiving income support, unpaid carers, women facing economic insecurity, women undertaking study in non-traditional fields, people with disability and certain categories of visa holders</w:t>
      </w:r>
      <w:r w:rsidR="0099761A" w:rsidRPr="003C1D29">
        <w:rPr>
          <w:rStyle w:val="normaltextrun"/>
          <w:rFonts w:ascii="Calibri" w:hAnsi="Calibri" w:cs="Calibri"/>
        </w:rPr>
        <w:t>:</w:t>
      </w:r>
      <w:r w:rsidR="00D92439" w:rsidRPr="003C1D29">
        <w:rPr>
          <w:rStyle w:val="normaltextrun"/>
          <w:rFonts w:ascii="Calibri" w:hAnsi="Calibri" w:cs="Calibri"/>
        </w:rPr>
        <w:t> </w:t>
      </w:r>
    </w:p>
    <w:p w14:paraId="61D41727" w14:textId="2FE77974" w:rsidR="00D92439" w:rsidRPr="003C1D29" w:rsidRDefault="00E57176" w:rsidP="00D92439">
      <w:pPr>
        <w:pStyle w:val="paragraph"/>
        <w:numPr>
          <w:ilvl w:val="0"/>
          <w:numId w:val="21"/>
        </w:numPr>
        <w:spacing w:before="0" w:beforeAutospacing="0" w:after="0" w:afterAutospacing="0"/>
        <w:textAlignment w:val="baseline"/>
        <w:rPr>
          <w:rFonts w:ascii="Calibri" w:hAnsi="Calibri" w:cs="Calibri"/>
        </w:rPr>
      </w:pPr>
      <w:r w:rsidRPr="003C1D29">
        <w:rPr>
          <w:rFonts w:ascii="Calibri" w:hAnsi="Calibri" w:cs="Calibri"/>
        </w:rPr>
        <w:t xml:space="preserve">In </w:t>
      </w:r>
      <w:r w:rsidR="0038035E" w:rsidRPr="003C1D29">
        <w:rPr>
          <w:rFonts w:ascii="Calibri" w:hAnsi="Calibri" w:cs="Calibri"/>
        </w:rPr>
        <w:t>this context, States will continue to ensure priority groups are incorporated in local eligibility arrangements and continue marketing Fee-Free Construction to those priority groups</w:t>
      </w:r>
      <w:r w:rsidR="0099761A" w:rsidRPr="003C1D29">
        <w:rPr>
          <w:rFonts w:ascii="Calibri" w:hAnsi="Calibri" w:cs="Calibri"/>
        </w:rPr>
        <w:t>; and</w:t>
      </w:r>
    </w:p>
    <w:p w14:paraId="758AAC46" w14:textId="3274B012" w:rsidR="00BC3C5C" w:rsidRPr="003C1D29" w:rsidRDefault="4DD70DDC" w:rsidP="01E6ECD3">
      <w:pPr>
        <w:pStyle w:val="ListParagraph"/>
        <w:numPr>
          <w:ilvl w:val="0"/>
          <w:numId w:val="21"/>
        </w:numPr>
        <w:spacing w:after="0"/>
        <w:ind w:left="1077" w:hanging="357"/>
        <w:rPr>
          <w:rFonts w:eastAsia="Times New Roman"/>
          <w:color w:val="auto"/>
          <w:kern w:val="0"/>
          <w:sz w:val="24"/>
          <w14:ligatures w14:val="none"/>
        </w:rPr>
      </w:pPr>
      <w:r w:rsidRPr="003C1D29">
        <w:rPr>
          <w:rFonts w:eastAsia="Times New Roman"/>
          <w:color w:val="auto"/>
          <w:kern w:val="0"/>
          <w:sz w:val="24"/>
          <w14:ligatures w14:val="none"/>
        </w:rPr>
        <w:t>States will advise o</w:t>
      </w:r>
      <w:r w:rsidR="3E54DD58" w:rsidRPr="003C1D29">
        <w:rPr>
          <w:rFonts w:eastAsia="Times New Roman"/>
          <w:color w:val="auto"/>
          <w:kern w:val="0"/>
          <w:sz w:val="24"/>
          <w14:ligatures w14:val="none"/>
        </w:rPr>
        <w:t>f</w:t>
      </w:r>
      <w:r w:rsidRPr="003C1D29">
        <w:rPr>
          <w:rFonts w:eastAsia="Times New Roman"/>
          <w:color w:val="auto"/>
          <w:kern w:val="0"/>
          <w:sz w:val="24"/>
          <w14:ligatures w14:val="none"/>
        </w:rPr>
        <w:t xml:space="preserve"> any changes to eligibility through their quarterly reports.</w:t>
      </w:r>
    </w:p>
    <w:p w14:paraId="4C7B812F" w14:textId="014D1C75" w:rsidR="009F3A51" w:rsidRPr="003C1D29" w:rsidRDefault="009F3A51" w:rsidP="007E0C38">
      <w:pPr>
        <w:pStyle w:val="Heading2"/>
        <w:spacing w:line="240" w:lineRule="auto"/>
        <w:ind w:left="-5" w:firstLine="0"/>
      </w:pPr>
      <w:r w:rsidRPr="003C1D29">
        <w:t xml:space="preserve">Training </w:t>
      </w:r>
      <w:r w:rsidR="00B234C4" w:rsidRPr="003C1D29">
        <w:t>P</w:t>
      </w:r>
      <w:r w:rsidR="00002C7E" w:rsidRPr="003C1D29">
        <w:t>laces</w:t>
      </w:r>
    </w:p>
    <w:p w14:paraId="34401155" w14:textId="77777777" w:rsidR="00DE6915" w:rsidRPr="003C1D29" w:rsidRDefault="00957FAD" w:rsidP="007E0C38">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 xml:space="preserve">Commencing 1 January 2025, the national target is 20,000 Fee-Free Construction places, including </w:t>
      </w:r>
      <w:r w:rsidR="00754063" w:rsidRPr="003C1D29">
        <w:rPr>
          <w:rFonts w:ascii="Calibri" w:hAnsi="Calibri" w:cs="Calibri"/>
        </w:rPr>
        <w:t xml:space="preserve">up to </w:t>
      </w:r>
      <w:r w:rsidRPr="003C1D29">
        <w:rPr>
          <w:rFonts w:ascii="Calibri" w:hAnsi="Calibri" w:cs="Calibri"/>
        </w:rPr>
        <w:t xml:space="preserve">5,000 pre-apprenticeships. </w:t>
      </w:r>
    </w:p>
    <w:p w14:paraId="3B03713D" w14:textId="1EE0E1B8" w:rsidR="00957FAD" w:rsidRPr="003C1D29" w:rsidRDefault="00957FAD" w:rsidP="007E0C38">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 xml:space="preserve">The total indicative numbers of Fee-Free Construction places in each jurisdiction in 2025 </w:t>
      </w:r>
      <w:r w:rsidR="00883D02" w:rsidRPr="003C1D29">
        <w:rPr>
          <w:rFonts w:ascii="Calibri" w:hAnsi="Calibri" w:cs="Calibri"/>
        </w:rPr>
        <w:t xml:space="preserve">and 2026 </w:t>
      </w:r>
      <w:r w:rsidR="005241BA" w:rsidRPr="003C1D29">
        <w:rPr>
          <w:rFonts w:ascii="Calibri" w:hAnsi="Calibri" w:cs="Calibri"/>
        </w:rPr>
        <w:t xml:space="preserve">calendar years </w:t>
      </w:r>
      <w:r w:rsidRPr="003C1D29">
        <w:rPr>
          <w:rFonts w:ascii="Calibri" w:hAnsi="Calibri" w:cs="Calibri"/>
        </w:rPr>
        <w:t xml:space="preserve">will be outlined in the State’s Implementation Plan. </w:t>
      </w:r>
    </w:p>
    <w:p w14:paraId="4C242E19" w14:textId="4F5D032E" w:rsidR="001E003A" w:rsidRPr="003C1D29" w:rsidRDefault="001E003A" w:rsidP="007E0C38">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 xml:space="preserve">States will </w:t>
      </w:r>
      <w:r w:rsidR="00874AA6" w:rsidRPr="003C1D29">
        <w:rPr>
          <w:rFonts w:ascii="Calibri" w:hAnsi="Calibri" w:cs="Calibri"/>
        </w:rPr>
        <w:t xml:space="preserve">provide estimates of the number of places for each </w:t>
      </w:r>
      <w:r w:rsidR="00643FD2" w:rsidRPr="003C1D29">
        <w:rPr>
          <w:rFonts w:ascii="Calibri" w:hAnsi="Calibri" w:cs="Calibri"/>
        </w:rPr>
        <w:t>course</w:t>
      </w:r>
      <w:r w:rsidR="00874AA6" w:rsidRPr="003C1D29">
        <w:rPr>
          <w:rFonts w:ascii="Calibri" w:hAnsi="Calibri" w:cs="Calibri"/>
        </w:rPr>
        <w:t xml:space="preserve"> </w:t>
      </w:r>
      <w:r w:rsidR="00CE4680" w:rsidRPr="003C1D29">
        <w:rPr>
          <w:rFonts w:ascii="Calibri" w:hAnsi="Calibri" w:cs="Calibri"/>
        </w:rPr>
        <w:t xml:space="preserve">to be agreed </w:t>
      </w:r>
      <w:r w:rsidR="00874AA6" w:rsidRPr="003C1D29">
        <w:rPr>
          <w:rFonts w:ascii="Calibri" w:hAnsi="Calibri" w:cs="Calibri"/>
        </w:rPr>
        <w:t>in their Implementation Plans, based on previous delivery patterns</w:t>
      </w:r>
      <w:r w:rsidR="005C789F" w:rsidRPr="003C1D29">
        <w:rPr>
          <w:rFonts w:ascii="Calibri" w:hAnsi="Calibri" w:cs="Calibri"/>
        </w:rPr>
        <w:t xml:space="preserve"> and</w:t>
      </w:r>
      <w:r w:rsidR="00492EB6" w:rsidRPr="003C1D29">
        <w:rPr>
          <w:rFonts w:ascii="Calibri" w:hAnsi="Calibri" w:cs="Calibri"/>
        </w:rPr>
        <w:t>/or jurisdictional need</w:t>
      </w:r>
      <w:r w:rsidR="00874AA6" w:rsidRPr="003C1D29">
        <w:rPr>
          <w:rFonts w:ascii="Calibri" w:hAnsi="Calibri" w:cs="Calibri"/>
        </w:rPr>
        <w:t>. These numbers will be indicative of expected demand.</w:t>
      </w:r>
    </w:p>
    <w:p w14:paraId="339A1C38" w14:textId="3CCE46D4" w:rsidR="006D7D28" w:rsidRPr="003C1D29" w:rsidRDefault="006D7D28" w:rsidP="007E0C38">
      <w:pPr>
        <w:pStyle w:val="Heading2"/>
        <w:spacing w:line="240" w:lineRule="auto"/>
        <w:ind w:left="-5" w:firstLine="0"/>
      </w:pPr>
      <w:r w:rsidRPr="003C1D29">
        <w:t xml:space="preserve">Training in </w:t>
      </w:r>
      <w:r w:rsidR="00B234C4" w:rsidRPr="003C1D29">
        <w:t>S</w:t>
      </w:r>
      <w:r w:rsidRPr="003C1D29">
        <w:t xml:space="preserve">cope of </w:t>
      </w:r>
      <w:r w:rsidR="00B234C4" w:rsidRPr="003C1D29">
        <w:t>F</w:t>
      </w:r>
      <w:r w:rsidRPr="003C1D29">
        <w:t>unding</w:t>
      </w:r>
    </w:p>
    <w:p w14:paraId="43690B4A" w14:textId="41936EE4" w:rsidR="008967F7" w:rsidRPr="003C1D29" w:rsidRDefault="5B8F01E1" w:rsidP="01E6ECD3">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 xml:space="preserve">States will determine courses (accredited qualifications and short courses) to be funded under this Agreement </w:t>
      </w:r>
      <w:r w:rsidR="5070F4C9" w:rsidRPr="003C1D29">
        <w:rPr>
          <w:rFonts w:ascii="Calibri" w:hAnsi="Calibri" w:cs="Calibri"/>
        </w:rPr>
        <w:t xml:space="preserve">that are </w:t>
      </w:r>
      <w:r w:rsidRPr="003C1D29">
        <w:rPr>
          <w:rFonts w:ascii="Calibri" w:hAnsi="Calibri" w:cs="Calibri"/>
        </w:rPr>
        <w:t>relevant to the construction sector.</w:t>
      </w:r>
    </w:p>
    <w:p w14:paraId="2FE2FBF0" w14:textId="4595CB8A" w:rsidR="008967F7" w:rsidRPr="003C1D29" w:rsidRDefault="008967F7" w:rsidP="007E0C38">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States will specify an initial list of courses (</w:t>
      </w:r>
      <w:r w:rsidR="00980130" w:rsidRPr="003C1D29">
        <w:rPr>
          <w:rFonts w:ascii="Calibri" w:hAnsi="Calibri" w:cs="Calibri"/>
        </w:rPr>
        <w:t xml:space="preserve">accredited </w:t>
      </w:r>
      <w:r w:rsidRPr="003C1D29">
        <w:rPr>
          <w:rFonts w:ascii="Calibri" w:hAnsi="Calibri" w:cs="Calibri"/>
        </w:rPr>
        <w:t>qualifications and short courses) covered by this Schedule in their Implementation Plan, which will also address the indicative aggregate of full qualifications, short courses and pre-apprenticeships, how the list will service the Construction sector, and how the list may be updated.</w:t>
      </w:r>
    </w:p>
    <w:p w14:paraId="33A5D384" w14:textId="77777777" w:rsidR="00FC1BE8" w:rsidRPr="003C1D29" w:rsidRDefault="00FC1BE8" w:rsidP="00F6134C">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The Commonwealth and States may by exception agree to specific bilateral training delivery arrangements through Implementation Plans.</w:t>
      </w:r>
    </w:p>
    <w:p w14:paraId="30D1548B" w14:textId="7E86C727" w:rsidR="00F61793" w:rsidRPr="003C1D29" w:rsidRDefault="00F61793" w:rsidP="00F6134C">
      <w:pPr>
        <w:pStyle w:val="Heading2"/>
        <w:spacing w:line="240" w:lineRule="auto"/>
        <w:ind w:left="-5" w:firstLine="0"/>
      </w:pPr>
      <w:r w:rsidRPr="003C1D29">
        <w:t>Pre-Apprenticeships</w:t>
      </w:r>
    </w:p>
    <w:p w14:paraId="5230F97B" w14:textId="53FF2A7E" w:rsidR="0078760E" w:rsidRPr="003C1D29" w:rsidRDefault="0078760E" w:rsidP="1BA38AD6">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 xml:space="preserve">Pre-apprenticeships can provide students the opportunity to experience working within a specific industry and </w:t>
      </w:r>
      <w:r w:rsidR="00AB7566" w:rsidRPr="003C1D29">
        <w:rPr>
          <w:rFonts w:ascii="Calibri" w:hAnsi="Calibri" w:cs="Calibri"/>
        </w:rPr>
        <w:t xml:space="preserve">may </w:t>
      </w:r>
      <w:r w:rsidRPr="003C1D29">
        <w:rPr>
          <w:rFonts w:ascii="Calibri" w:hAnsi="Calibri" w:cs="Calibri"/>
        </w:rPr>
        <w:t>include</w:t>
      </w:r>
      <w:r w:rsidR="00B4112B" w:rsidRPr="003C1D29">
        <w:rPr>
          <w:rFonts w:ascii="Calibri" w:hAnsi="Calibri" w:cs="Calibri"/>
        </w:rPr>
        <w:t xml:space="preserve">, </w:t>
      </w:r>
      <w:r w:rsidRPr="003C1D29">
        <w:rPr>
          <w:rFonts w:ascii="Calibri" w:hAnsi="Calibri" w:cs="Calibri"/>
        </w:rPr>
        <w:t xml:space="preserve">but </w:t>
      </w:r>
      <w:r w:rsidR="0049285A" w:rsidRPr="003C1D29">
        <w:rPr>
          <w:rFonts w:ascii="Calibri" w:hAnsi="Calibri" w:cs="Calibri"/>
        </w:rPr>
        <w:t>are</w:t>
      </w:r>
      <w:r w:rsidRPr="003C1D29">
        <w:rPr>
          <w:rFonts w:ascii="Calibri" w:hAnsi="Calibri" w:cs="Calibri"/>
        </w:rPr>
        <w:t xml:space="preserve"> not limited to</w:t>
      </w:r>
      <w:r w:rsidR="0049285A" w:rsidRPr="003C1D29">
        <w:rPr>
          <w:rFonts w:ascii="Calibri" w:hAnsi="Calibri" w:cs="Calibri"/>
        </w:rPr>
        <w:t>,</w:t>
      </w:r>
      <w:r w:rsidRPr="003C1D29">
        <w:rPr>
          <w:rFonts w:ascii="Calibri" w:hAnsi="Calibri" w:cs="Calibri"/>
        </w:rPr>
        <w:t xml:space="preserve"> the following features: </w:t>
      </w:r>
    </w:p>
    <w:p w14:paraId="3BDFD307" w14:textId="77777777" w:rsidR="0078760E" w:rsidRPr="003C1D29" w:rsidRDefault="0078760E" w:rsidP="00F61793">
      <w:pPr>
        <w:pStyle w:val="paragraph"/>
        <w:numPr>
          <w:ilvl w:val="1"/>
          <w:numId w:val="19"/>
        </w:numPr>
        <w:spacing w:before="0" w:beforeAutospacing="0" w:after="0" w:afterAutospacing="0"/>
        <w:textAlignment w:val="baseline"/>
        <w:rPr>
          <w:rFonts w:ascii="Calibri" w:hAnsi="Calibri" w:cs="Calibri"/>
        </w:rPr>
      </w:pPr>
      <w:r w:rsidRPr="003C1D29">
        <w:rPr>
          <w:rFonts w:ascii="Calibri" w:hAnsi="Calibri" w:cs="Calibri"/>
        </w:rPr>
        <w:t xml:space="preserve">nationally recognised training products, with strong links to construction apprenticeship </w:t>
      </w:r>
      <w:proofErr w:type="gramStart"/>
      <w:r w:rsidRPr="003C1D29">
        <w:rPr>
          <w:rFonts w:ascii="Calibri" w:hAnsi="Calibri" w:cs="Calibri"/>
        </w:rPr>
        <w:t>pathways;</w:t>
      </w:r>
      <w:proofErr w:type="gramEnd"/>
      <w:r w:rsidRPr="003C1D29">
        <w:rPr>
          <w:rFonts w:ascii="Calibri" w:hAnsi="Calibri" w:cs="Calibri"/>
        </w:rPr>
        <w:t xml:space="preserve"> </w:t>
      </w:r>
    </w:p>
    <w:p w14:paraId="126EB273" w14:textId="342AFDFE" w:rsidR="00B84E03" w:rsidRPr="003C1D29" w:rsidRDefault="0078760E" w:rsidP="0078760E">
      <w:pPr>
        <w:pStyle w:val="paragraph"/>
        <w:numPr>
          <w:ilvl w:val="1"/>
          <w:numId w:val="19"/>
        </w:numPr>
        <w:spacing w:after="0"/>
        <w:textAlignment w:val="baseline"/>
        <w:rPr>
          <w:rFonts w:ascii="Calibri" w:hAnsi="Calibri" w:cs="Calibri"/>
        </w:rPr>
      </w:pPr>
      <w:r w:rsidRPr="003C1D29">
        <w:rPr>
          <w:rFonts w:ascii="Calibri" w:hAnsi="Calibri" w:cs="Calibri"/>
        </w:rPr>
        <w:t>a pathway into an Australian Apprenticeship or to additional</w:t>
      </w:r>
      <w:r w:rsidR="002C64C4" w:rsidRPr="003C1D29">
        <w:rPr>
          <w:rFonts w:ascii="Calibri" w:hAnsi="Calibri" w:cs="Calibri"/>
        </w:rPr>
        <w:t>/</w:t>
      </w:r>
      <w:r w:rsidR="00AB7566" w:rsidRPr="003C1D29">
        <w:rPr>
          <w:rFonts w:ascii="Calibri" w:hAnsi="Calibri" w:cs="Calibri"/>
        </w:rPr>
        <w:t>alternative</w:t>
      </w:r>
      <w:r w:rsidRPr="003C1D29">
        <w:rPr>
          <w:rFonts w:ascii="Calibri" w:hAnsi="Calibri" w:cs="Calibri"/>
        </w:rPr>
        <w:t xml:space="preserve"> </w:t>
      </w:r>
      <w:proofErr w:type="gramStart"/>
      <w:r w:rsidRPr="003C1D29">
        <w:rPr>
          <w:rFonts w:ascii="Calibri" w:hAnsi="Calibri" w:cs="Calibri"/>
        </w:rPr>
        <w:t>training</w:t>
      </w:r>
      <w:r w:rsidR="006A37A3" w:rsidRPr="003C1D29">
        <w:rPr>
          <w:rFonts w:ascii="Calibri" w:hAnsi="Calibri" w:cs="Calibri"/>
        </w:rPr>
        <w:t>;</w:t>
      </w:r>
      <w:proofErr w:type="gramEnd"/>
    </w:p>
    <w:p w14:paraId="14AF8A3D" w14:textId="5EF29E25" w:rsidR="0078760E" w:rsidRPr="003C1D29" w:rsidRDefault="002C64C4" w:rsidP="0078760E">
      <w:pPr>
        <w:pStyle w:val="paragraph"/>
        <w:numPr>
          <w:ilvl w:val="1"/>
          <w:numId w:val="19"/>
        </w:numPr>
        <w:spacing w:after="0"/>
        <w:textAlignment w:val="baseline"/>
        <w:rPr>
          <w:rFonts w:ascii="Calibri" w:hAnsi="Calibri" w:cs="Calibri"/>
        </w:rPr>
      </w:pPr>
      <w:r w:rsidRPr="003C1D29">
        <w:rPr>
          <w:rFonts w:ascii="Calibri" w:hAnsi="Calibri" w:cs="Calibri"/>
        </w:rPr>
        <w:t>availability of wrap-around student support services to support students into prospective employment or apprenticeship</w:t>
      </w:r>
      <w:r w:rsidR="00AB7566" w:rsidRPr="003C1D29">
        <w:rPr>
          <w:rFonts w:ascii="Calibri" w:hAnsi="Calibri" w:cs="Calibri"/>
        </w:rPr>
        <w:t xml:space="preserve"> opportunities; and/or</w:t>
      </w:r>
    </w:p>
    <w:p w14:paraId="1BAE4E2C" w14:textId="757EB76B" w:rsidR="001D33F7" w:rsidRPr="003C1D29" w:rsidRDefault="0078760E" w:rsidP="0078760E">
      <w:pPr>
        <w:pStyle w:val="paragraph"/>
        <w:numPr>
          <w:ilvl w:val="1"/>
          <w:numId w:val="19"/>
        </w:numPr>
        <w:spacing w:before="0" w:beforeAutospacing="0" w:after="0" w:afterAutospacing="0"/>
        <w:textAlignment w:val="baseline"/>
        <w:rPr>
          <w:rFonts w:ascii="Calibri" w:hAnsi="Calibri" w:cs="Calibri"/>
        </w:rPr>
      </w:pPr>
      <w:r w:rsidRPr="003C1D29">
        <w:rPr>
          <w:rFonts w:ascii="Calibri" w:hAnsi="Calibri" w:cs="Calibri"/>
        </w:rPr>
        <w:t>involve Group Training Organisations and industry to support access to employment opportunities in the construction sector</w:t>
      </w:r>
      <w:r w:rsidR="00335D8F" w:rsidRPr="003C1D29">
        <w:rPr>
          <w:rFonts w:ascii="Calibri" w:hAnsi="Calibri" w:cs="Calibri"/>
        </w:rPr>
        <w:t>.</w:t>
      </w:r>
    </w:p>
    <w:p w14:paraId="312A475A" w14:textId="0A946B80" w:rsidR="00336386" w:rsidRPr="003C1D29" w:rsidRDefault="004C13F1" w:rsidP="004C13F1">
      <w:pPr>
        <w:pStyle w:val="Heading2"/>
        <w:ind w:left="-5" w:firstLine="0"/>
      </w:pPr>
      <w:r w:rsidRPr="003C1D29">
        <w:t xml:space="preserve">Training </w:t>
      </w:r>
      <w:r w:rsidR="00B234C4" w:rsidRPr="003C1D29">
        <w:t>P</w:t>
      </w:r>
      <w:r w:rsidRPr="003C1D29">
        <w:t>roviders</w:t>
      </w:r>
    </w:p>
    <w:p w14:paraId="2BECBCDB" w14:textId="3FF28313" w:rsidR="00874AA6" w:rsidRPr="003C1D29" w:rsidRDefault="000F1638" w:rsidP="1BA38AD6">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 xml:space="preserve">Training providers </w:t>
      </w:r>
      <w:r w:rsidR="0010066B" w:rsidRPr="003C1D29">
        <w:rPr>
          <w:rFonts w:ascii="Calibri" w:hAnsi="Calibri" w:cs="Calibri"/>
        </w:rPr>
        <w:t xml:space="preserve">delivering the new Fee-Free construction places </w:t>
      </w:r>
      <w:r w:rsidR="00312342" w:rsidRPr="003C1D29">
        <w:rPr>
          <w:rFonts w:ascii="Calibri" w:hAnsi="Calibri" w:cs="Calibri"/>
        </w:rPr>
        <w:t xml:space="preserve">will be agreed through Implementation Plans and </w:t>
      </w:r>
      <w:r w:rsidR="00B068A5" w:rsidRPr="003C1D29">
        <w:rPr>
          <w:rFonts w:ascii="Calibri" w:hAnsi="Calibri" w:cs="Calibri"/>
        </w:rPr>
        <w:t xml:space="preserve">predominantly </w:t>
      </w:r>
      <w:r w:rsidR="00A2761E" w:rsidRPr="003C1D29">
        <w:rPr>
          <w:rFonts w:ascii="Calibri" w:hAnsi="Calibri" w:cs="Calibri"/>
        </w:rPr>
        <w:t>include TAFE</w:t>
      </w:r>
      <w:r w:rsidR="008C39BD" w:rsidRPr="003C1D29">
        <w:rPr>
          <w:rFonts w:ascii="Calibri" w:hAnsi="Calibri" w:cs="Calibri"/>
        </w:rPr>
        <w:t xml:space="preserve"> or public dual sector higher education providers </w:t>
      </w:r>
      <w:r w:rsidR="007A23D4" w:rsidRPr="003C1D29">
        <w:rPr>
          <w:rFonts w:ascii="Calibri" w:hAnsi="Calibri" w:cs="Calibri"/>
        </w:rPr>
        <w:t>as well as a</w:t>
      </w:r>
      <w:r w:rsidR="00312342" w:rsidRPr="003C1D29">
        <w:rPr>
          <w:rFonts w:ascii="Calibri" w:hAnsi="Calibri" w:cs="Calibri"/>
        </w:rPr>
        <w:t xml:space="preserve"> mix of private</w:t>
      </w:r>
      <w:r w:rsidR="005101AA" w:rsidRPr="003C1D29">
        <w:rPr>
          <w:rFonts w:ascii="Calibri" w:hAnsi="Calibri" w:cs="Calibri"/>
        </w:rPr>
        <w:t xml:space="preserve"> registered</w:t>
      </w:r>
      <w:r w:rsidR="00312342" w:rsidRPr="003C1D29">
        <w:rPr>
          <w:rFonts w:ascii="Calibri" w:hAnsi="Calibri" w:cs="Calibri"/>
        </w:rPr>
        <w:t xml:space="preserve"> training </w:t>
      </w:r>
      <w:r w:rsidR="7C5DB071" w:rsidRPr="003C1D29">
        <w:rPr>
          <w:rFonts w:ascii="Calibri" w:hAnsi="Calibri" w:cs="Calibri"/>
        </w:rPr>
        <w:t>organisations</w:t>
      </w:r>
      <w:r w:rsidR="00312342" w:rsidRPr="003C1D29">
        <w:rPr>
          <w:rFonts w:ascii="Calibri" w:hAnsi="Calibri" w:cs="Calibri"/>
        </w:rPr>
        <w:t xml:space="preserve"> and/or TAFE auspic</w:t>
      </w:r>
      <w:r w:rsidR="00063579" w:rsidRPr="003C1D29">
        <w:rPr>
          <w:rFonts w:ascii="Calibri" w:hAnsi="Calibri" w:cs="Calibri"/>
        </w:rPr>
        <w:t>e</w:t>
      </w:r>
      <w:r w:rsidR="00312342" w:rsidRPr="003C1D29">
        <w:rPr>
          <w:rFonts w:ascii="Calibri" w:hAnsi="Calibri" w:cs="Calibri"/>
        </w:rPr>
        <w:t xml:space="preserve"> or partnership arrangements.  </w:t>
      </w:r>
    </w:p>
    <w:p w14:paraId="7A369FA9" w14:textId="44068AB3" w:rsidR="00B52BE3" w:rsidRPr="003C1D29" w:rsidRDefault="00FA1871" w:rsidP="008A59B0">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Delivery of up to 5,000 pre-apprenticeships will be through TAFEs and registered training providers, including partnerships with Group Training Organisations, as agreed in bilateral Implementation Plans.</w:t>
      </w:r>
    </w:p>
    <w:p w14:paraId="602F62EE" w14:textId="0619BE2E" w:rsidR="003E5C78" w:rsidRPr="003C1D29" w:rsidRDefault="003E5C78" w:rsidP="3CF95ADD">
      <w:pPr>
        <w:pStyle w:val="Heading2"/>
        <w:ind w:left="-15" w:firstLine="0"/>
      </w:pPr>
      <w:r w:rsidRPr="003C1D29">
        <w:t>Enrolment Period </w:t>
      </w:r>
    </w:p>
    <w:p w14:paraId="0C41DD5C" w14:textId="2164DAC6" w:rsidR="00C00776" w:rsidRPr="003C1D29" w:rsidRDefault="001C3170" w:rsidP="61DD13B1">
      <w:pPr>
        <w:pStyle w:val="ListParagraph"/>
        <w:numPr>
          <w:ilvl w:val="0"/>
          <w:numId w:val="19"/>
        </w:numPr>
        <w:spacing w:after="5" w:line="250" w:lineRule="auto"/>
        <w:rPr>
          <w:sz w:val="24"/>
        </w:rPr>
      </w:pPr>
      <w:r w:rsidRPr="003C1D29">
        <w:rPr>
          <w:sz w:val="24"/>
        </w:rPr>
        <w:t xml:space="preserve">Enrolments </w:t>
      </w:r>
      <w:r w:rsidR="002E6957" w:rsidRPr="003C1D29">
        <w:rPr>
          <w:sz w:val="24"/>
        </w:rPr>
        <w:t xml:space="preserve">from the time of signing this </w:t>
      </w:r>
      <w:r w:rsidR="0092374B" w:rsidRPr="003C1D29">
        <w:rPr>
          <w:sz w:val="24"/>
        </w:rPr>
        <w:t xml:space="preserve">Schedule </w:t>
      </w:r>
      <w:r w:rsidR="002E6957" w:rsidRPr="003C1D29">
        <w:rPr>
          <w:sz w:val="24"/>
        </w:rPr>
        <w:t>to 31 December 202</w:t>
      </w:r>
      <w:r w:rsidR="009F53E8" w:rsidRPr="003C1D29">
        <w:rPr>
          <w:sz w:val="24"/>
        </w:rPr>
        <w:t>6</w:t>
      </w:r>
      <w:r w:rsidR="002E6957" w:rsidRPr="003C1D29">
        <w:rPr>
          <w:sz w:val="24"/>
        </w:rPr>
        <w:t>, will be eligible unless varied in Implementation Plans.</w:t>
      </w:r>
    </w:p>
    <w:p w14:paraId="338C9F65" w14:textId="77777777" w:rsidR="00137AE7" w:rsidRPr="003C1D29" w:rsidRDefault="00137AE7" w:rsidP="004027A5">
      <w:pPr>
        <w:pStyle w:val="Heading2"/>
        <w:ind w:left="-5"/>
      </w:pPr>
      <w:r w:rsidRPr="003C1D29">
        <w:lastRenderedPageBreak/>
        <w:t>Course Pricing </w:t>
      </w:r>
    </w:p>
    <w:p w14:paraId="614CB4EE" w14:textId="4D4CFE3F" w:rsidR="002E6957" w:rsidRPr="003C1D29" w:rsidRDefault="00137AE7" w:rsidP="1DFBE243">
      <w:pPr>
        <w:pStyle w:val="ListParagraph"/>
        <w:numPr>
          <w:ilvl w:val="0"/>
          <w:numId w:val="19"/>
        </w:numPr>
        <w:spacing w:after="5" w:line="250" w:lineRule="auto"/>
        <w:rPr>
          <w:sz w:val="24"/>
        </w:rPr>
      </w:pPr>
      <w:r w:rsidRPr="003C1D29">
        <w:rPr>
          <w:sz w:val="24"/>
        </w:rPr>
        <w:t xml:space="preserve">States </w:t>
      </w:r>
      <w:r w:rsidR="007C388A" w:rsidRPr="003C1D29">
        <w:rPr>
          <w:sz w:val="24"/>
        </w:rPr>
        <w:t xml:space="preserve">will use their current pricing policies to set the price of Fee-Free Construction training places. In doing so, they will be informed by advice from </w:t>
      </w:r>
      <w:r w:rsidR="05AD15C3" w:rsidRPr="003C1D29">
        <w:rPr>
          <w:sz w:val="24"/>
        </w:rPr>
        <w:t xml:space="preserve">the </w:t>
      </w:r>
      <w:r w:rsidR="007C388A" w:rsidRPr="003C1D29">
        <w:rPr>
          <w:sz w:val="24"/>
        </w:rPr>
        <w:t xml:space="preserve">Commonwealth Government and </w:t>
      </w:r>
      <w:r w:rsidR="00CF49F5" w:rsidRPr="003C1D29">
        <w:rPr>
          <w:sz w:val="24"/>
        </w:rPr>
        <w:t>S</w:t>
      </w:r>
      <w:r w:rsidR="007C388A" w:rsidRPr="003C1D29">
        <w:rPr>
          <w:sz w:val="24"/>
        </w:rPr>
        <w:t xml:space="preserve">tate and </w:t>
      </w:r>
      <w:r w:rsidR="00CF49F5" w:rsidRPr="003C1D29">
        <w:rPr>
          <w:sz w:val="24"/>
        </w:rPr>
        <w:t>T</w:t>
      </w:r>
      <w:r w:rsidR="007C388A" w:rsidRPr="003C1D29">
        <w:rPr>
          <w:sz w:val="24"/>
        </w:rPr>
        <w:t>erritory government agencies. States’ current pricing policies are subject to change and the price set for the training places under this Agreement may be adjusted through a revised Implementation Plan.</w:t>
      </w:r>
    </w:p>
    <w:p w14:paraId="1BD1E1E3" w14:textId="738BAA7E" w:rsidR="008800F0" w:rsidRPr="003C1D29" w:rsidRDefault="008800F0" w:rsidP="54DBD1A0">
      <w:pPr>
        <w:pStyle w:val="paragraph"/>
        <w:spacing w:before="0" w:beforeAutospacing="0" w:after="0" w:afterAutospacing="0"/>
        <w:textAlignment w:val="baseline"/>
        <w:rPr>
          <w:rFonts w:ascii="Calibri" w:eastAsia="Calibri" w:hAnsi="Calibri" w:cs="Calibri"/>
          <w:color w:val="2E74B5"/>
          <w:kern w:val="2"/>
          <w14:ligatures w14:val="standardContextual"/>
        </w:rPr>
      </w:pPr>
      <w:r w:rsidRPr="003C1D29">
        <w:rPr>
          <w:rFonts w:ascii="Calibri" w:eastAsia="Calibri" w:hAnsi="Calibri" w:cs="Calibri"/>
          <w:color w:val="2E74B5"/>
          <w:kern w:val="2"/>
          <w14:ligatures w14:val="standardContextual"/>
        </w:rPr>
        <w:t>Reporting Arrangements </w:t>
      </w:r>
    </w:p>
    <w:p w14:paraId="7E8F6994" w14:textId="667A2A39" w:rsidR="00F910B1" w:rsidRPr="003C1D29" w:rsidRDefault="006F0F77">
      <w:pPr>
        <w:pStyle w:val="ListParagraph"/>
        <w:numPr>
          <w:ilvl w:val="0"/>
          <w:numId w:val="19"/>
        </w:numPr>
        <w:spacing w:after="0"/>
        <w:textAlignment w:val="baseline"/>
      </w:pPr>
      <w:r w:rsidRPr="003C1D29">
        <w:rPr>
          <w:color w:val="auto"/>
          <w:sz w:val="24"/>
        </w:rPr>
        <w:t>The States will provide reports in accordance with Part 3 aligned with the reporting templates provided through the Agreement</w:t>
      </w:r>
      <w:r w:rsidR="006C5187" w:rsidRPr="003C1D29">
        <w:rPr>
          <w:color w:val="auto"/>
          <w:sz w:val="24"/>
        </w:rPr>
        <w:t xml:space="preserve"> for Fee-Free TAFE </w:t>
      </w:r>
      <w:r w:rsidR="00764612" w:rsidRPr="003C1D29">
        <w:rPr>
          <w:color w:val="auto"/>
          <w:sz w:val="24"/>
        </w:rPr>
        <w:t xml:space="preserve">Tranche </w:t>
      </w:r>
      <w:r w:rsidR="006C5187" w:rsidRPr="003C1D29">
        <w:rPr>
          <w:color w:val="auto"/>
          <w:sz w:val="24"/>
        </w:rPr>
        <w:t>2</w:t>
      </w:r>
      <w:r w:rsidRPr="003C1D29">
        <w:rPr>
          <w:color w:val="auto"/>
          <w:sz w:val="24"/>
        </w:rPr>
        <w:t>, for students enrolled in Fee-Free Construction</w:t>
      </w:r>
      <w:r w:rsidR="001E1943" w:rsidRPr="003C1D29">
        <w:rPr>
          <w:color w:val="auto"/>
          <w:sz w:val="24"/>
        </w:rPr>
        <w:t>, including</w:t>
      </w:r>
      <w:r w:rsidR="7086DFA9" w:rsidRPr="003C1D29">
        <w:rPr>
          <w:color w:val="auto"/>
          <w:sz w:val="24"/>
        </w:rPr>
        <w:t xml:space="preserve"> identifying and </w:t>
      </w:r>
      <w:r w:rsidR="001E1943" w:rsidRPr="003C1D29">
        <w:rPr>
          <w:color w:val="auto"/>
          <w:sz w:val="24"/>
        </w:rPr>
        <w:t>reporting on places for Fee-Free Construction</w:t>
      </w:r>
      <w:r w:rsidRPr="003C1D29">
        <w:rPr>
          <w:color w:val="auto"/>
          <w:sz w:val="24"/>
        </w:rPr>
        <w:t>.</w:t>
      </w:r>
    </w:p>
    <w:p w14:paraId="2A2C58CE" w14:textId="36769719" w:rsidR="008800F0" w:rsidRPr="003C1D29" w:rsidRDefault="00242496">
      <w:pPr>
        <w:pStyle w:val="ListParagraph"/>
        <w:numPr>
          <w:ilvl w:val="0"/>
          <w:numId w:val="19"/>
        </w:numPr>
        <w:spacing w:after="0"/>
        <w:textAlignment w:val="baseline"/>
        <w:rPr>
          <w:color w:val="auto"/>
          <w:sz w:val="24"/>
        </w:rPr>
      </w:pPr>
      <w:r w:rsidRPr="003C1D29">
        <w:rPr>
          <w:color w:val="auto"/>
          <w:sz w:val="24"/>
        </w:rPr>
        <w:t xml:space="preserve">The </w:t>
      </w:r>
      <w:r w:rsidR="00A473ED" w:rsidRPr="003C1D29">
        <w:rPr>
          <w:color w:val="auto"/>
          <w:sz w:val="24"/>
        </w:rPr>
        <w:t>Commonwealth may share reports set out in Part 3 with any Commonwealth entity for information, reporting and promotion purposes.</w:t>
      </w:r>
    </w:p>
    <w:p w14:paraId="41DC7050" w14:textId="66B2E4B6" w:rsidR="007E2AE1" w:rsidRPr="003C1D29" w:rsidRDefault="009F5A32" w:rsidP="007E2AE1">
      <w:pPr>
        <w:pStyle w:val="paragraph"/>
        <w:spacing w:before="0" w:beforeAutospacing="0" w:after="0" w:afterAutospacing="0"/>
        <w:textAlignment w:val="baseline"/>
        <w:rPr>
          <w:rStyle w:val="eop"/>
          <w:rFonts w:ascii="Calibri" w:hAnsi="Calibri" w:cs="Calibri"/>
          <w:color w:val="2E74B5"/>
          <w:szCs w:val="22"/>
        </w:rPr>
      </w:pPr>
      <w:r w:rsidRPr="003C1D29">
        <w:rPr>
          <w:rStyle w:val="normaltextrun"/>
          <w:rFonts w:ascii="Calibri" w:hAnsi="Calibri" w:cs="Calibri"/>
          <w:color w:val="2E74B5"/>
          <w:szCs w:val="22"/>
        </w:rPr>
        <w:t xml:space="preserve">Funding and </w:t>
      </w:r>
      <w:r w:rsidR="007E2AE1" w:rsidRPr="003C1D29">
        <w:rPr>
          <w:rStyle w:val="normaltextrun"/>
          <w:rFonts w:ascii="Calibri" w:hAnsi="Calibri" w:cs="Calibri"/>
          <w:color w:val="2E74B5"/>
          <w:szCs w:val="22"/>
        </w:rPr>
        <w:t>Unused funding</w:t>
      </w:r>
      <w:r w:rsidR="007E2AE1" w:rsidRPr="003C1D29">
        <w:rPr>
          <w:rStyle w:val="eop"/>
          <w:rFonts w:ascii="Calibri" w:hAnsi="Calibri" w:cs="Calibri"/>
          <w:color w:val="2E74B5"/>
          <w:szCs w:val="22"/>
        </w:rPr>
        <w:t> </w:t>
      </w:r>
    </w:p>
    <w:p w14:paraId="28EC6E5A" w14:textId="77777777" w:rsidR="009F5A32" w:rsidRPr="003C1D29" w:rsidRDefault="009F5A32" w:rsidP="008A59B0">
      <w:pPr>
        <w:pStyle w:val="paragraph"/>
        <w:numPr>
          <w:ilvl w:val="0"/>
          <w:numId w:val="19"/>
        </w:numPr>
        <w:spacing w:before="0" w:beforeAutospacing="0" w:after="0" w:afterAutospacing="0"/>
        <w:textAlignment w:val="baseline"/>
        <w:rPr>
          <w:rFonts w:ascii="Calibri" w:hAnsi="Calibri" w:cs="Calibri"/>
        </w:rPr>
      </w:pPr>
      <w:r w:rsidRPr="003C1D29">
        <w:rPr>
          <w:rFonts w:ascii="Calibri" w:hAnsi="Calibri" w:cs="Calibri"/>
        </w:rPr>
        <w:t>Commonwealth Government payments under this Agreement will be directed to state governments, which will manage the distribution of funds in line with this Agreement and according to their policies and procedures.</w:t>
      </w:r>
    </w:p>
    <w:p w14:paraId="7E2ADD86" w14:textId="75C5AFBB" w:rsidR="007E2AE1" w:rsidRPr="003C1D29" w:rsidRDefault="007E2AE1" w:rsidP="007E2AE1">
      <w:pPr>
        <w:pStyle w:val="paragraph"/>
        <w:numPr>
          <w:ilvl w:val="0"/>
          <w:numId w:val="19"/>
        </w:numPr>
        <w:spacing w:before="0" w:beforeAutospacing="0" w:after="0" w:afterAutospacing="0"/>
        <w:textAlignment w:val="baseline"/>
        <w:rPr>
          <w:rFonts w:ascii="Calibri" w:hAnsi="Calibri" w:cs="Calibri"/>
          <w:color w:val="2E74B5"/>
          <w:szCs w:val="22"/>
        </w:rPr>
      </w:pPr>
      <w:r w:rsidRPr="003C1D29">
        <w:rPr>
          <w:rFonts w:ascii="Calibri" w:hAnsi="Calibri" w:cs="Calibri"/>
          <w:szCs w:val="22"/>
        </w:rPr>
        <w:t xml:space="preserve">Where </w:t>
      </w:r>
      <w:r w:rsidR="000834F8" w:rsidRPr="003C1D29">
        <w:rPr>
          <w:rFonts w:ascii="Calibri" w:hAnsi="Calibri" w:cs="Calibri"/>
          <w:szCs w:val="22"/>
        </w:rPr>
        <w:t>a student enrols in a training place funded through Fee-Free Construction and then withdraws after the State has received the related milestone payment, the State agrees to redirect that amount back to support additional places</w:t>
      </w:r>
      <w:r w:rsidR="00065D2A" w:rsidRPr="003C1D29">
        <w:rPr>
          <w:rFonts w:ascii="Calibri" w:hAnsi="Calibri" w:cs="Calibri"/>
          <w:szCs w:val="22"/>
        </w:rPr>
        <w:t xml:space="preserve"> under this Agreement</w:t>
      </w:r>
      <w:r w:rsidR="000834F8" w:rsidRPr="003C1D29">
        <w:rPr>
          <w:rFonts w:ascii="Calibri" w:hAnsi="Calibri" w:cs="Calibri"/>
          <w:szCs w:val="22"/>
        </w:rPr>
        <w:t>.</w:t>
      </w:r>
    </w:p>
    <w:p w14:paraId="7181D928" w14:textId="5011FE30" w:rsidR="000834F8" w:rsidRPr="003C1D29" w:rsidRDefault="7EFCA7B8" w:rsidP="01E6ECD3">
      <w:pPr>
        <w:pStyle w:val="paragraph"/>
        <w:numPr>
          <w:ilvl w:val="0"/>
          <w:numId w:val="19"/>
        </w:numPr>
        <w:spacing w:before="0" w:beforeAutospacing="0" w:after="0" w:afterAutospacing="0"/>
        <w:textAlignment w:val="baseline"/>
        <w:rPr>
          <w:rFonts w:ascii="Calibri" w:hAnsi="Calibri" w:cs="Calibri"/>
          <w:color w:val="2E74B5"/>
        </w:rPr>
      </w:pPr>
      <w:r w:rsidRPr="003C1D29">
        <w:rPr>
          <w:rFonts w:ascii="Calibri" w:hAnsi="Calibri" w:cs="Calibri"/>
        </w:rPr>
        <w:t>Where there</w:t>
      </w:r>
      <w:r w:rsidR="70B4A078" w:rsidRPr="003C1D29">
        <w:rPr>
          <w:rFonts w:ascii="Calibri" w:hAnsi="Calibri" w:cs="Calibri"/>
        </w:rPr>
        <w:t xml:space="preserve"> is unallocated funding at the end of 202</w:t>
      </w:r>
      <w:r w:rsidR="49356444" w:rsidRPr="003C1D29">
        <w:rPr>
          <w:rFonts w:ascii="Calibri" w:hAnsi="Calibri" w:cs="Calibri"/>
        </w:rPr>
        <w:t>6</w:t>
      </w:r>
      <w:r w:rsidR="70B4A078" w:rsidRPr="003C1D29">
        <w:rPr>
          <w:rFonts w:ascii="Calibri" w:hAnsi="Calibri" w:cs="Calibri"/>
        </w:rPr>
        <w:t>, States agree to invest any such amount in Fee-Free Construction, where practicable, in line with the intent of this Agreement. Where this is not practicable, any such funds will be invested into delivery of courses</w:t>
      </w:r>
      <w:r w:rsidR="252BCE9F" w:rsidRPr="003C1D29">
        <w:rPr>
          <w:rFonts w:ascii="Calibri" w:hAnsi="Calibri" w:cs="Calibri"/>
        </w:rPr>
        <w:t xml:space="preserve"> relevant to the construction sector</w:t>
      </w:r>
      <w:r w:rsidR="70B4A078" w:rsidRPr="003C1D29">
        <w:rPr>
          <w:rFonts w:ascii="Calibri" w:hAnsi="Calibri" w:cs="Calibri"/>
        </w:rPr>
        <w:t>.</w:t>
      </w:r>
    </w:p>
    <w:p w14:paraId="2E09E2C2" w14:textId="77777777" w:rsidR="006C7B61" w:rsidRPr="003C1D29" w:rsidRDefault="006C7B61" w:rsidP="006C7B61">
      <w:pPr>
        <w:pStyle w:val="paragraph"/>
        <w:spacing w:before="0" w:beforeAutospacing="0" w:after="0" w:afterAutospacing="0"/>
        <w:textAlignment w:val="baseline"/>
        <w:rPr>
          <w:rStyle w:val="normaltextrun"/>
          <w:rFonts w:ascii="Calibri" w:hAnsi="Calibri" w:cs="Calibri"/>
          <w:color w:val="2E74B5"/>
          <w:szCs w:val="22"/>
        </w:rPr>
      </w:pPr>
      <w:r w:rsidRPr="003C1D29">
        <w:rPr>
          <w:rStyle w:val="normaltextrun"/>
          <w:rFonts w:ascii="Calibri" w:hAnsi="Calibri" w:cs="Calibri"/>
          <w:color w:val="2E74B5"/>
          <w:szCs w:val="22"/>
        </w:rPr>
        <w:t>Promotion of Fee-Free Construction</w:t>
      </w:r>
    </w:p>
    <w:p w14:paraId="74DB4FB9" w14:textId="0FD07479" w:rsidR="006C7B61" w:rsidRPr="003C1D29" w:rsidRDefault="006C7B61" w:rsidP="006C7B61">
      <w:pPr>
        <w:pStyle w:val="paragraph"/>
        <w:numPr>
          <w:ilvl w:val="0"/>
          <w:numId w:val="19"/>
        </w:numPr>
        <w:spacing w:before="0" w:beforeAutospacing="0" w:after="0" w:afterAutospacing="0"/>
        <w:textAlignment w:val="baseline"/>
        <w:rPr>
          <w:rStyle w:val="normaltextrun"/>
          <w:rFonts w:ascii="Calibri" w:hAnsi="Calibri" w:cs="Calibri"/>
        </w:rPr>
      </w:pPr>
      <w:r w:rsidRPr="003C1D29">
        <w:rPr>
          <w:rStyle w:val="normaltextrun"/>
          <w:rFonts w:ascii="Calibri" w:hAnsi="Calibri" w:cs="Calibri"/>
          <w:szCs w:val="22"/>
        </w:rPr>
        <w:t>All governments</w:t>
      </w:r>
      <w:r w:rsidR="00ED7485" w:rsidRPr="003C1D29">
        <w:rPr>
          <w:rFonts w:ascii="Calibri" w:hAnsi="Calibri" w:cs="Calibri"/>
        </w:rPr>
        <w:t xml:space="preserve"> </w:t>
      </w:r>
      <w:r w:rsidR="00ED7485" w:rsidRPr="003C1D29">
        <w:rPr>
          <w:rStyle w:val="normaltextrun"/>
          <w:rFonts w:ascii="Calibri" w:hAnsi="Calibri" w:cs="Calibri"/>
          <w:szCs w:val="22"/>
        </w:rPr>
        <w:t>will take steps to promote access to Fee-Free Construction funding.</w:t>
      </w:r>
    </w:p>
    <w:p w14:paraId="7B58DCFB" w14:textId="57C23931" w:rsidR="00ED7485" w:rsidRPr="003C1D29" w:rsidRDefault="00793740" w:rsidP="006C7B61">
      <w:pPr>
        <w:pStyle w:val="paragraph"/>
        <w:numPr>
          <w:ilvl w:val="0"/>
          <w:numId w:val="19"/>
        </w:numPr>
        <w:spacing w:before="0" w:beforeAutospacing="0" w:after="0" w:afterAutospacing="0"/>
        <w:textAlignment w:val="baseline"/>
        <w:rPr>
          <w:rStyle w:val="normaltextrun"/>
          <w:rFonts w:ascii="Calibri" w:hAnsi="Calibri" w:cs="Calibri"/>
        </w:rPr>
      </w:pPr>
      <w:r w:rsidRPr="003C1D29">
        <w:rPr>
          <w:rStyle w:val="normaltextrun"/>
          <w:rFonts w:ascii="Calibri" w:hAnsi="Calibri" w:cs="Calibri"/>
          <w:szCs w:val="22"/>
        </w:rPr>
        <w:t xml:space="preserve">States and </w:t>
      </w:r>
      <w:r w:rsidR="0087624B" w:rsidRPr="003C1D29">
        <w:rPr>
          <w:rStyle w:val="normaltextrun"/>
          <w:rFonts w:ascii="Calibri" w:hAnsi="Calibri" w:cs="Calibri"/>
          <w:szCs w:val="22"/>
        </w:rPr>
        <w:t>the Commonwealth will make best efforts to ensure they consult on the nature and content of any events, announcements, promotional activity, or publicity related to Fee-Fee-Free Construction.</w:t>
      </w:r>
    </w:p>
    <w:p w14:paraId="7D51351C" w14:textId="7E4617A6" w:rsidR="006C2CC9" w:rsidRPr="003C1D29" w:rsidRDefault="00E107A1" w:rsidP="0070401A">
      <w:pPr>
        <w:pStyle w:val="paragraph"/>
        <w:spacing w:before="0" w:beforeAutospacing="0" w:after="0" w:afterAutospacing="0"/>
        <w:textAlignment w:val="baseline"/>
        <w:rPr>
          <w:rStyle w:val="normaltextrun"/>
          <w:rFonts w:ascii="Calibri" w:hAnsi="Calibri" w:cs="Calibri"/>
          <w:color w:val="2E74B5"/>
        </w:rPr>
      </w:pPr>
      <w:r w:rsidRPr="003C1D29">
        <w:rPr>
          <w:rStyle w:val="normaltextrun"/>
          <w:rFonts w:ascii="Calibri" w:hAnsi="Calibri" w:cs="Calibri"/>
          <w:color w:val="2E74B5"/>
        </w:rPr>
        <w:t xml:space="preserve">Additionality </w:t>
      </w:r>
      <w:r w:rsidR="006C2CC9" w:rsidRPr="003C1D29">
        <w:rPr>
          <w:rStyle w:val="normaltextrun"/>
          <w:rFonts w:ascii="Calibri" w:hAnsi="Calibri" w:cs="Calibri"/>
          <w:color w:val="2E74B5"/>
        </w:rPr>
        <w:t xml:space="preserve">arrangements </w:t>
      </w:r>
    </w:p>
    <w:p w14:paraId="03D370C1" w14:textId="33529F90" w:rsidR="00501616" w:rsidRPr="003C1D29" w:rsidRDefault="00AE6D70" w:rsidP="39B783C4">
      <w:pPr>
        <w:pStyle w:val="paragraph"/>
        <w:numPr>
          <w:ilvl w:val="0"/>
          <w:numId w:val="19"/>
        </w:numPr>
        <w:spacing w:before="0" w:beforeAutospacing="0" w:after="0" w:afterAutospacing="0"/>
        <w:textAlignment w:val="baseline"/>
        <w:rPr>
          <w:rFonts w:ascii="Calibri" w:hAnsi="Calibri" w:cs="Calibri"/>
        </w:rPr>
      </w:pPr>
      <w:r w:rsidRPr="003C1D29">
        <w:rPr>
          <w:rStyle w:val="normaltextrun"/>
          <w:rFonts w:ascii="Calibri" w:hAnsi="Calibri" w:cs="Calibri"/>
        </w:rPr>
        <w:t xml:space="preserve">Through Implementation Plans, </w:t>
      </w:r>
      <w:r w:rsidR="004E5ADA" w:rsidRPr="003C1D29">
        <w:rPr>
          <w:rStyle w:val="normaltextrun"/>
          <w:rFonts w:ascii="Calibri" w:hAnsi="Calibri" w:cs="Calibri"/>
        </w:rPr>
        <w:t xml:space="preserve">States will </w:t>
      </w:r>
      <w:r w:rsidR="130724AE" w:rsidRPr="003C1D29">
        <w:rPr>
          <w:rStyle w:val="normaltextrun"/>
          <w:rFonts w:ascii="Calibri" w:hAnsi="Calibri" w:cs="Calibri"/>
        </w:rPr>
        <w:t>nominate</w:t>
      </w:r>
      <w:r w:rsidR="004E5ADA" w:rsidRPr="003C1D29">
        <w:rPr>
          <w:rStyle w:val="normaltextrun"/>
          <w:rFonts w:ascii="Calibri" w:hAnsi="Calibri" w:cs="Calibri"/>
        </w:rPr>
        <w:t xml:space="preserve"> </w:t>
      </w:r>
      <w:r w:rsidR="00585725" w:rsidRPr="003C1D29">
        <w:rPr>
          <w:rStyle w:val="normaltextrun"/>
          <w:rFonts w:ascii="Calibri" w:hAnsi="Calibri" w:cs="Calibri"/>
        </w:rPr>
        <w:t xml:space="preserve">a </w:t>
      </w:r>
      <w:r w:rsidR="004E5ADA" w:rsidRPr="003C1D29">
        <w:rPr>
          <w:rStyle w:val="normaltextrun"/>
          <w:rFonts w:ascii="Calibri" w:hAnsi="Calibri" w:cs="Calibri"/>
        </w:rPr>
        <w:t>baseline</w:t>
      </w:r>
      <w:r w:rsidR="00501616" w:rsidRPr="003C1D29">
        <w:rPr>
          <w:rStyle w:val="normaltextrun"/>
          <w:rFonts w:ascii="Calibri" w:hAnsi="Calibri" w:cs="Calibri"/>
        </w:rPr>
        <w:t xml:space="preserve"> </w:t>
      </w:r>
      <w:r w:rsidR="004E5ADA" w:rsidRPr="003C1D29">
        <w:rPr>
          <w:rStyle w:val="normaltextrun"/>
          <w:rFonts w:ascii="Calibri" w:hAnsi="Calibri" w:cs="Calibri"/>
        </w:rPr>
        <w:t>of activit</w:t>
      </w:r>
      <w:r w:rsidR="00585725" w:rsidRPr="003C1D29">
        <w:rPr>
          <w:rStyle w:val="normaltextrun"/>
          <w:rFonts w:ascii="Calibri" w:hAnsi="Calibri" w:cs="Calibri"/>
        </w:rPr>
        <w:t xml:space="preserve">y </w:t>
      </w:r>
      <w:r w:rsidR="2BC9E9E8" w:rsidRPr="003C1D29">
        <w:rPr>
          <w:rStyle w:val="normaltextrun"/>
          <w:rFonts w:ascii="Calibri" w:hAnsi="Calibri" w:cs="Calibri"/>
        </w:rPr>
        <w:t>for</w:t>
      </w:r>
      <w:r w:rsidR="004E5ADA" w:rsidRPr="003C1D29">
        <w:rPr>
          <w:rStyle w:val="normaltextrun"/>
          <w:rFonts w:ascii="Calibri" w:hAnsi="Calibri" w:cs="Calibri"/>
        </w:rPr>
        <w:t xml:space="preserve"> Fee-Free Construction</w:t>
      </w:r>
      <w:r w:rsidR="00585725" w:rsidRPr="003C1D29">
        <w:rPr>
          <w:rStyle w:val="normaltextrun"/>
          <w:rFonts w:ascii="Calibri" w:hAnsi="Calibri" w:cs="Calibri"/>
        </w:rPr>
        <w:t xml:space="preserve"> </w:t>
      </w:r>
      <w:r w:rsidR="10194F27" w:rsidRPr="003C1D29">
        <w:rPr>
          <w:rStyle w:val="normaltextrun"/>
          <w:rFonts w:ascii="Calibri" w:hAnsi="Calibri" w:cs="Calibri"/>
        </w:rPr>
        <w:t xml:space="preserve">places, </w:t>
      </w:r>
      <w:r w:rsidR="59288316" w:rsidRPr="003C1D29">
        <w:rPr>
          <w:rFonts w:ascii="Calibri" w:hAnsi="Calibri" w:cs="Calibri"/>
        </w:rPr>
        <w:t>negotiated bilaterally with the Commonwealth.</w:t>
      </w:r>
    </w:p>
    <w:p w14:paraId="627D7695" w14:textId="08990AB6" w:rsidR="00D00CB9" w:rsidRPr="003C1D29" w:rsidRDefault="7AF23041" w:rsidP="0D7AA1FC">
      <w:pPr>
        <w:pStyle w:val="paragraph"/>
        <w:numPr>
          <w:ilvl w:val="0"/>
          <w:numId w:val="19"/>
        </w:numPr>
        <w:spacing w:before="0" w:beforeAutospacing="0" w:after="0" w:afterAutospacing="0"/>
        <w:textAlignment w:val="baseline"/>
        <w:rPr>
          <w:rStyle w:val="normaltextrun"/>
          <w:rFonts w:ascii="Calibri" w:hAnsi="Calibri" w:cs="Calibri"/>
        </w:rPr>
      </w:pPr>
      <w:r w:rsidRPr="003C1D29">
        <w:rPr>
          <w:rStyle w:val="normaltextrun"/>
          <w:rFonts w:ascii="Calibri" w:hAnsi="Calibri" w:cs="Calibri"/>
        </w:rPr>
        <w:t>During each calendar year</w:t>
      </w:r>
      <w:r w:rsidR="42BE1F1A" w:rsidRPr="003C1D29">
        <w:rPr>
          <w:rStyle w:val="normaltextrun"/>
          <w:rFonts w:ascii="Calibri" w:hAnsi="Calibri" w:cs="Calibri"/>
        </w:rPr>
        <w:t>,</w:t>
      </w:r>
      <w:r w:rsidRPr="003C1D29">
        <w:rPr>
          <w:rStyle w:val="normaltextrun"/>
          <w:rFonts w:ascii="Calibri" w:hAnsi="Calibri" w:cs="Calibri"/>
        </w:rPr>
        <w:t xml:space="preserve"> F</w:t>
      </w:r>
      <w:r w:rsidR="42BE1F1A" w:rsidRPr="003C1D29">
        <w:rPr>
          <w:rStyle w:val="normaltextrun"/>
          <w:rFonts w:ascii="Calibri" w:hAnsi="Calibri" w:cs="Calibri"/>
        </w:rPr>
        <w:t>ee-Free TAFE Tranche</w:t>
      </w:r>
      <w:r w:rsidR="4FA855E9" w:rsidRPr="003C1D29">
        <w:rPr>
          <w:rStyle w:val="normaltextrun"/>
          <w:rFonts w:ascii="Calibri" w:hAnsi="Calibri" w:cs="Calibri"/>
        </w:rPr>
        <w:t xml:space="preserve"> </w:t>
      </w:r>
      <w:r w:rsidR="42BE1F1A" w:rsidRPr="003C1D29">
        <w:rPr>
          <w:rStyle w:val="normaltextrun"/>
          <w:rFonts w:ascii="Calibri" w:hAnsi="Calibri" w:cs="Calibri"/>
        </w:rPr>
        <w:t xml:space="preserve">1 and 2 </w:t>
      </w:r>
      <w:r w:rsidRPr="003C1D29">
        <w:rPr>
          <w:rStyle w:val="normaltextrun"/>
          <w:rFonts w:ascii="Calibri" w:hAnsi="Calibri" w:cs="Calibri"/>
        </w:rPr>
        <w:t xml:space="preserve">reported data </w:t>
      </w:r>
      <w:r w:rsidR="42BE1F1A" w:rsidRPr="003C1D29">
        <w:rPr>
          <w:rStyle w:val="normaltextrun"/>
          <w:rFonts w:ascii="Calibri" w:hAnsi="Calibri" w:cs="Calibri"/>
        </w:rPr>
        <w:t xml:space="preserve">will be used to </w:t>
      </w:r>
      <w:r w:rsidRPr="003C1D29">
        <w:rPr>
          <w:rStyle w:val="normaltextrun"/>
          <w:rFonts w:ascii="Calibri" w:hAnsi="Calibri" w:cs="Calibri"/>
        </w:rPr>
        <w:t>compare uplift for Fee-Free Construction enrolments</w:t>
      </w:r>
      <w:r w:rsidR="15EC1BB3" w:rsidRPr="003C1D29">
        <w:rPr>
          <w:rStyle w:val="normaltextrun"/>
          <w:rFonts w:ascii="Calibri" w:hAnsi="Calibri" w:cs="Calibri"/>
        </w:rPr>
        <w:t>.</w:t>
      </w:r>
      <w:r w:rsidR="42BE1F1A" w:rsidRPr="003C1D29">
        <w:rPr>
          <w:rStyle w:val="normaltextrun"/>
          <w:rFonts w:ascii="Calibri" w:hAnsi="Calibri" w:cs="Calibri"/>
        </w:rPr>
        <w:t xml:space="preserve"> </w:t>
      </w:r>
    </w:p>
    <w:p w14:paraId="5C894D71" w14:textId="0C1D7E28" w:rsidR="00BA566A" w:rsidRPr="003C1D29" w:rsidRDefault="00BA566A" w:rsidP="00BA566A">
      <w:pPr>
        <w:pStyle w:val="paragraph"/>
        <w:spacing w:before="0" w:beforeAutospacing="0" w:after="0" w:afterAutospacing="0"/>
        <w:textAlignment w:val="baseline"/>
        <w:rPr>
          <w:rStyle w:val="normaltextrun"/>
          <w:rFonts w:ascii="Calibri" w:hAnsi="Calibri" w:cs="Calibri"/>
        </w:rPr>
      </w:pPr>
      <w:r w:rsidRPr="003C1D29">
        <w:rPr>
          <w:rStyle w:val="normaltextrun"/>
          <w:rFonts w:ascii="Calibri" w:hAnsi="Calibri" w:cs="Calibri"/>
          <w:color w:val="2E74B5"/>
          <w:szCs w:val="22"/>
        </w:rPr>
        <w:t>Definitions: </w:t>
      </w:r>
      <w:r w:rsidRPr="003C1D29">
        <w:rPr>
          <w:rStyle w:val="normaltextrun"/>
          <w:rFonts w:ascii="Calibri" w:hAnsi="Calibri" w:cs="Calibri"/>
        </w:rPr>
        <w:t> </w:t>
      </w:r>
    </w:p>
    <w:p w14:paraId="0FFEE885" w14:textId="4ACCB1E0" w:rsidR="00B67DFC" w:rsidRPr="003C1D29" w:rsidRDefault="00F54C28" w:rsidP="00FC7569">
      <w:pPr>
        <w:pStyle w:val="paragraph"/>
        <w:spacing w:before="0" w:beforeAutospacing="0" w:after="0" w:afterAutospacing="0"/>
        <w:textAlignment w:val="baseline"/>
        <w:rPr>
          <w:rFonts w:ascii="Calibri" w:hAnsi="Calibri" w:cs="Calibri"/>
        </w:rPr>
      </w:pPr>
      <w:r w:rsidRPr="003C1D29">
        <w:rPr>
          <w:rFonts w:ascii="Calibri" w:hAnsi="Calibri" w:cs="Calibri"/>
        </w:rPr>
        <w:t xml:space="preserve">For the purposes of </w:t>
      </w:r>
      <w:r w:rsidR="00C13F83" w:rsidRPr="003C1D29">
        <w:rPr>
          <w:rFonts w:ascii="Calibri" w:hAnsi="Calibri" w:cs="Calibri"/>
        </w:rPr>
        <w:t>th</w:t>
      </w:r>
      <w:r w:rsidR="00103DAD" w:rsidRPr="003C1D29">
        <w:rPr>
          <w:rFonts w:ascii="Calibri" w:hAnsi="Calibri" w:cs="Calibri"/>
        </w:rPr>
        <w:t>e Fee-Free Construction</w:t>
      </w:r>
      <w:r w:rsidR="00C13F83" w:rsidRPr="003C1D29">
        <w:rPr>
          <w:rFonts w:ascii="Calibri" w:hAnsi="Calibri" w:cs="Calibri"/>
        </w:rPr>
        <w:t xml:space="preserve"> Agreement:</w:t>
      </w:r>
    </w:p>
    <w:p w14:paraId="4F507760" w14:textId="419F2DAB" w:rsidR="007A552D" w:rsidRPr="003C1D29" w:rsidRDefault="007A552D" w:rsidP="00AE2EBD">
      <w:pPr>
        <w:pStyle w:val="paragraph"/>
        <w:numPr>
          <w:ilvl w:val="1"/>
          <w:numId w:val="19"/>
        </w:numPr>
        <w:spacing w:before="0" w:beforeAutospacing="0" w:after="0" w:afterAutospacing="0"/>
        <w:textAlignment w:val="baseline"/>
        <w:rPr>
          <w:rFonts w:ascii="Calibri" w:hAnsi="Calibri" w:cs="Calibri"/>
        </w:rPr>
      </w:pPr>
      <w:r w:rsidRPr="003C1D29">
        <w:rPr>
          <w:rFonts w:ascii="Calibri" w:hAnsi="Calibri" w:cs="Calibri"/>
          <w:b/>
          <w:bCs/>
        </w:rPr>
        <w:t>Additionality/Additionality arrangements</w:t>
      </w:r>
      <w:r w:rsidRPr="003C1D29">
        <w:rPr>
          <w:rFonts w:ascii="Calibri" w:hAnsi="Calibri" w:cs="Calibri"/>
        </w:rPr>
        <w:t xml:space="preserve"> </w:t>
      </w:r>
      <w:r w:rsidR="00C86C2C" w:rsidRPr="003C1D29">
        <w:rPr>
          <w:rFonts w:ascii="Calibri" w:hAnsi="Calibri" w:cs="Calibri"/>
        </w:rPr>
        <w:t xml:space="preserve">are </w:t>
      </w:r>
      <w:r w:rsidR="00454B3E" w:rsidRPr="003C1D29">
        <w:rPr>
          <w:rFonts w:ascii="Calibri" w:hAnsi="Calibri" w:cs="Calibri"/>
        </w:rPr>
        <w:t xml:space="preserve">enrolments </w:t>
      </w:r>
      <w:r w:rsidR="5A004199" w:rsidRPr="003C1D29">
        <w:rPr>
          <w:rFonts w:ascii="Calibri" w:hAnsi="Calibri" w:cs="Calibri"/>
        </w:rPr>
        <w:t>above the</w:t>
      </w:r>
      <w:r w:rsidR="00574496" w:rsidRPr="003C1D29">
        <w:rPr>
          <w:rFonts w:ascii="Calibri" w:hAnsi="Calibri" w:cs="Calibri"/>
        </w:rPr>
        <w:t xml:space="preserve"> State</w:t>
      </w:r>
      <w:r w:rsidR="5A004199" w:rsidRPr="003C1D29">
        <w:rPr>
          <w:rFonts w:ascii="Calibri" w:hAnsi="Calibri" w:cs="Calibri"/>
        </w:rPr>
        <w:t xml:space="preserve"> nominated baseline</w:t>
      </w:r>
      <w:r w:rsidR="005F4C6B" w:rsidRPr="003C1D29">
        <w:rPr>
          <w:rFonts w:ascii="Calibri" w:hAnsi="Calibri" w:cs="Calibri"/>
        </w:rPr>
        <w:t>.</w:t>
      </w:r>
      <w:r w:rsidR="7F2C0D50" w:rsidRPr="003C1D29">
        <w:rPr>
          <w:rFonts w:ascii="Calibri" w:hAnsi="Calibri" w:cs="Calibri"/>
        </w:rPr>
        <w:t xml:space="preserve"> </w:t>
      </w:r>
    </w:p>
    <w:p w14:paraId="0B004D62" w14:textId="09EE8302" w:rsidR="0092120B" w:rsidRPr="003C1D29" w:rsidRDefault="0092120B" w:rsidP="00AE2EBD">
      <w:pPr>
        <w:pStyle w:val="paragraph"/>
        <w:numPr>
          <w:ilvl w:val="1"/>
          <w:numId w:val="19"/>
        </w:numPr>
        <w:spacing w:before="0" w:beforeAutospacing="0" w:after="0" w:afterAutospacing="0"/>
        <w:textAlignment w:val="baseline"/>
        <w:rPr>
          <w:rFonts w:ascii="Calibri" w:hAnsi="Calibri" w:cs="Calibri"/>
        </w:rPr>
      </w:pPr>
      <w:r w:rsidRPr="003C1D29">
        <w:rPr>
          <w:rFonts w:ascii="Calibri" w:hAnsi="Calibri" w:cs="Calibri"/>
          <w:b/>
          <w:bCs/>
        </w:rPr>
        <w:t>Ancillary funding</w:t>
      </w:r>
      <w:r w:rsidRPr="003C1D29">
        <w:rPr>
          <w:rFonts w:ascii="Calibri" w:hAnsi="Calibri" w:cs="Calibri"/>
        </w:rPr>
        <w:t xml:space="preserve"> </w:t>
      </w:r>
      <w:r w:rsidR="00C550CC" w:rsidRPr="003C1D29">
        <w:rPr>
          <w:rFonts w:ascii="Calibri" w:hAnsi="Calibri" w:cs="Calibri"/>
        </w:rPr>
        <w:t xml:space="preserve">is to support the delivery of Fee-Free </w:t>
      </w:r>
      <w:r w:rsidR="0053319D" w:rsidRPr="003C1D29">
        <w:rPr>
          <w:rFonts w:ascii="Calibri" w:hAnsi="Calibri" w:cs="Calibri"/>
        </w:rPr>
        <w:t xml:space="preserve">Construction </w:t>
      </w:r>
      <w:r w:rsidR="00C550CC" w:rsidRPr="003C1D29">
        <w:rPr>
          <w:rFonts w:ascii="Calibri" w:hAnsi="Calibri" w:cs="Calibri"/>
        </w:rPr>
        <w:t xml:space="preserve">and student outcomes. This may include wraparound support services to help disadvantaged learners to access training, promotion of </w:t>
      </w:r>
      <w:r w:rsidR="0053319D" w:rsidRPr="003C1D29">
        <w:rPr>
          <w:rFonts w:ascii="Calibri" w:hAnsi="Calibri" w:cs="Calibri"/>
        </w:rPr>
        <w:t>Fee-Free Construction</w:t>
      </w:r>
      <w:r w:rsidR="00C550CC" w:rsidRPr="003C1D29">
        <w:rPr>
          <w:rFonts w:ascii="Calibri" w:hAnsi="Calibri" w:cs="Calibri"/>
        </w:rPr>
        <w:t>, funding support to assist students in accessing required work placements, or support for learners to access training that is best suited to their needs and the local jobs market and to transition from learning to employment.</w:t>
      </w:r>
    </w:p>
    <w:p w14:paraId="48EB52C5" w14:textId="1E2490C3" w:rsidR="003650C2" w:rsidRPr="003C1D29" w:rsidRDefault="003650C2" w:rsidP="00AE2EBD">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t>Fee-Free</w:t>
      </w:r>
      <w:r w:rsidR="00EA754F" w:rsidRPr="003C1D29">
        <w:rPr>
          <w:rFonts w:ascii="Calibri" w:hAnsi="Calibri" w:cs="Calibri"/>
          <w:b/>
          <w:bCs/>
        </w:rPr>
        <w:t xml:space="preserve"> </w:t>
      </w:r>
      <w:r w:rsidR="00EA754F" w:rsidRPr="003C1D29">
        <w:rPr>
          <w:rFonts w:ascii="Calibri" w:hAnsi="Calibri" w:cs="Calibri"/>
        </w:rPr>
        <w:t>means the learner will not be charged a fee for the tuition component of training</w:t>
      </w:r>
      <w:r w:rsidR="00337A5D" w:rsidRPr="003C1D29">
        <w:rPr>
          <w:rFonts w:ascii="Calibri" w:hAnsi="Calibri" w:cs="Calibri"/>
        </w:rPr>
        <w:t>.</w:t>
      </w:r>
      <w:r w:rsidR="00EA754F" w:rsidRPr="003C1D29">
        <w:rPr>
          <w:rFonts w:ascii="Calibri" w:hAnsi="Calibri" w:cs="Calibri"/>
        </w:rPr>
        <w:t xml:space="preserve"> Any other fees (e.g. </w:t>
      </w:r>
      <w:r w:rsidR="008A4B43" w:rsidRPr="003C1D29">
        <w:rPr>
          <w:rFonts w:ascii="Calibri" w:hAnsi="Calibri" w:cs="Calibri"/>
        </w:rPr>
        <w:t>a</w:t>
      </w:r>
      <w:r w:rsidR="00EA754F" w:rsidRPr="003C1D29">
        <w:rPr>
          <w:rFonts w:ascii="Calibri" w:hAnsi="Calibri" w:cs="Calibri"/>
        </w:rPr>
        <w:t>dministration fee or material costs) will be minimal and agreed with the Commonwealth in the Implementation Plan.</w:t>
      </w:r>
    </w:p>
    <w:p w14:paraId="66E97CC0" w14:textId="45A150C3" w:rsidR="00C310FE" w:rsidRPr="003C1D29" w:rsidRDefault="00C310FE" w:rsidP="00AE2EBD">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t xml:space="preserve">Fee-Free construction places </w:t>
      </w:r>
      <w:r w:rsidRPr="003C1D29">
        <w:rPr>
          <w:rFonts w:ascii="Calibri" w:hAnsi="Calibri" w:cs="Calibri"/>
        </w:rPr>
        <w:t xml:space="preserve">refers to </w:t>
      </w:r>
      <w:r w:rsidR="00A01317" w:rsidRPr="003C1D29">
        <w:rPr>
          <w:rFonts w:ascii="Calibri" w:hAnsi="Calibri" w:cs="Calibri"/>
        </w:rPr>
        <w:t xml:space="preserve">enrolments in </w:t>
      </w:r>
      <w:r w:rsidRPr="003C1D29">
        <w:rPr>
          <w:rFonts w:ascii="Calibri" w:hAnsi="Calibri" w:cs="Calibri"/>
        </w:rPr>
        <w:t>courses</w:t>
      </w:r>
      <w:r w:rsidR="00A01317" w:rsidRPr="003C1D29">
        <w:rPr>
          <w:rFonts w:ascii="Calibri" w:hAnsi="Calibri" w:cs="Calibri"/>
        </w:rPr>
        <w:t xml:space="preserve"> and pre-apprenticeships</w:t>
      </w:r>
      <w:r w:rsidRPr="003C1D29">
        <w:rPr>
          <w:rFonts w:ascii="Calibri" w:hAnsi="Calibri" w:cs="Calibri"/>
        </w:rPr>
        <w:t xml:space="preserve"> relevant to the construction sector.</w:t>
      </w:r>
    </w:p>
    <w:p w14:paraId="3C287F2B" w14:textId="5BDB84D9" w:rsidR="002B17A7" w:rsidRPr="003C1D29" w:rsidRDefault="00AA53F3" w:rsidP="00AE2EBD">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lastRenderedPageBreak/>
        <w:t>G</w:t>
      </w:r>
      <w:r w:rsidR="75B139AE" w:rsidRPr="003C1D29">
        <w:rPr>
          <w:rFonts w:ascii="Calibri" w:hAnsi="Calibri" w:cs="Calibri"/>
          <w:b/>
          <w:bCs/>
        </w:rPr>
        <w:t xml:space="preserve">roup training organisation (GTO) </w:t>
      </w:r>
      <w:r w:rsidR="75B139AE" w:rsidRPr="003C1D29">
        <w:rPr>
          <w:rFonts w:ascii="Calibri" w:hAnsi="Calibri" w:cs="Calibri"/>
        </w:rPr>
        <w:t>is a corporation established predominately to provide training and employment opportunities. GTOs employ apprentices and trainees and are responsible for ensuring that those employees receive suitable training and experience.</w:t>
      </w:r>
    </w:p>
    <w:p w14:paraId="44FF0D85" w14:textId="0FB4D54C" w:rsidR="00DE3F65" w:rsidRPr="003C1D29" w:rsidRDefault="00DE3F65" w:rsidP="00AE2EBD">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t>Implementation Plan</w:t>
      </w:r>
      <w:r w:rsidR="003C0526" w:rsidRPr="003C1D29">
        <w:rPr>
          <w:rFonts w:ascii="Calibri" w:hAnsi="Calibri" w:cs="Calibri"/>
          <w:b/>
          <w:bCs/>
        </w:rPr>
        <w:t>/Fee-Free Construction Implementation Plan</w:t>
      </w:r>
      <w:r w:rsidRPr="003C1D29">
        <w:rPr>
          <w:rFonts w:ascii="Calibri" w:hAnsi="Calibri" w:cs="Calibri"/>
          <w:b/>
          <w:bCs/>
        </w:rPr>
        <w:t xml:space="preserve"> </w:t>
      </w:r>
      <w:r w:rsidRPr="003C1D29">
        <w:rPr>
          <w:rFonts w:ascii="Calibri" w:hAnsi="Calibri" w:cs="Calibri"/>
        </w:rPr>
        <w:t>is a bilateral plan outlining how Fee-Free Construction will operate in practice, to be agreed with Commonwealth skills officials. The Implementation Plan template will be provided by the Commonwealth.</w:t>
      </w:r>
      <w:r w:rsidRPr="003C1D29">
        <w:rPr>
          <w:rFonts w:ascii="Calibri" w:hAnsi="Calibri" w:cs="Calibri"/>
          <w:b/>
          <w:bCs/>
        </w:rPr>
        <w:t xml:space="preserve">  </w:t>
      </w:r>
    </w:p>
    <w:p w14:paraId="051DAD67" w14:textId="37A5ACF7" w:rsidR="00F2793D" w:rsidRPr="003C1D29" w:rsidRDefault="5B4019C2" w:rsidP="464B8A14">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t xml:space="preserve">New Training Places </w:t>
      </w:r>
      <w:r w:rsidRPr="003C1D29">
        <w:rPr>
          <w:rFonts w:ascii="Calibri" w:hAnsi="Calibri" w:cs="Calibri"/>
        </w:rPr>
        <w:t xml:space="preserve">(construction) is a training place identified by the State as a new </w:t>
      </w:r>
      <w:r w:rsidR="6885A83C" w:rsidRPr="003C1D29">
        <w:rPr>
          <w:rFonts w:ascii="Calibri" w:hAnsi="Calibri" w:cs="Calibri"/>
        </w:rPr>
        <w:t xml:space="preserve">fee-free </w:t>
      </w:r>
      <w:r w:rsidRPr="003C1D29">
        <w:rPr>
          <w:rFonts w:ascii="Calibri" w:hAnsi="Calibri" w:cs="Calibri"/>
        </w:rPr>
        <w:t xml:space="preserve">place that increases the number of places available for a </w:t>
      </w:r>
      <w:r w:rsidR="74CD1877" w:rsidRPr="003C1D29">
        <w:rPr>
          <w:rFonts w:ascii="Calibri" w:hAnsi="Calibri" w:cs="Calibri"/>
        </w:rPr>
        <w:t>course (</w:t>
      </w:r>
      <w:r w:rsidRPr="003C1D29">
        <w:rPr>
          <w:rFonts w:ascii="Calibri" w:hAnsi="Calibri" w:cs="Calibri"/>
        </w:rPr>
        <w:t>in Construction). States will outline their approach to managing new places bilaterally.</w:t>
      </w:r>
      <w:r w:rsidRPr="003C1D29">
        <w:rPr>
          <w:rFonts w:ascii="Calibri" w:hAnsi="Calibri" w:cs="Calibri"/>
          <w:b/>
          <w:bCs/>
        </w:rPr>
        <w:t xml:space="preserve"> </w:t>
      </w:r>
    </w:p>
    <w:p w14:paraId="1CF251F7" w14:textId="4CFD6802" w:rsidR="00706E34" w:rsidRPr="003C1D29" w:rsidRDefault="00706E34" w:rsidP="00AE2EBD">
      <w:pPr>
        <w:pStyle w:val="paragraph"/>
        <w:numPr>
          <w:ilvl w:val="1"/>
          <w:numId w:val="19"/>
        </w:numPr>
        <w:spacing w:before="0" w:beforeAutospacing="0" w:after="0" w:afterAutospacing="0"/>
        <w:textAlignment w:val="baseline"/>
        <w:rPr>
          <w:rFonts w:ascii="Calibri" w:hAnsi="Calibri" w:cs="Calibri"/>
        </w:rPr>
      </w:pPr>
      <w:r w:rsidRPr="003C1D29">
        <w:rPr>
          <w:rFonts w:ascii="Calibri" w:hAnsi="Calibri" w:cs="Calibri"/>
          <w:b/>
          <w:bCs/>
        </w:rPr>
        <w:t>Pre-apprenticeship</w:t>
      </w:r>
      <w:r w:rsidR="3C771202" w:rsidRPr="003C1D29">
        <w:rPr>
          <w:rFonts w:ascii="Calibri" w:hAnsi="Calibri" w:cs="Calibri"/>
        </w:rPr>
        <w:t xml:space="preserve"> </w:t>
      </w:r>
      <w:r w:rsidR="00810379" w:rsidRPr="003C1D29">
        <w:rPr>
          <w:rFonts w:ascii="Calibri" w:hAnsi="Calibri" w:cs="Calibri"/>
        </w:rPr>
        <w:t xml:space="preserve">means </w:t>
      </w:r>
      <w:r w:rsidR="00627056" w:rsidRPr="003C1D29">
        <w:rPr>
          <w:rFonts w:ascii="Calibri" w:hAnsi="Calibri" w:cs="Calibri"/>
        </w:rPr>
        <w:t>entry</w:t>
      </w:r>
      <w:r w:rsidR="7099CA23" w:rsidRPr="003C1D29">
        <w:rPr>
          <w:rFonts w:ascii="Calibri" w:hAnsi="Calibri" w:cs="Calibri"/>
        </w:rPr>
        <w:t xml:space="preserve"> </w:t>
      </w:r>
      <w:r w:rsidR="00627056" w:rsidRPr="003C1D29">
        <w:rPr>
          <w:rFonts w:ascii="Calibri" w:hAnsi="Calibri" w:cs="Calibri"/>
        </w:rPr>
        <w:t xml:space="preserve">level training </w:t>
      </w:r>
      <w:r w:rsidR="590E035B" w:rsidRPr="003C1D29">
        <w:rPr>
          <w:rFonts w:ascii="Calibri" w:hAnsi="Calibri" w:cs="Calibri"/>
        </w:rPr>
        <w:t xml:space="preserve">that also </w:t>
      </w:r>
      <w:r w:rsidR="3365E6ED" w:rsidRPr="003C1D29">
        <w:rPr>
          <w:rFonts w:ascii="Calibri" w:hAnsi="Calibri" w:cs="Calibri"/>
        </w:rPr>
        <w:t>provide</w:t>
      </w:r>
      <w:r w:rsidR="00810379" w:rsidRPr="003C1D29">
        <w:rPr>
          <w:rFonts w:ascii="Calibri" w:hAnsi="Calibri" w:cs="Calibri"/>
        </w:rPr>
        <w:t xml:space="preserve"> students </w:t>
      </w:r>
      <w:r w:rsidR="00F84114" w:rsidRPr="003C1D29">
        <w:rPr>
          <w:rFonts w:ascii="Calibri" w:hAnsi="Calibri" w:cs="Calibri"/>
        </w:rPr>
        <w:t xml:space="preserve">exposure </w:t>
      </w:r>
      <w:r w:rsidR="00496DAE" w:rsidRPr="003C1D29">
        <w:rPr>
          <w:rFonts w:ascii="Calibri" w:hAnsi="Calibri" w:cs="Calibri"/>
        </w:rPr>
        <w:t xml:space="preserve">to </w:t>
      </w:r>
      <w:r w:rsidR="0058321D" w:rsidRPr="003C1D29">
        <w:rPr>
          <w:rFonts w:ascii="Calibri" w:hAnsi="Calibri" w:cs="Calibri"/>
        </w:rPr>
        <w:t xml:space="preserve">the Construction </w:t>
      </w:r>
      <w:r w:rsidR="00627056" w:rsidRPr="003C1D29">
        <w:rPr>
          <w:rFonts w:ascii="Calibri" w:hAnsi="Calibri" w:cs="Calibri"/>
        </w:rPr>
        <w:t>industry</w:t>
      </w:r>
      <w:r w:rsidR="004D512C" w:rsidRPr="003C1D29">
        <w:rPr>
          <w:rFonts w:ascii="Calibri" w:hAnsi="Calibri" w:cs="Calibri"/>
        </w:rPr>
        <w:t>,</w:t>
      </w:r>
      <w:r w:rsidR="3365E6ED" w:rsidRPr="003C1D29">
        <w:rPr>
          <w:rFonts w:ascii="Calibri" w:hAnsi="Calibri" w:cs="Calibri"/>
        </w:rPr>
        <w:t xml:space="preserve"> </w:t>
      </w:r>
      <w:r w:rsidR="57BEB787" w:rsidRPr="003C1D29">
        <w:rPr>
          <w:rFonts w:ascii="Calibri" w:hAnsi="Calibri" w:cs="Calibri"/>
        </w:rPr>
        <w:t xml:space="preserve">and which </w:t>
      </w:r>
      <w:r w:rsidR="7099CA23" w:rsidRPr="003C1D29">
        <w:rPr>
          <w:rFonts w:ascii="Calibri" w:hAnsi="Calibri" w:cs="Calibri"/>
        </w:rPr>
        <w:t xml:space="preserve">may </w:t>
      </w:r>
      <w:r w:rsidR="00C10CB0" w:rsidRPr="003C1D29">
        <w:rPr>
          <w:rFonts w:ascii="Calibri" w:hAnsi="Calibri" w:cs="Calibri"/>
        </w:rPr>
        <w:t xml:space="preserve">pathway </w:t>
      </w:r>
      <w:r w:rsidR="00627056" w:rsidRPr="003C1D29">
        <w:rPr>
          <w:rFonts w:ascii="Calibri" w:hAnsi="Calibri" w:cs="Calibri"/>
        </w:rPr>
        <w:t>into an apprenticeshi</w:t>
      </w:r>
      <w:r w:rsidR="6B69FE55" w:rsidRPr="003C1D29">
        <w:rPr>
          <w:rFonts w:ascii="Calibri" w:hAnsi="Calibri" w:cs="Calibri"/>
        </w:rPr>
        <w:t>p</w:t>
      </w:r>
      <w:r w:rsidR="00503F0F" w:rsidRPr="003C1D29">
        <w:rPr>
          <w:rFonts w:ascii="Calibri" w:hAnsi="Calibri" w:cs="Calibri"/>
        </w:rPr>
        <w:t>.</w:t>
      </w:r>
    </w:p>
    <w:p w14:paraId="32D5C178" w14:textId="77777777" w:rsidR="00F2793D" w:rsidRPr="003C1D29" w:rsidRDefault="71D793A5" w:rsidP="00AE2EBD">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t xml:space="preserve">Registered Training Organisation (RTO) </w:t>
      </w:r>
      <w:r w:rsidRPr="003C1D29">
        <w:rPr>
          <w:rFonts w:ascii="Calibri" w:hAnsi="Calibri" w:cs="Calibri"/>
        </w:rPr>
        <w:t>is registered with ASQA in accordance with the requirements of the VET Quality Framework, to provide specific vocational education and training and/or assessment services.</w:t>
      </w:r>
    </w:p>
    <w:p w14:paraId="203D1274" w14:textId="77777777" w:rsidR="006D6106" w:rsidRPr="003C1D29" w:rsidRDefault="00DE3F65" w:rsidP="00AE2EBD">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t xml:space="preserve">Student </w:t>
      </w:r>
      <w:r w:rsidR="005D69AE" w:rsidRPr="003C1D29">
        <w:rPr>
          <w:rFonts w:ascii="Calibri" w:hAnsi="Calibri" w:cs="Calibri"/>
          <w:b/>
          <w:bCs/>
        </w:rPr>
        <w:t xml:space="preserve">Support </w:t>
      </w:r>
      <w:r w:rsidR="00044CFB" w:rsidRPr="003C1D29">
        <w:rPr>
          <w:rFonts w:ascii="Calibri" w:hAnsi="Calibri" w:cs="Calibri"/>
          <w:b/>
          <w:bCs/>
        </w:rPr>
        <w:t>Funding</w:t>
      </w:r>
      <w:r w:rsidR="005D69AE" w:rsidRPr="003C1D29">
        <w:rPr>
          <w:rFonts w:ascii="Calibri" w:hAnsi="Calibri" w:cs="Calibri"/>
          <w:b/>
          <w:bCs/>
        </w:rPr>
        <w:t xml:space="preserve"> </w:t>
      </w:r>
      <w:r w:rsidR="00044CFB" w:rsidRPr="003C1D29">
        <w:rPr>
          <w:rFonts w:ascii="Calibri" w:hAnsi="Calibri" w:cs="Calibri"/>
        </w:rPr>
        <w:t xml:space="preserve">is to </w:t>
      </w:r>
      <w:r w:rsidR="005D69AE" w:rsidRPr="003C1D29">
        <w:rPr>
          <w:rFonts w:ascii="Calibri" w:hAnsi="Calibri" w:cs="Calibri"/>
        </w:rPr>
        <w:t xml:space="preserve">enhance student access to training and </w:t>
      </w:r>
      <w:r w:rsidR="00044CFB" w:rsidRPr="003C1D29">
        <w:rPr>
          <w:rFonts w:ascii="Calibri" w:hAnsi="Calibri" w:cs="Calibri"/>
        </w:rPr>
        <w:t>improve</w:t>
      </w:r>
      <w:r w:rsidR="005D69AE" w:rsidRPr="003C1D29">
        <w:rPr>
          <w:rFonts w:ascii="Calibri" w:hAnsi="Calibri" w:cs="Calibri"/>
        </w:rPr>
        <w:t xml:space="preserve"> completions. These </w:t>
      </w:r>
      <w:r w:rsidR="004C7B6D" w:rsidRPr="003C1D29">
        <w:rPr>
          <w:rFonts w:ascii="Calibri" w:hAnsi="Calibri" w:cs="Calibri"/>
        </w:rPr>
        <w:t xml:space="preserve">activities </w:t>
      </w:r>
      <w:r w:rsidR="005D69AE" w:rsidRPr="003C1D29">
        <w:rPr>
          <w:rFonts w:ascii="Calibri" w:hAnsi="Calibri" w:cs="Calibri"/>
        </w:rPr>
        <w:t>will be agreed bilaterally and included in State Implementation Plans.</w:t>
      </w:r>
    </w:p>
    <w:p w14:paraId="04A96BB2" w14:textId="77777777" w:rsidR="006D6106" w:rsidRPr="003C1D29" w:rsidRDefault="00282C75" w:rsidP="00AE2EBD">
      <w:pPr>
        <w:pStyle w:val="paragraph"/>
        <w:numPr>
          <w:ilvl w:val="1"/>
          <w:numId w:val="19"/>
        </w:numPr>
        <w:spacing w:before="0" w:beforeAutospacing="0" w:after="0" w:afterAutospacing="0"/>
        <w:textAlignment w:val="baseline"/>
        <w:rPr>
          <w:rFonts w:ascii="Calibri" w:hAnsi="Calibri" w:cs="Calibri"/>
        </w:rPr>
      </w:pPr>
      <w:r w:rsidRPr="003C1D29">
        <w:rPr>
          <w:rFonts w:ascii="Calibri" w:hAnsi="Calibri" w:cs="Calibri"/>
          <w:b/>
          <w:bCs/>
        </w:rPr>
        <w:t>TAFE</w:t>
      </w:r>
      <w:r w:rsidR="00EA754F" w:rsidRPr="003C1D29">
        <w:rPr>
          <w:rFonts w:ascii="Calibri" w:hAnsi="Calibri" w:cs="Calibri"/>
          <w:b/>
          <w:bCs/>
        </w:rPr>
        <w:t xml:space="preserve"> </w:t>
      </w:r>
      <w:r w:rsidR="00EA754F" w:rsidRPr="003C1D29">
        <w:rPr>
          <w:rFonts w:ascii="Calibri" w:hAnsi="Calibri" w:cs="Calibri"/>
        </w:rPr>
        <w:t xml:space="preserve">means a training provider that is recognised as a TAFE, public dual sector higher education provider, a TAFE </w:t>
      </w:r>
      <w:proofErr w:type="spellStart"/>
      <w:r w:rsidR="00EA754F" w:rsidRPr="003C1D29">
        <w:rPr>
          <w:rFonts w:ascii="Calibri" w:hAnsi="Calibri" w:cs="Calibri"/>
        </w:rPr>
        <w:t>auspicing</w:t>
      </w:r>
      <w:proofErr w:type="spellEnd"/>
      <w:r w:rsidR="00EA754F" w:rsidRPr="003C1D29">
        <w:rPr>
          <w:rFonts w:ascii="Calibri" w:hAnsi="Calibri" w:cs="Calibri"/>
        </w:rPr>
        <w:t xml:space="preserve"> or partnership arrangement.</w:t>
      </w:r>
    </w:p>
    <w:p w14:paraId="65D1FC1B" w14:textId="33D5873A" w:rsidR="00C57E80" w:rsidRPr="003C1D29" w:rsidRDefault="00C57E80" w:rsidP="00AE2EBD">
      <w:pPr>
        <w:pStyle w:val="paragraph"/>
        <w:numPr>
          <w:ilvl w:val="1"/>
          <w:numId w:val="19"/>
        </w:numPr>
        <w:spacing w:before="0" w:beforeAutospacing="0" w:after="0" w:afterAutospacing="0"/>
        <w:textAlignment w:val="baseline"/>
        <w:rPr>
          <w:rFonts w:ascii="Calibri" w:hAnsi="Calibri" w:cs="Calibri"/>
          <w:b/>
          <w:bCs/>
        </w:rPr>
      </w:pPr>
      <w:r w:rsidRPr="003C1D29">
        <w:rPr>
          <w:rFonts w:ascii="Calibri" w:hAnsi="Calibri" w:cs="Calibri"/>
          <w:b/>
          <w:bCs/>
        </w:rPr>
        <w:t xml:space="preserve">Visa Holders </w:t>
      </w:r>
      <w:r w:rsidRPr="003C1D29">
        <w:rPr>
          <w:rFonts w:ascii="Calibri" w:hAnsi="Calibri" w:cs="Calibri"/>
        </w:rPr>
        <w:t>means a student who holds an eligible visa as agreed between the State and Commonwealth.</w:t>
      </w:r>
    </w:p>
    <w:sectPr w:rsidR="00C57E80" w:rsidRPr="003C1D29" w:rsidSect="00756AB5">
      <w:pgSz w:w="11906" w:h="16838" w:code="9"/>
      <w:pgMar w:top="760" w:right="1140" w:bottom="1338" w:left="1134" w:header="720"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356D" w14:textId="77777777" w:rsidR="006B224D" w:rsidRDefault="006B224D">
      <w:pPr>
        <w:spacing w:after="0" w:line="240" w:lineRule="auto"/>
      </w:pPr>
      <w:r>
        <w:separator/>
      </w:r>
    </w:p>
  </w:endnote>
  <w:endnote w:type="continuationSeparator" w:id="0">
    <w:p w14:paraId="180BC386" w14:textId="77777777" w:rsidR="006B224D" w:rsidRDefault="006B224D">
      <w:pPr>
        <w:spacing w:after="0" w:line="240" w:lineRule="auto"/>
      </w:pPr>
      <w:r>
        <w:continuationSeparator/>
      </w:r>
    </w:p>
  </w:endnote>
  <w:endnote w:type="continuationNotice" w:id="1">
    <w:p w14:paraId="6390742A" w14:textId="77777777" w:rsidR="006B224D" w:rsidRDefault="006B2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638D" w14:textId="5677BFCE" w:rsidR="0029427C" w:rsidRDefault="008F73E5">
    <w:pPr>
      <w:spacing w:after="0" w:line="259" w:lineRule="auto"/>
      <w:ind w:left="0" w:firstLine="0"/>
      <w:jc w:val="center"/>
    </w:pPr>
    <w:r>
      <w:rPr>
        <w:noProof/>
      </w:rPr>
      <mc:AlternateContent>
        <mc:Choice Requires="wps">
          <w:drawing>
            <wp:anchor distT="0" distB="0" distL="0" distR="0" simplePos="0" relativeHeight="251674624" behindDoc="0" locked="0" layoutInCell="1" allowOverlap="1" wp14:anchorId="4B06262A" wp14:editId="08EAAFB1">
              <wp:simplePos x="635" y="635"/>
              <wp:positionH relativeFrom="page">
                <wp:align>center</wp:align>
              </wp:positionH>
              <wp:positionV relativeFrom="page">
                <wp:align>bottom</wp:align>
              </wp:positionV>
              <wp:extent cx="443865" cy="443865"/>
              <wp:effectExtent l="0" t="0" r="18415" b="0"/>
              <wp:wrapNone/>
              <wp:docPr id="188827637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DCA5E" w14:textId="79894998"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6262A" id="_x0000_t202" coordsize="21600,21600" o:spt="202" path="m,l,21600r21600,l21600,xe">
              <v:stroke joinstyle="miter"/>
              <v:path gradientshapeok="t" o:connecttype="rect"/>
            </v:shapetype>
            <v:shape id="Text Box 17" o:spid="_x0000_s1028"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C3DCA5E" w14:textId="79894998"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fldChar w:fldCharType="begin"/>
    </w:r>
    <w:r w:rsidR="00CD24A0">
      <w:instrText xml:space="preserve"> PAGE   \* MERGEFORMAT </w:instrText>
    </w:r>
    <w:r w:rsidR="00CD24A0">
      <w:fldChar w:fldCharType="separate"/>
    </w:r>
    <w:r w:rsidR="00CD24A0">
      <w:t>1</w:t>
    </w:r>
    <w:r w:rsidR="00CD24A0">
      <w:fldChar w:fldCharType="end"/>
    </w:r>
    <w:r w:rsidR="00CD24A0">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4EE4" w14:textId="0B3971DC" w:rsidR="0029427C" w:rsidRDefault="008F73E5">
    <w:pPr>
      <w:spacing w:after="0" w:line="259" w:lineRule="auto"/>
      <w:ind w:left="1" w:firstLine="0"/>
      <w:jc w:val="center"/>
    </w:pPr>
    <w:r>
      <w:rPr>
        <w:noProof/>
      </w:rPr>
      <mc:AlternateContent>
        <mc:Choice Requires="wps">
          <w:drawing>
            <wp:anchor distT="0" distB="0" distL="0" distR="0" simplePos="0" relativeHeight="251683840" behindDoc="0" locked="0" layoutInCell="1" allowOverlap="1" wp14:anchorId="35D1C00B" wp14:editId="7CE2958D">
              <wp:simplePos x="635" y="635"/>
              <wp:positionH relativeFrom="page">
                <wp:align>center</wp:align>
              </wp:positionH>
              <wp:positionV relativeFrom="page">
                <wp:align>bottom</wp:align>
              </wp:positionV>
              <wp:extent cx="443865" cy="443865"/>
              <wp:effectExtent l="0" t="0" r="18415" b="0"/>
              <wp:wrapNone/>
              <wp:docPr id="1239920228"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F7A46" w14:textId="6592B3C2"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D1C00B" id="_x0000_t202" coordsize="21600,21600" o:spt="202" path="m,l,21600r21600,l21600,xe">
              <v:stroke joinstyle="miter"/>
              <v:path gradientshapeok="t" o:connecttype="rect"/>
            </v:shapetype>
            <v:shape id="Text Box 26" o:spid="_x0000_s1046" type="#_x0000_t202" alt="OFFICIAL" style="position:absolute;left:0;text-align:left;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FCF7A46" w14:textId="6592B3C2"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fldChar w:fldCharType="begin"/>
    </w:r>
    <w:r w:rsidR="00CD24A0">
      <w:instrText xml:space="preserve"> PAGE   \* MERGEFORMAT </w:instrText>
    </w:r>
    <w:r w:rsidR="00CD24A0">
      <w:fldChar w:fldCharType="separate"/>
    </w:r>
    <w:r w:rsidR="00CD24A0">
      <w:t>13</w:t>
    </w:r>
    <w:r w:rsidR="00CD24A0">
      <w:fldChar w:fldCharType="end"/>
    </w:r>
    <w:r w:rsidR="00CD24A0">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859" w14:textId="0676D6C3" w:rsidR="00963EEB" w:rsidRDefault="008F73E5">
    <w:pPr>
      <w:pStyle w:val="Footer"/>
      <w:jc w:val="center"/>
    </w:pPr>
    <w:r>
      <w:rPr>
        <w:noProof/>
      </w:rPr>
      <mc:AlternateContent>
        <mc:Choice Requires="wps">
          <w:drawing>
            <wp:anchor distT="0" distB="0" distL="0" distR="0" simplePos="0" relativeHeight="251684864" behindDoc="0" locked="0" layoutInCell="1" allowOverlap="1" wp14:anchorId="1819AD3E" wp14:editId="1BBF9860">
              <wp:simplePos x="635" y="635"/>
              <wp:positionH relativeFrom="page">
                <wp:align>center</wp:align>
              </wp:positionH>
              <wp:positionV relativeFrom="page">
                <wp:align>bottom</wp:align>
              </wp:positionV>
              <wp:extent cx="443865" cy="443865"/>
              <wp:effectExtent l="0" t="0" r="18415" b="0"/>
              <wp:wrapNone/>
              <wp:docPr id="136540855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200F18" w14:textId="2DEFC138"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9AD3E" id="_x0000_t202" coordsize="21600,21600" o:spt="202" path="m,l,21600r21600,l21600,xe">
              <v:stroke joinstyle="miter"/>
              <v:path gradientshapeok="t" o:connecttype="rect"/>
            </v:shapetype>
            <v:shape id="Text Box 27" o:spid="_x0000_s1047" type="#_x0000_t202" alt="OFFICIAL" style="position:absolute;left:0;text-align:left;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9200F18" w14:textId="2DEFC138"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sdt>
      <w:sdtPr>
        <w:id w:val="-580219889"/>
        <w:docPartObj>
          <w:docPartGallery w:val="Page Numbers (Bottom of Page)"/>
          <w:docPartUnique/>
        </w:docPartObj>
      </w:sdtPr>
      <w:sdtEndPr>
        <w:rPr>
          <w:noProof/>
        </w:rPr>
      </w:sdtEndPr>
      <w:sdtContent>
        <w:r w:rsidR="00963EEB">
          <w:fldChar w:fldCharType="begin"/>
        </w:r>
        <w:r w:rsidR="00963EEB">
          <w:instrText xml:space="preserve"> PAGE   \* MERGEFORMAT </w:instrText>
        </w:r>
        <w:r w:rsidR="00963EEB">
          <w:fldChar w:fldCharType="separate"/>
        </w:r>
        <w:r w:rsidR="00963EEB">
          <w:rPr>
            <w:noProof/>
          </w:rPr>
          <w:t>2</w:t>
        </w:r>
        <w:r w:rsidR="00963EEB">
          <w:rPr>
            <w:noProof/>
          </w:rPr>
          <w:fldChar w:fldCharType="end"/>
        </w:r>
      </w:sdtContent>
    </w:sdt>
  </w:p>
  <w:p w14:paraId="154CEDE2" w14:textId="6D79A109" w:rsidR="0029427C" w:rsidRDefault="0029427C" w:rsidP="009F771B">
    <w:pPr>
      <w:spacing w:after="0" w:line="259" w:lineRule="auto"/>
      <w:ind w:left="1"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46E6" w14:textId="7E83D731" w:rsidR="0029427C" w:rsidRDefault="008F73E5">
    <w:pPr>
      <w:spacing w:after="0" w:line="259" w:lineRule="auto"/>
      <w:ind w:left="1" w:firstLine="0"/>
      <w:jc w:val="center"/>
    </w:pPr>
    <w:r>
      <w:rPr>
        <w:noProof/>
      </w:rPr>
      <mc:AlternateContent>
        <mc:Choice Requires="wps">
          <w:drawing>
            <wp:anchor distT="0" distB="0" distL="0" distR="0" simplePos="0" relativeHeight="251682816" behindDoc="0" locked="0" layoutInCell="1" allowOverlap="1" wp14:anchorId="22E36212" wp14:editId="1A36A256">
              <wp:simplePos x="635" y="635"/>
              <wp:positionH relativeFrom="page">
                <wp:align>center</wp:align>
              </wp:positionH>
              <wp:positionV relativeFrom="page">
                <wp:align>bottom</wp:align>
              </wp:positionV>
              <wp:extent cx="443865" cy="443865"/>
              <wp:effectExtent l="0" t="0" r="18415" b="0"/>
              <wp:wrapNone/>
              <wp:docPr id="169646243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1DEB0" w14:textId="4138C853"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36212" id="_x0000_t202" coordsize="21600,21600" o:spt="202" path="m,l,21600r21600,l21600,xe">
              <v:stroke joinstyle="miter"/>
              <v:path gradientshapeok="t" o:connecttype="rect"/>
            </v:shapetype>
            <v:shape id="Text Box 25" o:spid="_x0000_s1049" type="#_x0000_t202" alt="OFFICIAL" style="position:absolute;left:0;text-align:left;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131DEB0" w14:textId="4138C853"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fldChar w:fldCharType="begin"/>
    </w:r>
    <w:r w:rsidR="00CD24A0">
      <w:instrText xml:space="preserve"> PAGE   \* MERGEFORMAT </w:instrText>
    </w:r>
    <w:r w:rsidR="00CD24A0">
      <w:fldChar w:fldCharType="separate"/>
    </w:r>
    <w:r w:rsidR="00CD24A0">
      <w:t>13</w:t>
    </w:r>
    <w:r w:rsidR="00CD24A0">
      <w:fldChar w:fldCharType="end"/>
    </w:r>
    <w:r w:rsidR="00CD24A0">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2FFE" w14:textId="55E4797D" w:rsidR="0029427C" w:rsidRDefault="008F73E5">
    <w:pPr>
      <w:spacing w:after="0" w:line="259" w:lineRule="auto"/>
      <w:ind w:left="4" w:firstLine="0"/>
      <w:jc w:val="center"/>
    </w:pPr>
    <w:r>
      <w:rPr>
        <w:noProof/>
      </w:rPr>
      <mc:AlternateContent>
        <mc:Choice Requires="wps">
          <w:drawing>
            <wp:anchor distT="0" distB="0" distL="0" distR="0" simplePos="0" relativeHeight="251686912" behindDoc="0" locked="0" layoutInCell="1" allowOverlap="1" wp14:anchorId="391585FB" wp14:editId="6511739F">
              <wp:simplePos x="635" y="635"/>
              <wp:positionH relativeFrom="page">
                <wp:align>center</wp:align>
              </wp:positionH>
              <wp:positionV relativeFrom="page">
                <wp:align>bottom</wp:align>
              </wp:positionV>
              <wp:extent cx="443865" cy="443865"/>
              <wp:effectExtent l="0" t="0" r="18415" b="0"/>
              <wp:wrapNone/>
              <wp:docPr id="110271562"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D134A" w14:textId="53B9F8EA"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1585FB" id="_x0000_t202" coordsize="21600,21600" o:spt="202" path="m,l,21600r21600,l21600,xe">
              <v:stroke joinstyle="miter"/>
              <v:path gradientshapeok="t" o:connecttype="rect"/>
            </v:shapetype>
            <v:shape id="Text Box 29" o:spid="_x0000_s1052" type="#_x0000_t202" alt="OFFICIAL" style="position:absolute;left:0;text-align:left;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E5D134A" w14:textId="53B9F8EA"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fldChar w:fldCharType="begin"/>
    </w:r>
    <w:r w:rsidR="00CD24A0">
      <w:instrText xml:space="preserve"> PAGE   \* MERGEFORMAT </w:instrText>
    </w:r>
    <w:r w:rsidR="00CD24A0">
      <w:fldChar w:fldCharType="separate"/>
    </w:r>
    <w:r w:rsidR="00CD24A0">
      <w:t>13</w:t>
    </w:r>
    <w:r w:rsidR="00CD24A0">
      <w:fldChar w:fldCharType="end"/>
    </w:r>
    <w:r w:rsidR="00CD24A0">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431A" w14:textId="7767F3F2" w:rsidR="00963EEB" w:rsidRDefault="008F73E5">
    <w:pPr>
      <w:pStyle w:val="Footer"/>
      <w:jc w:val="center"/>
    </w:pPr>
    <w:r>
      <w:rPr>
        <w:noProof/>
      </w:rPr>
      <mc:AlternateContent>
        <mc:Choice Requires="wps">
          <w:drawing>
            <wp:anchor distT="0" distB="0" distL="0" distR="0" simplePos="0" relativeHeight="251687936" behindDoc="0" locked="0" layoutInCell="1" allowOverlap="1" wp14:anchorId="6A067469" wp14:editId="35697B48">
              <wp:simplePos x="635" y="635"/>
              <wp:positionH relativeFrom="page">
                <wp:align>center</wp:align>
              </wp:positionH>
              <wp:positionV relativeFrom="page">
                <wp:align>bottom</wp:align>
              </wp:positionV>
              <wp:extent cx="443865" cy="443865"/>
              <wp:effectExtent l="0" t="0" r="18415" b="0"/>
              <wp:wrapNone/>
              <wp:docPr id="1460242611"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475C0" w14:textId="3C060B63"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67469" id="_x0000_t202" coordsize="21600,21600" o:spt="202" path="m,l,21600r21600,l21600,xe">
              <v:stroke joinstyle="miter"/>
              <v:path gradientshapeok="t" o:connecttype="rect"/>
            </v:shapetype>
            <v:shape id="Text Box 30" o:spid="_x0000_s1053" type="#_x0000_t202" alt="OFFICIAL" style="position:absolute;left:0;text-align:left;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F6475C0" w14:textId="3C060B63"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sdt>
      <w:sdtPr>
        <w:id w:val="294490160"/>
        <w:docPartObj>
          <w:docPartGallery w:val="Page Numbers (Bottom of Page)"/>
          <w:docPartUnique/>
        </w:docPartObj>
      </w:sdtPr>
      <w:sdtEndPr>
        <w:rPr>
          <w:noProof/>
        </w:rPr>
      </w:sdtEndPr>
      <w:sdtContent>
        <w:r w:rsidR="00963EEB">
          <w:fldChar w:fldCharType="begin"/>
        </w:r>
        <w:r w:rsidR="00963EEB">
          <w:instrText xml:space="preserve"> PAGE   \* MERGEFORMAT </w:instrText>
        </w:r>
        <w:r w:rsidR="00963EEB">
          <w:fldChar w:fldCharType="separate"/>
        </w:r>
        <w:r w:rsidR="00963EEB">
          <w:rPr>
            <w:noProof/>
          </w:rPr>
          <w:t>2</w:t>
        </w:r>
        <w:r w:rsidR="00963EEB">
          <w:rPr>
            <w:noProof/>
          </w:rPr>
          <w:fldChar w:fldCharType="end"/>
        </w:r>
      </w:sdtContent>
    </w:sdt>
  </w:p>
  <w:p w14:paraId="4C7C1EC6" w14:textId="6A32326C" w:rsidR="0029427C" w:rsidRDefault="0029427C">
    <w:pPr>
      <w:spacing w:after="0" w:line="259" w:lineRule="auto"/>
      <w:ind w:left="4" w:firstLine="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83C" w14:textId="2198D94E" w:rsidR="0029427C" w:rsidRDefault="008F73E5">
    <w:pPr>
      <w:spacing w:after="0" w:line="259" w:lineRule="auto"/>
      <w:ind w:left="4" w:firstLine="0"/>
      <w:jc w:val="center"/>
    </w:pPr>
    <w:r>
      <w:rPr>
        <w:noProof/>
      </w:rPr>
      <mc:AlternateContent>
        <mc:Choice Requires="wps">
          <w:drawing>
            <wp:anchor distT="0" distB="0" distL="0" distR="0" simplePos="0" relativeHeight="251685888" behindDoc="0" locked="0" layoutInCell="1" allowOverlap="1" wp14:anchorId="7FD54120" wp14:editId="7B8BC888">
              <wp:simplePos x="635" y="635"/>
              <wp:positionH relativeFrom="page">
                <wp:align>center</wp:align>
              </wp:positionH>
              <wp:positionV relativeFrom="page">
                <wp:align>bottom</wp:align>
              </wp:positionV>
              <wp:extent cx="443865" cy="443865"/>
              <wp:effectExtent l="0" t="0" r="18415" b="0"/>
              <wp:wrapNone/>
              <wp:docPr id="94818482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37E0A" w14:textId="17472C5D"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D54120" id="_x0000_t202" coordsize="21600,21600" o:spt="202" path="m,l,21600r21600,l21600,xe">
              <v:stroke joinstyle="miter"/>
              <v:path gradientshapeok="t" o:connecttype="rect"/>
            </v:shapetype>
            <v:shape id="Text Box 28" o:spid="_x0000_s1055" type="#_x0000_t202" alt="OFFICIAL" style="position:absolute;left:0;text-align:left;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B437E0A" w14:textId="17472C5D"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fldChar w:fldCharType="begin"/>
    </w:r>
    <w:r w:rsidR="00CD24A0">
      <w:instrText xml:space="preserve"> PAGE   \* MERGEFORMAT </w:instrText>
    </w:r>
    <w:r w:rsidR="00CD24A0">
      <w:fldChar w:fldCharType="separate"/>
    </w:r>
    <w:r w:rsidR="00CD24A0">
      <w:t>13</w:t>
    </w:r>
    <w:r w:rsidR="00CD24A0">
      <w:fldChar w:fldCharType="end"/>
    </w:r>
    <w:r w:rsidR="00CD24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5CC0" w14:textId="2092F1BE" w:rsidR="006A1D52" w:rsidRDefault="008F73E5">
    <w:pPr>
      <w:pStyle w:val="Footer"/>
      <w:jc w:val="center"/>
    </w:pPr>
    <w:r>
      <w:rPr>
        <w:noProof/>
      </w:rPr>
      <mc:AlternateContent>
        <mc:Choice Requires="wps">
          <w:drawing>
            <wp:anchor distT="0" distB="0" distL="0" distR="0" simplePos="0" relativeHeight="251675648" behindDoc="0" locked="0" layoutInCell="1" allowOverlap="1" wp14:anchorId="4050C018" wp14:editId="468A25CD">
              <wp:simplePos x="716280" y="9875520"/>
              <wp:positionH relativeFrom="page">
                <wp:align>center</wp:align>
              </wp:positionH>
              <wp:positionV relativeFrom="page">
                <wp:align>bottom</wp:align>
              </wp:positionV>
              <wp:extent cx="443865" cy="443865"/>
              <wp:effectExtent l="0" t="0" r="18415" b="0"/>
              <wp:wrapNone/>
              <wp:docPr id="149800293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86D05" w14:textId="542B288A"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0C018" id="_x0000_t202" coordsize="21600,21600" o:spt="202" path="m,l,21600r21600,l21600,xe">
              <v:stroke joinstyle="miter"/>
              <v:path gradientshapeok="t" o:connecttype="rect"/>
            </v:shapetype>
            <v:shape id="Text Box 18" o:spid="_x0000_s1029"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F686D05" w14:textId="542B288A"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sdt>
      <w:sdtPr>
        <w:id w:val="-566411877"/>
        <w:docPartObj>
          <w:docPartGallery w:val="Page Numbers (Bottom of Page)"/>
          <w:docPartUnique/>
        </w:docPartObj>
      </w:sdtPr>
      <w:sdtEndPr>
        <w:rPr>
          <w:noProof/>
        </w:rPr>
      </w:sdtEndPr>
      <w:sdtContent>
        <w:r w:rsidR="006A1D52">
          <w:fldChar w:fldCharType="begin"/>
        </w:r>
        <w:r w:rsidR="006A1D52">
          <w:instrText xml:space="preserve"> PAGE   \* MERGEFORMAT </w:instrText>
        </w:r>
        <w:r w:rsidR="006A1D52">
          <w:fldChar w:fldCharType="separate"/>
        </w:r>
        <w:r w:rsidR="006A1D52">
          <w:rPr>
            <w:noProof/>
          </w:rPr>
          <w:t>2</w:t>
        </w:r>
        <w:r w:rsidR="006A1D52">
          <w:rPr>
            <w:noProof/>
          </w:rPr>
          <w:fldChar w:fldCharType="end"/>
        </w:r>
      </w:sdtContent>
    </w:sdt>
  </w:p>
  <w:p w14:paraId="23B1FF4A" w14:textId="4D18D985" w:rsidR="0029427C" w:rsidRDefault="0029427C">
    <w:pPr>
      <w:spacing w:after="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1F19" w14:textId="314A258C" w:rsidR="0029427C" w:rsidRDefault="008F73E5" w:rsidP="00E97DCF">
    <w:pPr>
      <w:spacing w:after="0" w:line="259" w:lineRule="auto"/>
      <w:ind w:left="2880" w:firstLine="720"/>
    </w:pPr>
    <w:r>
      <w:rPr>
        <w:noProof/>
      </w:rPr>
      <mc:AlternateContent>
        <mc:Choice Requires="wps">
          <w:drawing>
            <wp:anchor distT="0" distB="0" distL="0" distR="0" simplePos="0" relativeHeight="251673600" behindDoc="0" locked="0" layoutInCell="1" allowOverlap="1" wp14:anchorId="048F4B52" wp14:editId="08FA7DBE">
              <wp:simplePos x="635" y="635"/>
              <wp:positionH relativeFrom="page">
                <wp:align>center</wp:align>
              </wp:positionH>
              <wp:positionV relativeFrom="page">
                <wp:align>bottom</wp:align>
              </wp:positionV>
              <wp:extent cx="443865" cy="443865"/>
              <wp:effectExtent l="0" t="0" r="18415" b="0"/>
              <wp:wrapNone/>
              <wp:docPr id="160907518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1EF4E" w14:textId="47565396"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F4B52" id="_x0000_t202" coordsize="21600,21600" o:spt="202" path="m,l,21600r21600,l21600,xe">
              <v:stroke joinstyle="miter"/>
              <v:path gradientshapeok="t" o:connecttype="rect"/>
            </v:shapetype>
            <v:shape id="Text Box 16" o:spid="_x0000_s1031"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951EF4E" w14:textId="47565396"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9F76" w14:textId="2AA0723C" w:rsidR="0029427C" w:rsidRDefault="008F73E5">
    <w:pPr>
      <w:spacing w:after="0" w:line="259" w:lineRule="auto"/>
      <w:ind w:left="6190" w:firstLine="0"/>
      <w:jc w:val="center"/>
    </w:pPr>
    <w:r>
      <w:rPr>
        <w:noProof/>
      </w:rPr>
      <mc:AlternateContent>
        <mc:Choice Requires="wps">
          <w:drawing>
            <wp:anchor distT="0" distB="0" distL="0" distR="0" simplePos="0" relativeHeight="251677696" behindDoc="0" locked="0" layoutInCell="1" allowOverlap="1" wp14:anchorId="684B27A2" wp14:editId="31784D9F">
              <wp:simplePos x="635" y="635"/>
              <wp:positionH relativeFrom="page">
                <wp:align>center</wp:align>
              </wp:positionH>
              <wp:positionV relativeFrom="page">
                <wp:align>bottom</wp:align>
              </wp:positionV>
              <wp:extent cx="443865" cy="443865"/>
              <wp:effectExtent l="0" t="0" r="18415" b="0"/>
              <wp:wrapNone/>
              <wp:docPr id="79905046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5256C" w14:textId="5F098CCE"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B27A2" id="_x0000_t202" coordsize="21600,21600" o:spt="202" path="m,l,21600r21600,l21600,xe">
              <v:stroke joinstyle="miter"/>
              <v:path gradientshapeok="t" o:connecttype="rect"/>
            </v:shapetype>
            <v:shape id="Text Box 20" o:spid="_x0000_s1034"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D5256C" w14:textId="5F098CCE"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fldChar w:fldCharType="begin"/>
    </w:r>
    <w:r w:rsidR="00CD24A0">
      <w:instrText xml:space="preserve"> PAGE   \* MERGEFORMAT </w:instrText>
    </w:r>
    <w:r w:rsidR="00CD24A0">
      <w:fldChar w:fldCharType="separate"/>
    </w:r>
    <w:r w:rsidR="00CD24A0">
      <w:t>5</w:t>
    </w:r>
    <w:r w:rsidR="00CD24A0">
      <w:fldChar w:fldCharType="end"/>
    </w:r>
    <w:r w:rsidR="00CD24A0">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109" w14:textId="0563A8C2" w:rsidR="00864C39" w:rsidRDefault="008F73E5" w:rsidP="009F771B">
    <w:pPr>
      <w:pStyle w:val="Footer"/>
      <w:ind w:left="897" w:firstLine="4143"/>
      <w:jc w:val="center"/>
    </w:pPr>
    <w:r>
      <w:rPr>
        <w:noProof/>
      </w:rPr>
      <mc:AlternateContent>
        <mc:Choice Requires="wps">
          <w:drawing>
            <wp:anchor distT="0" distB="0" distL="0" distR="0" simplePos="0" relativeHeight="251678720" behindDoc="0" locked="0" layoutInCell="1" allowOverlap="1" wp14:anchorId="5B4DCCC1" wp14:editId="6F022004">
              <wp:simplePos x="635" y="635"/>
              <wp:positionH relativeFrom="page">
                <wp:align>center</wp:align>
              </wp:positionH>
              <wp:positionV relativeFrom="page">
                <wp:align>bottom</wp:align>
              </wp:positionV>
              <wp:extent cx="443865" cy="443865"/>
              <wp:effectExtent l="0" t="0" r="18415" b="0"/>
              <wp:wrapNone/>
              <wp:docPr id="115710746"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FDE1F" w14:textId="27292900"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DCCC1" id="_x0000_t202" coordsize="21600,21600" o:spt="202" path="m,l,21600r21600,l21600,xe">
              <v:stroke joinstyle="miter"/>
              <v:path gradientshapeok="t" o:connecttype="rect"/>
            </v:shapetype>
            <v:shape id="Text Box 21" o:spid="_x0000_s1035"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EFDE1F" w14:textId="27292900"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sdt>
      <w:sdtPr>
        <w:id w:val="-1295360247"/>
        <w:docPartObj>
          <w:docPartGallery w:val="Page Numbers (Bottom of Page)"/>
          <w:docPartUnique/>
        </w:docPartObj>
      </w:sdtPr>
      <w:sdtEndPr>
        <w:rPr>
          <w:noProof/>
        </w:rPr>
      </w:sdtEndPr>
      <w:sdtContent>
        <w:r w:rsidR="00864C39">
          <w:fldChar w:fldCharType="begin"/>
        </w:r>
        <w:r w:rsidR="00864C39">
          <w:instrText xml:space="preserve"> PAGE   \* MERGEFORMAT </w:instrText>
        </w:r>
        <w:r w:rsidR="00864C39">
          <w:fldChar w:fldCharType="separate"/>
        </w:r>
        <w:r w:rsidR="00864C39">
          <w:rPr>
            <w:noProof/>
          </w:rPr>
          <w:t>2</w:t>
        </w:r>
        <w:r w:rsidR="00864C39">
          <w:rPr>
            <w:noProof/>
          </w:rPr>
          <w:fldChar w:fldCharType="end"/>
        </w:r>
      </w:sdtContent>
    </w:sdt>
  </w:p>
  <w:p w14:paraId="1D9F8018" w14:textId="7425D4D0" w:rsidR="0029427C" w:rsidRDefault="0029427C">
    <w:pPr>
      <w:spacing w:after="0" w:line="259" w:lineRule="auto"/>
      <w:ind w:left="619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F935" w14:textId="6B63F11D" w:rsidR="0029427C" w:rsidRDefault="008F73E5">
    <w:pPr>
      <w:spacing w:after="0" w:line="259" w:lineRule="auto"/>
      <w:ind w:left="6190" w:firstLine="0"/>
      <w:jc w:val="center"/>
    </w:pPr>
    <w:r>
      <w:rPr>
        <w:noProof/>
      </w:rPr>
      <mc:AlternateContent>
        <mc:Choice Requires="wps">
          <w:drawing>
            <wp:anchor distT="0" distB="0" distL="0" distR="0" simplePos="0" relativeHeight="251676672" behindDoc="0" locked="0" layoutInCell="1" allowOverlap="1" wp14:anchorId="7425D04E" wp14:editId="6D542EDF">
              <wp:simplePos x="635" y="635"/>
              <wp:positionH relativeFrom="page">
                <wp:align>center</wp:align>
              </wp:positionH>
              <wp:positionV relativeFrom="page">
                <wp:align>bottom</wp:align>
              </wp:positionV>
              <wp:extent cx="443865" cy="443865"/>
              <wp:effectExtent l="0" t="0" r="18415" b="0"/>
              <wp:wrapNone/>
              <wp:docPr id="99031009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51010" w14:textId="0AB60790"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5D04E" id="_x0000_t202" coordsize="21600,21600" o:spt="202" path="m,l,21600r21600,l21600,xe">
              <v:stroke joinstyle="miter"/>
              <v:path gradientshapeok="t" o:connecttype="rect"/>
            </v:shapetype>
            <v:shape id="Text Box 19" o:spid="_x0000_s1037"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C351010" w14:textId="0AB60790"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fldChar w:fldCharType="begin"/>
    </w:r>
    <w:r w:rsidR="00CD24A0">
      <w:instrText xml:space="preserve"> PAGE   \* MERGEFORMAT </w:instrText>
    </w:r>
    <w:r w:rsidR="00CD24A0">
      <w:fldChar w:fldCharType="separate"/>
    </w:r>
    <w:r w:rsidR="00CD24A0">
      <w:t>5</w:t>
    </w:r>
    <w:r w:rsidR="00CD24A0">
      <w:fldChar w:fldCharType="end"/>
    </w:r>
    <w:r w:rsidR="00CD24A0">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F6" w14:textId="4DCE86ED" w:rsidR="0029427C" w:rsidRDefault="008F73E5">
    <w:pPr>
      <w:spacing w:after="160" w:line="259" w:lineRule="auto"/>
      <w:ind w:left="0" w:firstLine="0"/>
    </w:pPr>
    <w:r>
      <w:rPr>
        <w:noProof/>
      </w:rPr>
      <mc:AlternateContent>
        <mc:Choice Requires="wps">
          <w:drawing>
            <wp:anchor distT="0" distB="0" distL="0" distR="0" simplePos="0" relativeHeight="251680768" behindDoc="0" locked="0" layoutInCell="1" allowOverlap="1" wp14:anchorId="071B11C9" wp14:editId="0B351EC2">
              <wp:simplePos x="635" y="635"/>
              <wp:positionH relativeFrom="page">
                <wp:align>center</wp:align>
              </wp:positionH>
              <wp:positionV relativeFrom="page">
                <wp:align>bottom</wp:align>
              </wp:positionV>
              <wp:extent cx="443865" cy="443865"/>
              <wp:effectExtent l="0" t="0" r="18415" b="0"/>
              <wp:wrapNone/>
              <wp:docPr id="160372568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8671B" w14:textId="4A383C6B"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B11C9" id="_x0000_t202" coordsize="21600,21600" o:spt="202" path="m,l,21600r21600,l21600,xe">
              <v:stroke joinstyle="miter"/>
              <v:path gradientshapeok="t" o:connecttype="rect"/>
            </v:shapetype>
            <v:shape id="Text Box 23" o:spid="_x0000_s1040"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318671B" w14:textId="4A383C6B"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D716" w14:textId="113D2F6A" w:rsidR="00963EEB" w:rsidRDefault="008F73E5">
    <w:pPr>
      <w:pStyle w:val="Footer"/>
      <w:jc w:val="center"/>
    </w:pPr>
    <w:r>
      <w:rPr>
        <w:noProof/>
      </w:rPr>
      <mc:AlternateContent>
        <mc:Choice Requires="wps">
          <w:drawing>
            <wp:anchor distT="0" distB="0" distL="0" distR="0" simplePos="0" relativeHeight="251681792" behindDoc="0" locked="0" layoutInCell="1" allowOverlap="1" wp14:anchorId="73509D5E" wp14:editId="5A157CF7">
              <wp:simplePos x="635" y="635"/>
              <wp:positionH relativeFrom="page">
                <wp:align>center</wp:align>
              </wp:positionH>
              <wp:positionV relativeFrom="page">
                <wp:align>bottom</wp:align>
              </wp:positionV>
              <wp:extent cx="443865" cy="443865"/>
              <wp:effectExtent l="0" t="0" r="18415" b="0"/>
              <wp:wrapNone/>
              <wp:docPr id="123350656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7B90A" w14:textId="61928BFF"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09D5E" id="_x0000_t202" coordsize="21600,21600" o:spt="202" path="m,l,21600r21600,l21600,xe">
              <v:stroke joinstyle="miter"/>
              <v:path gradientshapeok="t" o:connecttype="rect"/>
            </v:shapetype>
            <v:shape id="Text Box 24" o:spid="_x0000_s1041" type="#_x0000_t202" alt="OFFICIAL"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347B90A" w14:textId="61928BFF"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sdt>
      <w:sdtPr>
        <w:id w:val="291871222"/>
        <w:docPartObj>
          <w:docPartGallery w:val="Page Numbers (Bottom of Page)"/>
          <w:docPartUnique/>
        </w:docPartObj>
      </w:sdtPr>
      <w:sdtEndPr>
        <w:rPr>
          <w:noProof/>
        </w:rPr>
      </w:sdtEndPr>
      <w:sdtContent>
        <w:r w:rsidR="00963EEB">
          <w:fldChar w:fldCharType="begin"/>
        </w:r>
        <w:r w:rsidR="00963EEB">
          <w:instrText xml:space="preserve"> PAGE   \* MERGEFORMAT </w:instrText>
        </w:r>
        <w:r w:rsidR="00963EEB">
          <w:fldChar w:fldCharType="separate"/>
        </w:r>
        <w:r w:rsidR="00963EEB">
          <w:rPr>
            <w:noProof/>
          </w:rPr>
          <w:t>2</w:t>
        </w:r>
        <w:r w:rsidR="00963EEB">
          <w:rPr>
            <w:noProof/>
          </w:rPr>
          <w:fldChar w:fldCharType="end"/>
        </w:r>
      </w:sdtContent>
    </w:sdt>
  </w:p>
  <w:p w14:paraId="46443C54" w14:textId="791793DF" w:rsidR="0029427C" w:rsidRDefault="0029427C">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464D" w14:textId="0D87FA3F" w:rsidR="0029427C" w:rsidRDefault="008F73E5">
    <w:pPr>
      <w:spacing w:after="160" w:line="259" w:lineRule="auto"/>
      <w:ind w:left="0" w:firstLine="0"/>
    </w:pPr>
    <w:r>
      <w:rPr>
        <w:noProof/>
      </w:rPr>
      <mc:AlternateContent>
        <mc:Choice Requires="wps">
          <w:drawing>
            <wp:anchor distT="0" distB="0" distL="0" distR="0" simplePos="0" relativeHeight="251679744" behindDoc="0" locked="0" layoutInCell="1" allowOverlap="1" wp14:anchorId="34980B1E" wp14:editId="5A98ECC2">
              <wp:simplePos x="635" y="635"/>
              <wp:positionH relativeFrom="page">
                <wp:align>center</wp:align>
              </wp:positionH>
              <wp:positionV relativeFrom="page">
                <wp:align>bottom</wp:align>
              </wp:positionV>
              <wp:extent cx="443865" cy="443865"/>
              <wp:effectExtent l="0" t="0" r="18415" b="0"/>
              <wp:wrapNone/>
              <wp:docPr id="31624507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77B96" w14:textId="12ACE4D7"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980B1E" id="_x0000_t202" coordsize="21600,21600" o:spt="202" path="m,l,21600r21600,l21600,xe">
              <v:stroke joinstyle="miter"/>
              <v:path gradientshapeok="t" o:connecttype="rect"/>
            </v:shapetype>
            <v:shape id="Text Box 22" o:spid="_x0000_s1043"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1D77B96" w14:textId="12ACE4D7"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5689" w14:textId="77777777" w:rsidR="006B224D" w:rsidRDefault="006B224D">
      <w:pPr>
        <w:spacing w:after="0" w:line="240" w:lineRule="auto"/>
      </w:pPr>
      <w:r>
        <w:separator/>
      </w:r>
    </w:p>
  </w:footnote>
  <w:footnote w:type="continuationSeparator" w:id="0">
    <w:p w14:paraId="5A8957B0" w14:textId="77777777" w:rsidR="006B224D" w:rsidRDefault="006B224D">
      <w:pPr>
        <w:spacing w:after="0" w:line="240" w:lineRule="auto"/>
      </w:pPr>
      <w:r>
        <w:continuationSeparator/>
      </w:r>
    </w:p>
  </w:footnote>
  <w:footnote w:type="continuationNotice" w:id="1">
    <w:p w14:paraId="2F7D81A1" w14:textId="77777777" w:rsidR="006B224D" w:rsidRDefault="006B2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F95" w14:textId="42D38CF9" w:rsidR="0029427C" w:rsidRDefault="008F73E5">
    <w:pPr>
      <w:tabs>
        <w:tab w:val="center" w:pos="1862"/>
        <w:tab w:val="center" w:pos="4819"/>
      </w:tabs>
      <w:spacing w:after="0" w:line="259" w:lineRule="auto"/>
      <w:ind w:left="0" w:firstLine="0"/>
    </w:pPr>
    <w:r>
      <w:rPr>
        <w:noProof/>
      </w:rPr>
      <mc:AlternateContent>
        <mc:Choice Requires="wps">
          <w:drawing>
            <wp:anchor distT="0" distB="0" distL="0" distR="0" simplePos="0" relativeHeight="251659264" behindDoc="0" locked="0" layoutInCell="1" allowOverlap="1" wp14:anchorId="48D4119C" wp14:editId="1C43EDD4">
              <wp:simplePos x="635" y="635"/>
              <wp:positionH relativeFrom="page">
                <wp:align>center</wp:align>
              </wp:positionH>
              <wp:positionV relativeFrom="page">
                <wp:align>top</wp:align>
              </wp:positionV>
              <wp:extent cx="443865" cy="443865"/>
              <wp:effectExtent l="0" t="0" r="18415" b="10160"/>
              <wp:wrapNone/>
              <wp:docPr id="398745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409B4" w14:textId="5C550F76"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4119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9E409B4" w14:textId="5C550F76"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tab/>
    </w:r>
    <w:r w:rsidR="00CD24A0">
      <w:rPr>
        <w:b/>
        <w:color w:val="FF0000"/>
      </w:rPr>
      <w:t xml:space="preserve"> </w:t>
    </w:r>
    <w:r w:rsidR="00CD24A0">
      <w:rPr>
        <w:b/>
        <w:color w:val="FF0000"/>
      </w:rPr>
      <w:tab/>
    </w:r>
    <w:r w:rsidR="00CD24A0">
      <w:rPr>
        <w:rFonts w:ascii="Arial" w:eastAsia="Arial" w:hAnsi="Arial" w:cs="Arial"/>
        <w:color w:val="A80000"/>
        <w:sz w:val="24"/>
      </w:rPr>
      <w:t xml:space="preserve">OFFICIAL: Sensitive </w:t>
    </w:r>
  </w:p>
  <w:p w14:paraId="426B1A99" w14:textId="77777777" w:rsidR="0029427C" w:rsidRDefault="00CD24A0">
    <w:pPr>
      <w:spacing w:after="0" w:line="259" w:lineRule="auto"/>
      <w:ind w:left="0" w:firstLine="0"/>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AC82" w14:textId="4F3158FA" w:rsidR="0029427C" w:rsidRDefault="008F73E5">
    <w:pPr>
      <w:tabs>
        <w:tab w:val="center" w:pos="1864"/>
        <w:tab w:val="center" w:pos="4820"/>
      </w:tabs>
      <w:spacing w:after="0" w:line="259" w:lineRule="auto"/>
      <w:ind w:left="0" w:firstLine="0"/>
    </w:pPr>
    <w:r>
      <w:rPr>
        <w:noProof/>
      </w:rPr>
      <mc:AlternateContent>
        <mc:Choice Requires="wps">
          <w:drawing>
            <wp:anchor distT="0" distB="0" distL="0" distR="0" simplePos="0" relativeHeight="251668480" behindDoc="0" locked="0" layoutInCell="1" allowOverlap="1" wp14:anchorId="332F3B79" wp14:editId="4057A25A">
              <wp:simplePos x="635" y="635"/>
              <wp:positionH relativeFrom="page">
                <wp:align>center</wp:align>
              </wp:positionH>
              <wp:positionV relativeFrom="page">
                <wp:align>top</wp:align>
              </wp:positionV>
              <wp:extent cx="443865" cy="443865"/>
              <wp:effectExtent l="0" t="0" r="18415" b="10160"/>
              <wp:wrapNone/>
              <wp:docPr id="35101624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18B37" w14:textId="23368EBB"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F3B79"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1B18B37" w14:textId="23368EBB"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tab/>
    </w:r>
    <w:r w:rsidR="00CD24A0">
      <w:rPr>
        <w:b/>
        <w:color w:val="FF0000"/>
      </w:rPr>
      <w:t xml:space="preserve"> </w:t>
    </w:r>
    <w:r w:rsidR="00CD24A0">
      <w:rPr>
        <w:b/>
        <w:color w:val="FF0000"/>
      </w:rPr>
      <w:tab/>
    </w:r>
    <w:r w:rsidR="00CD24A0">
      <w:rPr>
        <w:rFonts w:ascii="Arial" w:eastAsia="Arial" w:hAnsi="Arial" w:cs="Arial"/>
        <w:color w:val="A80000"/>
        <w:sz w:val="24"/>
      </w:rPr>
      <w:t xml:space="preserve">OFFICIAL: Sensitive </w:t>
    </w:r>
  </w:p>
  <w:p w14:paraId="50B9D9C2" w14:textId="77777777" w:rsidR="0029427C" w:rsidRDefault="00CD24A0">
    <w:pPr>
      <w:spacing w:after="0" w:line="259" w:lineRule="auto"/>
      <w:ind w:left="1" w:firstLine="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F074" w14:textId="6F1E8920" w:rsidR="0029427C" w:rsidRDefault="008F73E5">
    <w:pPr>
      <w:spacing w:after="0" w:line="259" w:lineRule="auto"/>
      <w:ind w:left="1" w:firstLine="0"/>
    </w:pPr>
    <w:r>
      <w:rPr>
        <w:noProof/>
      </w:rPr>
      <mc:AlternateContent>
        <mc:Choice Requires="wps">
          <w:drawing>
            <wp:anchor distT="0" distB="0" distL="0" distR="0" simplePos="0" relativeHeight="251669504" behindDoc="0" locked="0" layoutInCell="1" allowOverlap="1" wp14:anchorId="017F764F" wp14:editId="0F3B0D63">
              <wp:simplePos x="635" y="635"/>
              <wp:positionH relativeFrom="page">
                <wp:align>center</wp:align>
              </wp:positionH>
              <wp:positionV relativeFrom="page">
                <wp:align>top</wp:align>
              </wp:positionV>
              <wp:extent cx="443865" cy="443865"/>
              <wp:effectExtent l="0" t="0" r="18415" b="10160"/>
              <wp:wrapNone/>
              <wp:docPr id="214296544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C3D5B" w14:textId="6BDA938A"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7F764F" id="_x0000_t202" coordsize="21600,21600" o:spt="202" path="m,l,21600r21600,l21600,xe">
              <v:stroke joinstyle="miter"/>
              <v:path gradientshapeok="t" o:connecttype="rect"/>
            </v:shapetype>
            <v:shape id="Text Box 12" o:spid="_x0000_s1045"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44C3D5B" w14:textId="6BDA938A"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920" w14:textId="79105FA9" w:rsidR="0029427C" w:rsidRDefault="008F73E5">
    <w:pPr>
      <w:tabs>
        <w:tab w:val="center" w:pos="1864"/>
        <w:tab w:val="center" w:pos="4820"/>
      </w:tabs>
      <w:spacing w:after="0" w:line="259" w:lineRule="auto"/>
      <w:ind w:left="0" w:firstLine="0"/>
    </w:pPr>
    <w:r>
      <w:rPr>
        <w:noProof/>
      </w:rPr>
      <mc:AlternateContent>
        <mc:Choice Requires="wps">
          <w:drawing>
            <wp:anchor distT="0" distB="0" distL="0" distR="0" simplePos="0" relativeHeight="251667456" behindDoc="0" locked="0" layoutInCell="1" allowOverlap="1" wp14:anchorId="0432D9E6" wp14:editId="01B7A357">
              <wp:simplePos x="635" y="635"/>
              <wp:positionH relativeFrom="page">
                <wp:align>center</wp:align>
              </wp:positionH>
              <wp:positionV relativeFrom="page">
                <wp:align>top</wp:align>
              </wp:positionV>
              <wp:extent cx="443865" cy="443865"/>
              <wp:effectExtent l="0" t="0" r="18415" b="10160"/>
              <wp:wrapNone/>
              <wp:docPr id="62361190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22767" w14:textId="20BE650C"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2D9E6"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E522767" w14:textId="20BE650C"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tab/>
    </w:r>
    <w:r w:rsidR="00CD24A0">
      <w:rPr>
        <w:b/>
        <w:color w:val="FF0000"/>
      </w:rPr>
      <w:t xml:space="preserve"> </w:t>
    </w:r>
    <w:r w:rsidR="00CD24A0">
      <w:rPr>
        <w:b/>
        <w:color w:val="FF0000"/>
      </w:rPr>
      <w:tab/>
    </w:r>
    <w:r w:rsidR="00CD24A0">
      <w:rPr>
        <w:rFonts w:ascii="Arial" w:eastAsia="Arial" w:hAnsi="Arial" w:cs="Arial"/>
        <w:color w:val="A80000"/>
        <w:sz w:val="24"/>
      </w:rPr>
      <w:t xml:space="preserve">OFFICIAL: Sensitive </w:t>
    </w:r>
  </w:p>
  <w:p w14:paraId="66A98285" w14:textId="77777777" w:rsidR="0029427C" w:rsidRDefault="00CD24A0">
    <w:pPr>
      <w:spacing w:after="0" w:line="259" w:lineRule="auto"/>
      <w:ind w:left="1" w:firstLine="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0DBD" w14:textId="37380A80" w:rsidR="0029427C" w:rsidRDefault="008F73E5">
    <w:pPr>
      <w:tabs>
        <w:tab w:val="center" w:pos="1862"/>
        <w:tab w:val="center" w:pos="4819"/>
      </w:tabs>
      <w:spacing w:after="0" w:line="259" w:lineRule="auto"/>
      <w:ind w:left="0" w:firstLine="0"/>
    </w:pPr>
    <w:r>
      <w:rPr>
        <w:noProof/>
      </w:rPr>
      <mc:AlternateContent>
        <mc:Choice Requires="wps">
          <w:drawing>
            <wp:anchor distT="0" distB="0" distL="0" distR="0" simplePos="0" relativeHeight="251671552" behindDoc="0" locked="0" layoutInCell="1" allowOverlap="1" wp14:anchorId="7BF7A970" wp14:editId="3953598D">
              <wp:simplePos x="635" y="635"/>
              <wp:positionH relativeFrom="page">
                <wp:align>center</wp:align>
              </wp:positionH>
              <wp:positionV relativeFrom="page">
                <wp:align>top</wp:align>
              </wp:positionV>
              <wp:extent cx="443865" cy="443865"/>
              <wp:effectExtent l="0" t="0" r="18415" b="10160"/>
              <wp:wrapNone/>
              <wp:docPr id="152181358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E849C" w14:textId="26721C15"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F7A970"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13E849C" w14:textId="26721C15"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tab/>
    </w:r>
    <w:r w:rsidR="00CD24A0">
      <w:rPr>
        <w:b/>
        <w:color w:val="FF0000"/>
      </w:rPr>
      <w:t xml:space="preserve"> </w:t>
    </w:r>
    <w:r w:rsidR="00CD24A0">
      <w:rPr>
        <w:b/>
        <w:color w:val="FF0000"/>
      </w:rPr>
      <w:tab/>
    </w:r>
    <w:r w:rsidR="00CD24A0">
      <w:rPr>
        <w:rFonts w:ascii="Arial" w:eastAsia="Arial" w:hAnsi="Arial" w:cs="Arial"/>
        <w:color w:val="A80000"/>
        <w:sz w:val="24"/>
      </w:rPr>
      <w:t xml:space="preserve">OFFICIAL: Sensitive </w:t>
    </w:r>
  </w:p>
  <w:p w14:paraId="438AD517" w14:textId="77777777" w:rsidR="0029427C" w:rsidRDefault="00CD24A0">
    <w:pPr>
      <w:spacing w:after="0" w:line="259" w:lineRule="auto"/>
      <w:ind w:left="0" w:firstLine="0"/>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1AB3" w14:textId="73876AB7" w:rsidR="0029427C" w:rsidRDefault="008F73E5">
    <w:pPr>
      <w:spacing w:after="0" w:line="259" w:lineRule="auto"/>
      <w:ind w:left="0" w:firstLine="0"/>
    </w:pPr>
    <w:r>
      <w:rPr>
        <w:noProof/>
      </w:rPr>
      <mc:AlternateContent>
        <mc:Choice Requires="wps">
          <w:drawing>
            <wp:anchor distT="0" distB="0" distL="0" distR="0" simplePos="0" relativeHeight="251672576" behindDoc="0" locked="0" layoutInCell="1" allowOverlap="1" wp14:anchorId="2D15E22C" wp14:editId="423CD186">
              <wp:simplePos x="635" y="635"/>
              <wp:positionH relativeFrom="page">
                <wp:align>center</wp:align>
              </wp:positionH>
              <wp:positionV relativeFrom="page">
                <wp:align>top</wp:align>
              </wp:positionV>
              <wp:extent cx="443865" cy="443865"/>
              <wp:effectExtent l="0" t="0" r="18415" b="10160"/>
              <wp:wrapNone/>
              <wp:docPr id="169452384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84B29" w14:textId="04B81607"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5E22C" id="_x0000_t202" coordsize="21600,21600" o:spt="202" path="m,l,21600r21600,l21600,xe">
              <v:stroke joinstyle="miter"/>
              <v:path gradientshapeok="t" o:connecttype="rect"/>
            </v:shapetype>
            <v:shape id="Text Box 15" o:spid="_x0000_s1051"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1884B29" w14:textId="04B81607"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7161" w14:textId="4C36D18A" w:rsidR="0029427C" w:rsidRDefault="008F73E5">
    <w:pPr>
      <w:spacing w:after="160" w:line="259" w:lineRule="auto"/>
      <w:ind w:left="0" w:firstLine="0"/>
    </w:pPr>
    <w:r>
      <w:rPr>
        <w:noProof/>
      </w:rPr>
      <mc:AlternateContent>
        <mc:Choice Requires="wps">
          <w:drawing>
            <wp:anchor distT="0" distB="0" distL="0" distR="0" simplePos="0" relativeHeight="251670528" behindDoc="0" locked="0" layoutInCell="1" allowOverlap="1" wp14:anchorId="6E1182D5" wp14:editId="694E5835">
              <wp:simplePos x="635" y="635"/>
              <wp:positionH relativeFrom="page">
                <wp:align>center</wp:align>
              </wp:positionH>
              <wp:positionV relativeFrom="page">
                <wp:align>top</wp:align>
              </wp:positionV>
              <wp:extent cx="443865" cy="443865"/>
              <wp:effectExtent l="0" t="0" r="18415" b="10160"/>
              <wp:wrapNone/>
              <wp:docPr id="121583248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E1D9" w14:textId="2EC70A4A"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1182D5"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74AE1D9" w14:textId="2EC70A4A"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5EE2" w14:textId="41AF9A8E" w:rsidR="0029427C" w:rsidRDefault="008F73E5">
    <w:pPr>
      <w:tabs>
        <w:tab w:val="center" w:pos="1862"/>
        <w:tab w:val="center" w:pos="4819"/>
      </w:tabs>
      <w:spacing w:after="0" w:line="259" w:lineRule="auto"/>
      <w:ind w:left="0" w:firstLine="0"/>
    </w:pPr>
    <w:r>
      <w:rPr>
        <w:rFonts w:ascii="Arial" w:eastAsia="Arial" w:hAnsi="Arial" w:cs="Arial"/>
        <w:noProof/>
        <w:color w:val="A80000"/>
        <w:sz w:val="24"/>
      </w:rPr>
      <mc:AlternateContent>
        <mc:Choice Requires="wps">
          <w:drawing>
            <wp:anchor distT="0" distB="0" distL="0" distR="0" simplePos="0" relativeHeight="251660288" behindDoc="0" locked="0" layoutInCell="1" allowOverlap="1" wp14:anchorId="08C900D9" wp14:editId="4E86802B">
              <wp:simplePos x="716280" y="457200"/>
              <wp:positionH relativeFrom="page">
                <wp:align>center</wp:align>
              </wp:positionH>
              <wp:positionV relativeFrom="page">
                <wp:align>top</wp:align>
              </wp:positionV>
              <wp:extent cx="443865" cy="443865"/>
              <wp:effectExtent l="0" t="0" r="18415" b="10160"/>
              <wp:wrapNone/>
              <wp:docPr id="172728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11272" w14:textId="239D622D"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900D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6311272" w14:textId="239D622D"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2B211DC5" w:rsidRPr="2B211DC5">
      <w:rPr>
        <w:rFonts w:ascii="Arial" w:eastAsia="Arial" w:hAnsi="Arial" w:cs="Arial"/>
        <w:color w:val="A80000"/>
        <w:sz w:val="24"/>
      </w:rPr>
      <w:t xml:space="preserve"> </w:t>
    </w:r>
  </w:p>
  <w:p w14:paraId="0817FF36" w14:textId="77777777" w:rsidR="0029427C" w:rsidRDefault="00CD24A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95C" w14:textId="5B602718" w:rsidR="0029427C" w:rsidRDefault="008F73E5" w:rsidP="00CD24A0">
    <w:pPr>
      <w:spacing w:after="160" w:line="259" w:lineRule="auto"/>
      <w:ind w:left="0" w:firstLine="0"/>
      <w:jc w:val="center"/>
    </w:pPr>
    <w:r>
      <w:rPr>
        <w:rFonts w:ascii="Arial" w:eastAsia="Arial" w:hAnsi="Arial" w:cs="Arial"/>
        <w:noProof/>
        <w:color w:val="A80000"/>
        <w:sz w:val="24"/>
      </w:rPr>
      <mc:AlternateContent>
        <mc:Choice Requires="wps">
          <w:drawing>
            <wp:anchor distT="0" distB="0" distL="0" distR="0" simplePos="0" relativeHeight="251658240" behindDoc="0" locked="0" layoutInCell="1" allowOverlap="1" wp14:anchorId="12C8995D" wp14:editId="31272F25">
              <wp:simplePos x="635" y="635"/>
              <wp:positionH relativeFrom="page">
                <wp:align>center</wp:align>
              </wp:positionH>
              <wp:positionV relativeFrom="page">
                <wp:align>top</wp:align>
              </wp:positionV>
              <wp:extent cx="443865" cy="443865"/>
              <wp:effectExtent l="0" t="0" r="18415" b="10160"/>
              <wp:wrapNone/>
              <wp:docPr id="1648508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B7C0A" w14:textId="1BB25CC8"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C8995D"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75B7C0A" w14:textId="1BB25CC8"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7D474B98" w:rsidRPr="7D474B98">
      <w:rPr>
        <w:rFonts w:ascii="Arial" w:eastAsia="Arial" w:hAnsi="Arial" w:cs="Arial"/>
        <w:color w:val="A80000"/>
        <w:sz w:val="24"/>
      </w:rPr>
      <w:t xml:space="preserve">OFFICIAL: Sensitive </w:t>
    </w:r>
  </w:p>
  <w:p w14:paraId="622D261C" w14:textId="771955BA" w:rsidR="7D474B98" w:rsidRDefault="7D474B98" w:rsidP="7D474B98">
    <w:pPr>
      <w:spacing w:after="160" w:line="259" w:lineRule="auto"/>
      <w:ind w:left="0" w:firstLine="0"/>
      <w:jc w:val="center"/>
      <w:rPr>
        <w:rFonts w:ascii="Arial" w:eastAsia="Arial" w:hAnsi="Arial" w:cs="Arial"/>
        <w:color w:val="A8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C49D" w14:textId="597C522B" w:rsidR="0029427C" w:rsidRDefault="008F73E5">
    <w:pPr>
      <w:tabs>
        <w:tab w:val="center" w:pos="3094"/>
        <w:tab w:val="right" w:pos="8380"/>
      </w:tabs>
      <w:spacing w:after="0" w:line="259" w:lineRule="auto"/>
      <w:ind w:left="0" w:firstLine="0"/>
    </w:pPr>
    <w:r>
      <w:rPr>
        <w:noProof/>
      </w:rPr>
      <mc:AlternateContent>
        <mc:Choice Requires="wps">
          <w:drawing>
            <wp:anchor distT="0" distB="0" distL="0" distR="0" simplePos="0" relativeHeight="251662336" behindDoc="0" locked="0" layoutInCell="1" allowOverlap="1" wp14:anchorId="116912C4" wp14:editId="2B5FAB63">
              <wp:simplePos x="635" y="635"/>
              <wp:positionH relativeFrom="page">
                <wp:align>center</wp:align>
              </wp:positionH>
              <wp:positionV relativeFrom="page">
                <wp:align>top</wp:align>
              </wp:positionV>
              <wp:extent cx="443865" cy="443865"/>
              <wp:effectExtent l="0" t="0" r="18415" b="10160"/>
              <wp:wrapNone/>
              <wp:docPr id="165524771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4FA9D" w14:textId="231F2BAF"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912C4"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C54FA9D" w14:textId="231F2BAF"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r w:rsidR="00CD24A0">
      <w:tab/>
    </w:r>
    <w:r w:rsidR="00CD24A0">
      <w:rPr>
        <w:b/>
        <w:color w:val="FF0000"/>
      </w:rPr>
      <w:t xml:space="preserve"> </w:t>
    </w:r>
    <w:r w:rsidR="00CD24A0">
      <w:rPr>
        <w:b/>
        <w:color w:val="FF0000"/>
      </w:rPr>
      <w:tab/>
    </w:r>
    <w:r w:rsidR="00CD24A0">
      <w:rPr>
        <w:rFonts w:ascii="Arial" w:eastAsia="Arial" w:hAnsi="Arial" w:cs="Arial"/>
        <w:color w:val="A80000"/>
        <w:sz w:val="24"/>
      </w:rPr>
      <w:t xml:space="preserve">OFFICIAL: Sensitive </w:t>
    </w:r>
  </w:p>
  <w:p w14:paraId="61029A6B" w14:textId="77777777" w:rsidR="0029427C" w:rsidRDefault="00CD24A0">
    <w:pPr>
      <w:spacing w:after="0" w:line="259" w:lineRule="auto"/>
      <w:ind w:lef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52FA" w14:textId="53A7B0FB" w:rsidR="0029427C" w:rsidRPr="00DE7168" w:rsidRDefault="008F73E5" w:rsidP="00DE7168">
    <w:pPr>
      <w:pStyle w:val="Header"/>
    </w:pPr>
    <w:r>
      <w:rPr>
        <w:noProof/>
      </w:rPr>
      <mc:AlternateContent>
        <mc:Choice Requires="wps">
          <w:drawing>
            <wp:anchor distT="0" distB="0" distL="0" distR="0" simplePos="0" relativeHeight="251663360" behindDoc="0" locked="0" layoutInCell="1" allowOverlap="1" wp14:anchorId="633D8178" wp14:editId="639BD0D5">
              <wp:simplePos x="635" y="635"/>
              <wp:positionH relativeFrom="page">
                <wp:align>center</wp:align>
              </wp:positionH>
              <wp:positionV relativeFrom="page">
                <wp:align>top</wp:align>
              </wp:positionV>
              <wp:extent cx="443865" cy="443865"/>
              <wp:effectExtent l="0" t="0" r="18415" b="10160"/>
              <wp:wrapNone/>
              <wp:docPr id="88092598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9864A" w14:textId="7171CDD9"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D8178" id="_x0000_t202" coordsize="21600,21600" o:spt="202" path="m,l,21600r21600,l21600,xe">
              <v:stroke joinstyle="miter"/>
              <v:path gradientshapeok="t" o:connecttype="rect"/>
            </v:shapetype>
            <v:shape id="Text Box 6" o:spid="_x0000_s1033"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7D09864A" w14:textId="7171CDD9"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13B" w14:textId="45C4385A" w:rsidR="0029427C" w:rsidRDefault="008F73E5">
    <w:pPr>
      <w:spacing w:after="160" w:line="259" w:lineRule="auto"/>
      <w:ind w:left="0" w:firstLine="0"/>
    </w:pPr>
    <w:r>
      <w:rPr>
        <w:noProof/>
      </w:rPr>
      <mc:AlternateContent>
        <mc:Choice Requires="wps">
          <w:drawing>
            <wp:anchor distT="0" distB="0" distL="0" distR="0" simplePos="0" relativeHeight="251661312" behindDoc="0" locked="0" layoutInCell="1" allowOverlap="1" wp14:anchorId="13B2BF65" wp14:editId="1112266A">
              <wp:simplePos x="635" y="635"/>
              <wp:positionH relativeFrom="page">
                <wp:align>center</wp:align>
              </wp:positionH>
              <wp:positionV relativeFrom="page">
                <wp:align>top</wp:align>
              </wp:positionV>
              <wp:extent cx="443865" cy="443865"/>
              <wp:effectExtent l="0" t="0" r="18415" b="10160"/>
              <wp:wrapNone/>
              <wp:docPr id="17571273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329E5" w14:textId="5A6B3591"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B2BF65"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7E0329E5" w14:textId="5A6B3591"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E55E" w14:textId="16E389C3" w:rsidR="0029427C" w:rsidRDefault="008F73E5">
    <w:pPr>
      <w:spacing w:after="160" w:line="259" w:lineRule="auto"/>
      <w:ind w:left="0" w:firstLine="0"/>
    </w:pPr>
    <w:r>
      <w:rPr>
        <w:noProof/>
      </w:rPr>
      <mc:AlternateContent>
        <mc:Choice Requires="wps">
          <w:drawing>
            <wp:anchor distT="0" distB="0" distL="0" distR="0" simplePos="0" relativeHeight="251665408" behindDoc="0" locked="0" layoutInCell="1" allowOverlap="1" wp14:anchorId="3228B177" wp14:editId="108DC91F">
              <wp:simplePos x="635" y="635"/>
              <wp:positionH relativeFrom="page">
                <wp:align>center</wp:align>
              </wp:positionH>
              <wp:positionV relativeFrom="page">
                <wp:align>top</wp:align>
              </wp:positionV>
              <wp:extent cx="443865" cy="443865"/>
              <wp:effectExtent l="0" t="0" r="18415" b="10160"/>
              <wp:wrapNone/>
              <wp:docPr id="123308661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B9A97" w14:textId="6AC657B6"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8B177"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3DB9A97" w14:textId="6AC657B6"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5F9B" w14:textId="28FB794A" w:rsidR="0029427C" w:rsidRDefault="008F73E5">
    <w:pPr>
      <w:spacing w:after="160" w:line="259" w:lineRule="auto"/>
      <w:ind w:left="0" w:firstLine="0"/>
    </w:pPr>
    <w:r>
      <w:rPr>
        <w:noProof/>
      </w:rPr>
      <mc:AlternateContent>
        <mc:Choice Requires="wps">
          <w:drawing>
            <wp:anchor distT="0" distB="0" distL="0" distR="0" simplePos="0" relativeHeight="251666432" behindDoc="0" locked="0" layoutInCell="1" allowOverlap="1" wp14:anchorId="5268CC52" wp14:editId="75F251FD">
              <wp:simplePos x="635" y="635"/>
              <wp:positionH relativeFrom="page">
                <wp:align>center</wp:align>
              </wp:positionH>
              <wp:positionV relativeFrom="page">
                <wp:align>top</wp:align>
              </wp:positionV>
              <wp:extent cx="443865" cy="443865"/>
              <wp:effectExtent l="0" t="0" r="18415" b="10160"/>
              <wp:wrapNone/>
              <wp:docPr id="156950887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F0B7B" w14:textId="410817B8"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8CC52"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0B1F0B7B" w14:textId="410817B8"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7EFB" w14:textId="11120DC4" w:rsidR="0029427C" w:rsidRDefault="008F73E5">
    <w:pPr>
      <w:spacing w:after="160" w:line="259" w:lineRule="auto"/>
      <w:ind w:left="0" w:firstLine="0"/>
    </w:pPr>
    <w:r>
      <w:rPr>
        <w:noProof/>
      </w:rPr>
      <mc:AlternateContent>
        <mc:Choice Requires="wps">
          <w:drawing>
            <wp:anchor distT="0" distB="0" distL="0" distR="0" simplePos="0" relativeHeight="251664384" behindDoc="0" locked="0" layoutInCell="1" allowOverlap="1" wp14:anchorId="7CA6C109" wp14:editId="6337A054">
              <wp:simplePos x="635" y="635"/>
              <wp:positionH relativeFrom="page">
                <wp:align>center</wp:align>
              </wp:positionH>
              <wp:positionV relativeFrom="page">
                <wp:align>top</wp:align>
              </wp:positionV>
              <wp:extent cx="443865" cy="443865"/>
              <wp:effectExtent l="0" t="0" r="18415" b="10160"/>
              <wp:wrapNone/>
              <wp:docPr id="116757987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4A935" w14:textId="6FFC235A" w:rsidR="008F73E5" w:rsidRPr="008F73E5" w:rsidRDefault="008F73E5" w:rsidP="008F73E5">
                          <w:pPr>
                            <w:spacing w:after="0"/>
                            <w:rPr>
                              <w:noProof/>
                              <w:color w:val="FF0000"/>
                              <w:sz w:val="24"/>
                            </w:rPr>
                          </w:pPr>
                          <w:r w:rsidRPr="008F73E5">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A6C109"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8A4A935" w14:textId="6FFC235A" w:rsidR="008F73E5" w:rsidRPr="008F73E5" w:rsidRDefault="008F73E5" w:rsidP="008F73E5">
                    <w:pPr>
                      <w:spacing w:after="0"/>
                      <w:rPr>
                        <w:noProof/>
                        <w:color w:val="FF0000"/>
                        <w:sz w:val="24"/>
                      </w:rPr>
                    </w:pPr>
                    <w:r w:rsidRPr="008F73E5">
                      <w:rPr>
                        <w:noProof/>
                        <w:color w:val="FF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8M9UcOSaT3v8DR" int2:id="Bm0G8tL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AB6"/>
    <w:multiLevelType w:val="hybridMultilevel"/>
    <w:tmpl w:val="05B2BBF2"/>
    <w:lvl w:ilvl="0" w:tplc="A086BE2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2672"/>
    <w:multiLevelType w:val="hybridMultilevel"/>
    <w:tmpl w:val="A524CB74"/>
    <w:lvl w:ilvl="0" w:tplc="A06AA7B4">
      <w:start w:val="1"/>
      <w:numFmt w:val="decimal"/>
      <w:lvlText w:val="%1."/>
      <w:lvlJc w:val="left"/>
      <w:pPr>
        <w:ind w:left="360" w:hanging="360"/>
      </w:pPr>
      <w:rPr>
        <w:rFonts w:hint="default"/>
        <w:color w:val="auto"/>
      </w:rPr>
    </w:lvl>
    <w:lvl w:ilvl="1" w:tplc="BCB4DAF2">
      <w:start w:val="1"/>
      <w:numFmt w:val="lowerLetter"/>
      <w:lvlText w:val="%2."/>
      <w:lvlJc w:val="left"/>
      <w:pPr>
        <w:ind w:left="1080" w:hanging="360"/>
      </w:pPr>
      <w:rPr>
        <w:b w:val="0"/>
        <w:bCs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D74A30"/>
    <w:multiLevelType w:val="hybridMultilevel"/>
    <w:tmpl w:val="8AE4B936"/>
    <w:lvl w:ilvl="0" w:tplc="C354FF34">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12F21906">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1EC60A">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B6279C">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ECE2AA">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5C6F9A">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DE50E4">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ED10C">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21FEE">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4D0A24"/>
    <w:multiLevelType w:val="hybridMultilevel"/>
    <w:tmpl w:val="8A2662AC"/>
    <w:lvl w:ilvl="0" w:tplc="CF1C14AC">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FC78E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6A3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92AD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801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3A90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4263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8A9C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8A2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04418"/>
    <w:multiLevelType w:val="hybridMultilevel"/>
    <w:tmpl w:val="AB2EA870"/>
    <w:lvl w:ilvl="0" w:tplc="5AA27AA6">
      <w:numFmt w:val="bullet"/>
      <w:lvlText w:val=""/>
      <w:lvlJc w:val="left"/>
      <w:pPr>
        <w:ind w:left="362" w:hanging="360"/>
      </w:pPr>
      <w:rPr>
        <w:rFonts w:ascii="Symbol" w:eastAsia="Corbel" w:hAnsi="Symbol" w:cs="Calibri" w:hint="default"/>
      </w:rPr>
    </w:lvl>
    <w:lvl w:ilvl="1" w:tplc="0C090003" w:tentative="1">
      <w:start w:val="1"/>
      <w:numFmt w:val="bullet"/>
      <w:lvlText w:val="o"/>
      <w:lvlJc w:val="left"/>
      <w:pPr>
        <w:ind w:left="1082" w:hanging="360"/>
      </w:pPr>
      <w:rPr>
        <w:rFonts w:ascii="Courier New" w:hAnsi="Courier New" w:cs="Courier New" w:hint="default"/>
      </w:rPr>
    </w:lvl>
    <w:lvl w:ilvl="2" w:tplc="0C090005">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5" w15:restartNumberingAfterBreak="0">
    <w:nsid w:val="0DDC516A"/>
    <w:multiLevelType w:val="multilevel"/>
    <w:tmpl w:val="445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C094A"/>
    <w:multiLevelType w:val="hybridMultilevel"/>
    <w:tmpl w:val="3356DD84"/>
    <w:lvl w:ilvl="0" w:tplc="A210CD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0000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08A76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2A201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A90F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888AF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2E0AB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B0074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F4505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A515C0"/>
    <w:multiLevelType w:val="multilevel"/>
    <w:tmpl w:val="12B4D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0B5E56"/>
    <w:multiLevelType w:val="multilevel"/>
    <w:tmpl w:val="C576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1537E"/>
    <w:multiLevelType w:val="hybridMultilevel"/>
    <w:tmpl w:val="ACE8D0E8"/>
    <w:lvl w:ilvl="0" w:tplc="0CE2B8A6">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478F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BEDD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E0FC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486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F84B7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FEF6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E622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EC4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A2319A"/>
    <w:multiLevelType w:val="multilevel"/>
    <w:tmpl w:val="3AAA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75DC1"/>
    <w:multiLevelType w:val="hybridMultilevel"/>
    <w:tmpl w:val="FAF40B4E"/>
    <w:lvl w:ilvl="0" w:tplc="149E655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4F9D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1423F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C6776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8C94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4E009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BA2F7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274CE">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0A97C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617068"/>
    <w:multiLevelType w:val="hybridMultilevel"/>
    <w:tmpl w:val="15A6DD98"/>
    <w:lvl w:ilvl="0" w:tplc="AA620384">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A622C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B8535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BC0F1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26575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207E7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FCB09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8E256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B6B74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CC7007"/>
    <w:multiLevelType w:val="hybridMultilevel"/>
    <w:tmpl w:val="925C4B5C"/>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AFC0415"/>
    <w:multiLevelType w:val="hybridMultilevel"/>
    <w:tmpl w:val="884E9DDC"/>
    <w:lvl w:ilvl="0" w:tplc="0C090001">
      <w:start w:val="1"/>
      <w:numFmt w:val="bullet"/>
      <w:lvlText w:val=""/>
      <w:lvlJc w:val="left"/>
      <w:pPr>
        <w:ind w:left="46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CB46E18">
      <w:start w:val="1"/>
      <w:numFmt w:val="bullet"/>
      <w:lvlText w:val="o"/>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FCC2D4">
      <w:start w:val="1"/>
      <w:numFmt w:val="bullet"/>
      <w:lvlText w:val="▪"/>
      <w:lvlJc w:val="left"/>
      <w:pPr>
        <w:ind w:left="1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269FA">
      <w:start w:val="1"/>
      <w:numFmt w:val="bullet"/>
      <w:lvlText w:val="•"/>
      <w:lvlJc w:val="left"/>
      <w:pPr>
        <w:ind w:left="2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FA4CC8">
      <w:start w:val="1"/>
      <w:numFmt w:val="bullet"/>
      <w:lvlText w:val="o"/>
      <w:lvlJc w:val="left"/>
      <w:pPr>
        <w:ind w:left="3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1875D0">
      <w:start w:val="1"/>
      <w:numFmt w:val="bullet"/>
      <w:lvlText w:val="▪"/>
      <w:lvlJc w:val="left"/>
      <w:pPr>
        <w:ind w:left="4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D224F2">
      <w:start w:val="1"/>
      <w:numFmt w:val="bullet"/>
      <w:lvlText w:val="•"/>
      <w:lvlJc w:val="left"/>
      <w:pPr>
        <w:ind w:left="4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42B27A">
      <w:start w:val="1"/>
      <w:numFmt w:val="bullet"/>
      <w:lvlText w:val="o"/>
      <w:lvlJc w:val="left"/>
      <w:pPr>
        <w:ind w:left="5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E67BCA">
      <w:start w:val="1"/>
      <w:numFmt w:val="bullet"/>
      <w:lvlText w:val="▪"/>
      <w:lvlJc w:val="left"/>
      <w:pPr>
        <w:ind w:left="6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8F2894"/>
    <w:multiLevelType w:val="multilevel"/>
    <w:tmpl w:val="F842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D35A5F"/>
    <w:multiLevelType w:val="hybridMultilevel"/>
    <w:tmpl w:val="7514168E"/>
    <w:lvl w:ilvl="0" w:tplc="C23E5666">
      <w:start w:val="1"/>
      <w:numFmt w:val="bullet"/>
      <w:lvlText w:val="-"/>
      <w:lvlJc w:val="left"/>
      <w:pPr>
        <w:ind w:left="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E660C">
      <w:start w:val="1"/>
      <w:numFmt w:val="bullet"/>
      <w:lvlText w:val="o"/>
      <w:lvlJc w:val="left"/>
      <w:pPr>
        <w:ind w:left="11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9AADB12">
      <w:start w:val="1"/>
      <w:numFmt w:val="bullet"/>
      <w:lvlText w:val="▪"/>
      <w:lvlJc w:val="left"/>
      <w:pPr>
        <w:ind w:left="19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F1E61DC">
      <w:start w:val="1"/>
      <w:numFmt w:val="bullet"/>
      <w:lvlText w:val="•"/>
      <w:lvlJc w:val="left"/>
      <w:pPr>
        <w:ind w:left="26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D10D7B6">
      <w:start w:val="1"/>
      <w:numFmt w:val="bullet"/>
      <w:lvlText w:val="o"/>
      <w:lvlJc w:val="left"/>
      <w:pPr>
        <w:ind w:left="33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E6654A0">
      <w:start w:val="1"/>
      <w:numFmt w:val="bullet"/>
      <w:lvlText w:val="▪"/>
      <w:lvlJc w:val="left"/>
      <w:pPr>
        <w:ind w:left="40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0E40968">
      <w:start w:val="1"/>
      <w:numFmt w:val="bullet"/>
      <w:lvlText w:val="•"/>
      <w:lvlJc w:val="left"/>
      <w:pPr>
        <w:ind w:left="47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B00DC1E">
      <w:start w:val="1"/>
      <w:numFmt w:val="bullet"/>
      <w:lvlText w:val="o"/>
      <w:lvlJc w:val="left"/>
      <w:pPr>
        <w:ind w:left="5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5A5564">
      <w:start w:val="1"/>
      <w:numFmt w:val="bullet"/>
      <w:lvlText w:val="▪"/>
      <w:lvlJc w:val="left"/>
      <w:pPr>
        <w:ind w:left="6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39017E"/>
    <w:multiLevelType w:val="hybridMultilevel"/>
    <w:tmpl w:val="4DB46EB0"/>
    <w:lvl w:ilvl="0" w:tplc="F03A84D4">
      <w:start w:val="1"/>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8" w15:restartNumberingAfterBreak="0">
    <w:nsid w:val="3F833AEA"/>
    <w:multiLevelType w:val="hybridMultilevel"/>
    <w:tmpl w:val="925C4B5C"/>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672394B"/>
    <w:multiLevelType w:val="hybridMultilevel"/>
    <w:tmpl w:val="82A8EB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A2702F"/>
    <w:multiLevelType w:val="hybridMultilevel"/>
    <w:tmpl w:val="08B0A6EE"/>
    <w:lvl w:ilvl="0" w:tplc="9F121C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78FBC0">
      <w:start w:val="1"/>
      <w:numFmt w:val="lowerLetter"/>
      <w:lvlText w:val="%2."/>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D407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4CABE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BE26D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4C854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A0C64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60BA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0E539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B9750A"/>
    <w:multiLevelType w:val="hybridMultilevel"/>
    <w:tmpl w:val="82021C50"/>
    <w:lvl w:ilvl="0" w:tplc="6D04C3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E84906">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82281A">
      <w:start w:val="1"/>
      <w:numFmt w:val="lowerLetter"/>
      <w:lvlRestart w:val="0"/>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507C9E">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04D146">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C283A0">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D8C254">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E2236A">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4AC714">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D45005"/>
    <w:multiLevelType w:val="multilevel"/>
    <w:tmpl w:val="1C7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90DCE"/>
    <w:multiLevelType w:val="hybridMultilevel"/>
    <w:tmpl w:val="C16CF908"/>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4DDC270E"/>
    <w:multiLevelType w:val="multilevel"/>
    <w:tmpl w:val="191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740FA0"/>
    <w:multiLevelType w:val="multilevel"/>
    <w:tmpl w:val="4830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A6691"/>
    <w:multiLevelType w:val="hybridMultilevel"/>
    <w:tmpl w:val="4E325B74"/>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7" w15:restartNumberingAfterBreak="0">
    <w:nsid w:val="533A2C78"/>
    <w:multiLevelType w:val="hybridMultilevel"/>
    <w:tmpl w:val="E280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B83C68"/>
    <w:multiLevelType w:val="multilevel"/>
    <w:tmpl w:val="5B80D0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9EF7931"/>
    <w:multiLevelType w:val="multilevel"/>
    <w:tmpl w:val="32460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A35645E"/>
    <w:multiLevelType w:val="hybridMultilevel"/>
    <w:tmpl w:val="7F86BADA"/>
    <w:lvl w:ilvl="0" w:tplc="C09214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A285DA">
      <w:start w:val="1"/>
      <w:numFmt w:val="lowerRoman"/>
      <w:lvlText w:val="%2."/>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B00AD2">
      <w:start w:val="1"/>
      <w:numFmt w:val="lowerRoman"/>
      <w:lvlText w:val="%3"/>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EE342A">
      <w:start w:val="1"/>
      <w:numFmt w:val="decimal"/>
      <w:lvlText w:val="%4"/>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18A7BC">
      <w:start w:val="1"/>
      <w:numFmt w:val="lowerLetter"/>
      <w:lvlText w:val="%5"/>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68724">
      <w:start w:val="1"/>
      <w:numFmt w:val="lowerRoman"/>
      <w:lvlText w:val="%6"/>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14BEF8">
      <w:start w:val="1"/>
      <w:numFmt w:val="decimal"/>
      <w:lvlText w:val="%7"/>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9C4A1A">
      <w:start w:val="1"/>
      <w:numFmt w:val="lowerLetter"/>
      <w:lvlText w:val="%8"/>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871D2">
      <w:start w:val="1"/>
      <w:numFmt w:val="lowerRoman"/>
      <w:lvlText w:val="%9"/>
      <w:lvlJc w:val="left"/>
      <w:pPr>
        <w:ind w:left="6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3D186B"/>
    <w:multiLevelType w:val="multilevel"/>
    <w:tmpl w:val="CA14FD74"/>
    <w:lvl w:ilvl="0">
      <w:start w:val="10"/>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asciiTheme="minorHAnsi" w:eastAsia="Times New Roman" w:hAnsiTheme="minorHAnsi" w:cstheme="minorHAnsi"/>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15:restartNumberingAfterBreak="0">
    <w:nsid w:val="5ED72DF5"/>
    <w:multiLevelType w:val="hybridMultilevel"/>
    <w:tmpl w:val="A776C3CC"/>
    <w:lvl w:ilvl="0" w:tplc="1C8A1B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3046E87"/>
    <w:multiLevelType w:val="multilevel"/>
    <w:tmpl w:val="E6BA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21B38"/>
    <w:multiLevelType w:val="hybridMultilevel"/>
    <w:tmpl w:val="AF26E848"/>
    <w:lvl w:ilvl="0" w:tplc="A36CDFA8">
      <w:start w:val="1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78B9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BEB0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EA47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1CF7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9277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A6D9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30E5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88E8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572C2B"/>
    <w:multiLevelType w:val="hybridMultilevel"/>
    <w:tmpl w:val="41027D10"/>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36" w15:restartNumberingAfterBreak="0">
    <w:nsid w:val="648C1E9E"/>
    <w:multiLevelType w:val="hybridMultilevel"/>
    <w:tmpl w:val="926C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AB0FF0"/>
    <w:multiLevelType w:val="hybridMultilevel"/>
    <w:tmpl w:val="31863630"/>
    <w:lvl w:ilvl="0" w:tplc="248C8F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AB2A8">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82F3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4A13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E39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40BB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D054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FCAD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D064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FF3A1C"/>
    <w:multiLevelType w:val="multilevel"/>
    <w:tmpl w:val="F89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A719A6"/>
    <w:multiLevelType w:val="hybridMultilevel"/>
    <w:tmpl w:val="35F43AC4"/>
    <w:lvl w:ilvl="0" w:tplc="DF963990">
      <w:start w:val="15"/>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FCEE24">
      <w:start w:val="1"/>
      <w:numFmt w:val="lowerLetter"/>
      <w:lvlText w:val="%2."/>
      <w:lvlJc w:val="left"/>
      <w:pPr>
        <w:ind w:left="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F650CA">
      <w:start w:val="1"/>
      <w:numFmt w:val="lowerRoman"/>
      <w:lvlText w:val="%3"/>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8AFA76">
      <w:start w:val="1"/>
      <w:numFmt w:val="decimal"/>
      <w:lvlText w:val="%4"/>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0CF1C0">
      <w:start w:val="1"/>
      <w:numFmt w:val="lowerLetter"/>
      <w:lvlText w:val="%5"/>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6A3C3C">
      <w:start w:val="1"/>
      <w:numFmt w:val="lowerRoman"/>
      <w:lvlText w:val="%6"/>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6A9B7E">
      <w:start w:val="1"/>
      <w:numFmt w:val="decimal"/>
      <w:lvlText w:val="%7"/>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8A8326">
      <w:start w:val="1"/>
      <w:numFmt w:val="lowerLetter"/>
      <w:lvlText w:val="%8"/>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0E8128">
      <w:start w:val="1"/>
      <w:numFmt w:val="lowerRoman"/>
      <w:lvlText w:val="%9"/>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03696C"/>
    <w:multiLevelType w:val="hybridMultilevel"/>
    <w:tmpl w:val="23DE3D5E"/>
    <w:lvl w:ilvl="0" w:tplc="B08C88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6F45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ECB99A">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E04D6">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36584C">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4D76A">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98D36A">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387526">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66E3B4">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6A2821"/>
    <w:multiLevelType w:val="multilevel"/>
    <w:tmpl w:val="4476B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007B19"/>
    <w:multiLevelType w:val="hybridMultilevel"/>
    <w:tmpl w:val="78D87D8C"/>
    <w:lvl w:ilvl="0" w:tplc="D16CAC6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4018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9070A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0820A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4E04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5250C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AFB3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67EF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C04E2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3D2FC3"/>
    <w:multiLevelType w:val="multilevel"/>
    <w:tmpl w:val="343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7B456D"/>
    <w:multiLevelType w:val="hybridMultilevel"/>
    <w:tmpl w:val="402E705E"/>
    <w:lvl w:ilvl="0" w:tplc="12F21906">
      <w:start w:val="1"/>
      <w:numFmt w:val="lowerLetter"/>
      <w:lvlText w:val="%1."/>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087" w:hanging="360"/>
      </w:pPr>
    </w:lvl>
    <w:lvl w:ilvl="2" w:tplc="0C09001B" w:tentative="1">
      <w:start w:val="1"/>
      <w:numFmt w:val="lowerRoman"/>
      <w:lvlText w:val="%3."/>
      <w:lvlJc w:val="right"/>
      <w:pPr>
        <w:ind w:left="1807" w:hanging="180"/>
      </w:pPr>
    </w:lvl>
    <w:lvl w:ilvl="3" w:tplc="0C09000F" w:tentative="1">
      <w:start w:val="1"/>
      <w:numFmt w:val="decimal"/>
      <w:lvlText w:val="%4."/>
      <w:lvlJc w:val="left"/>
      <w:pPr>
        <w:ind w:left="2527" w:hanging="360"/>
      </w:pPr>
    </w:lvl>
    <w:lvl w:ilvl="4" w:tplc="0C090019" w:tentative="1">
      <w:start w:val="1"/>
      <w:numFmt w:val="lowerLetter"/>
      <w:lvlText w:val="%5."/>
      <w:lvlJc w:val="left"/>
      <w:pPr>
        <w:ind w:left="3247" w:hanging="360"/>
      </w:pPr>
    </w:lvl>
    <w:lvl w:ilvl="5" w:tplc="0C09001B" w:tentative="1">
      <w:start w:val="1"/>
      <w:numFmt w:val="lowerRoman"/>
      <w:lvlText w:val="%6."/>
      <w:lvlJc w:val="right"/>
      <w:pPr>
        <w:ind w:left="3967" w:hanging="180"/>
      </w:pPr>
    </w:lvl>
    <w:lvl w:ilvl="6" w:tplc="0C09000F" w:tentative="1">
      <w:start w:val="1"/>
      <w:numFmt w:val="decimal"/>
      <w:lvlText w:val="%7."/>
      <w:lvlJc w:val="left"/>
      <w:pPr>
        <w:ind w:left="4687" w:hanging="360"/>
      </w:pPr>
    </w:lvl>
    <w:lvl w:ilvl="7" w:tplc="0C090019" w:tentative="1">
      <w:start w:val="1"/>
      <w:numFmt w:val="lowerLetter"/>
      <w:lvlText w:val="%8."/>
      <w:lvlJc w:val="left"/>
      <w:pPr>
        <w:ind w:left="5407" w:hanging="360"/>
      </w:pPr>
    </w:lvl>
    <w:lvl w:ilvl="8" w:tplc="0C09001B" w:tentative="1">
      <w:start w:val="1"/>
      <w:numFmt w:val="lowerRoman"/>
      <w:lvlText w:val="%9."/>
      <w:lvlJc w:val="right"/>
      <w:pPr>
        <w:ind w:left="6127" w:hanging="180"/>
      </w:pPr>
    </w:lvl>
  </w:abstractNum>
  <w:abstractNum w:abstractNumId="45" w15:restartNumberingAfterBreak="0">
    <w:nsid w:val="7E775FCE"/>
    <w:multiLevelType w:val="hybridMultilevel"/>
    <w:tmpl w:val="61B271E2"/>
    <w:lvl w:ilvl="0" w:tplc="4D62F64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C677D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E693E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743BC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6130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CF1F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EB83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5A86A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4514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03855859">
    <w:abstractNumId w:val="2"/>
  </w:num>
  <w:num w:numId="2" w16cid:durableId="530606035">
    <w:abstractNumId w:val="21"/>
  </w:num>
  <w:num w:numId="3" w16cid:durableId="1962033789">
    <w:abstractNumId w:val="40"/>
  </w:num>
  <w:num w:numId="4" w16cid:durableId="803428935">
    <w:abstractNumId w:val="37"/>
  </w:num>
  <w:num w:numId="5" w16cid:durableId="712079713">
    <w:abstractNumId w:val="30"/>
  </w:num>
  <w:num w:numId="6" w16cid:durableId="324819933">
    <w:abstractNumId w:val="20"/>
  </w:num>
  <w:num w:numId="7" w16cid:durableId="1973124599">
    <w:abstractNumId w:val="12"/>
  </w:num>
  <w:num w:numId="8" w16cid:durableId="73212468">
    <w:abstractNumId w:val="3"/>
  </w:num>
  <w:num w:numId="9" w16cid:durableId="611594551">
    <w:abstractNumId w:val="34"/>
  </w:num>
  <w:num w:numId="10" w16cid:durableId="1355575450">
    <w:abstractNumId w:val="39"/>
  </w:num>
  <w:num w:numId="11" w16cid:durableId="1190604572">
    <w:abstractNumId w:val="42"/>
  </w:num>
  <w:num w:numId="12" w16cid:durableId="1216500981">
    <w:abstractNumId w:val="45"/>
  </w:num>
  <w:num w:numId="13" w16cid:durableId="1520706049">
    <w:abstractNumId w:val="11"/>
  </w:num>
  <w:num w:numId="14" w16cid:durableId="1168135989">
    <w:abstractNumId w:val="6"/>
  </w:num>
  <w:num w:numId="15" w16cid:durableId="563681730">
    <w:abstractNumId w:val="16"/>
  </w:num>
  <w:num w:numId="16" w16cid:durableId="824126749">
    <w:abstractNumId w:val="14"/>
  </w:num>
  <w:num w:numId="17" w16cid:durableId="719011157">
    <w:abstractNumId w:val="9"/>
  </w:num>
  <w:num w:numId="18" w16cid:durableId="1181120539">
    <w:abstractNumId w:val="17"/>
  </w:num>
  <w:num w:numId="19" w16cid:durableId="1301111020">
    <w:abstractNumId w:val="1"/>
  </w:num>
  <w:num w:numId="20" w16cid:durableId="1119495966">
    <w:abstractNumId w:val="23"/>
  </w:num>
  <w:num w:numId="21" w16cid:durableId="1857960583">
    <w:abstractNumId w:val="32"/>
  </w:num>
  <w:num w:numId="22" w16cid:durableId="210311225">
    <w:abstractNumId w:val="44"/>
  </w:num>
  <w:num w:numId="23" w16cid:durableId="319231379">
    <w:abstractNumId w:val="31"/>
  </w:num>
  <w:num w:numId="24" w16cid:durableId="65618991">
    <w:abstractNumId w:val="8"/>
  </w:num>
  <w:num w:numId="25" w16cid:durableId="1857691269">
    <w:abstractNumId w:val="41"/>
  </w:num>
  <w:num w:numId="26" w16cid:durableId="448010744">
    <w:abstractNumId w:val="7"/>
  </w:num>
  <w:num w:numId="27" w16cid:durableId="742415260">
    <w:abstractNumId w:val="4"/>
  </w:num>
  <w:num w:numId="28" w16cid:durableId="2024937599">
    <w:abstractNumId w:val="36"/>
  </w:num>
  <w:num w:numId="29" w16cid:durableId="1429932827">
    <w:abstractNumId w:val="19"/>
  </w:num>
  <w:num w:numId="30" w16cid:durableId="447360558">
    <w:abstractNumId w:val="13"/>
  </w:num>
  <w:num w:numId="31" w16cid:durableId="1955672465">
    <w:abstractNumId w:val="0"/>
  </w:num>
  <w:num w:numId="32" w16cid:durableId="1492258982">
    <w:abstractNumId w:val="18"/>
  </w:num>
  <w:num w:numId="33" w16cid:durableId="2024354120">
    <w:abstractNumId w:val="35"/>
  </w:num>
  <w:num w:numId="34" w16cid:durableId="975531707">
    <w:abstractNumId w:val="26"/>
  </w:num>
  <w:num w:numId="35" w16cid:durableId="164132332">
    <w:abstractNumId w:val="38"/>
  </w:num>
  <w:num w:numId="36" w16cid:durableId="1424649367">
    <w:abstractNumId w:val="33"/>
  </w:num>
  <w:num w:numId="37" w16cid:durableId="1453204474">
    <w:abstractNumId w:val="25"/>
  </w:num>
  <w:num w:numId="38" w16cid:durableId="680862121">
    <w:abstractNumId w:val="43"/>
  </w:num>
  <w:num w:numId="39" w16cid:durableId="295841964">
    <w:abstractNumId w:val="29"/>
  </w:num>
  <w:num w:numId="40" w16cid:durableId="1192256315">
    <w:abstractNumId w:val="28"/>
  </w:num>
  <w:num w:numId="41" w16cid:durableId="1508671343">
    <w:abstractNumId w:val="24"/>
  </w:num>
  <w:num w:numId="42" w16cid:durableId="571349257">
    <w:abstractNumId w:val="15"/>
  </w:num>
  <w:num w:numId="43" w16cid:durableId="2059939244">
    <w:abstractNumId w:val="22"/>
  </w:num>
  <w:num w:numId="44" w16cid:durableId="388043139">
    <w:abstractNumId w:val="10"/>
  </w:num>
  <w:num w:numId="45" w16cid:durableId="246692035">
    <w:abstractNumId w:val="5"/>
  </w:num>
  <w:num w:numId="46" w16cid:durableId="11913320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7C"/>
    <w:rsid w:val="00001CB6"/>
    <w:rsid w:val="00002C7E"/>
    <w:rsid w:val="00004201"/>
    <w:rsid w:val="00004316"/>
    <w:rsid w:val="000054A8"/>
    <w:rsid w:val="00010098"/>
    <w:rsid w:val="0001087D"/>
    <w:rsid w:val="00011085"/>
    <w:rsid w:val="000123CF"/>
    <w:rsid w:val="000129D6"/>
    <w:rsid w:val="00013208"/>
    <w:rsid w:val="00013444"/>
    <w:rsid w:val="0001486E"/>
    <w:rsid w:val="00014C40"/>
    <w:rsid w:val="00015F8F"/>
    <w:rsid w:val="00017D6A"/>
    <w:rsid w:val="000229A3"/>
    <w:rsid w:val="00024AA1"/>
    <w:rsid w:val="00025056"/>
    <w:rsid w:val="00027EC0"/>
    <w:rsid w:val="00030102"/>
    <w:rsid w:val="000301D3"/>
    <w:rsid w:val="000313B9"/>
    <w:rsid w:val="0003194A"/>
    <w:rsid w:val="00031FF1"/>
    <w:rsid w:val="000332E0"/>
    <w:rsid w:val="00033438"/>
    <w:rsid w:val="00036151"/>
    <w:rsid w:val="000367B7"/>
    <w:rsid w:val="00036F95"/>
    <w:rsid w:val="00037AD3"/>
    <w:rsid w:val="00037D28"/>
    <w:rsid w:val="00041516"/>
    <w:rsid w:val="00041D3E"/>
    <w:rsid w:val="0004207A"/>
    <w:rsid w:val="000423DE"/>
    <w:rsid w:val="00042A06"/>
    <w:rsid w:val="00043244"/>
    <w:rsid w:val="00043569"/>
    <w:rsid w:val="0004487A"/>
    <w:rsid w:val="00044CFB"/>
    <w:rsid w:val="0004633E"/>
    <w:rsid w:val="00046B04"/>
    <w:rsid w:val="00046F30"/>
    <w:rsid w:val="000509AA"/>
    <w:rsid w:val="00051121"/>
    <w:rsid w:val="00053C1F"/>
    <w:rsid w:val="00055C2C"/>
    <w:rsid w:val="00056E8C"/>
    <w:rsid w:val="00056EC7"/>
    <w:rsid w:val="0005769A"/>
    <w:rsid w:val="0006211C"/>
    <w:rsid w:val="00062818"/>
    <w:rsid w:val="00062BF5"/>
    <w:rsid w:val="00062DFE"/>
    <w:rsid w:val="00063579"/>
    <w:rsid w:val="000637A2"/>
    <w:rsid w:val="00065D2A"/>
    <w:rsid w:val="00066922"/>
    <w:rsid w:val="00067366"/>
    <w:rsid w:val="00070153"/>
    <w:rsid w:val="00070182"/>
    <w:rsid w:val="00070848"/>
    <w:rsid w:val="00071F4E"/>
    <w:rsid w:val="0007269E"/>
    <w:rsid w:val="00072E71"/>
    <w:rsid w:val="0007387A"/>
    <w:rsid w:val="00073A7E"/>
    <w:rsid w:val="0007491D"/>
    <w:rsid w:val="000751C2"/>
    <w:rsid w:val="000762DE"/>
    <w:rsid w:val="00076839"/>
    <w:rsid w:val="00077BE6"/>
    <w:rsid w:val="00081BB1"/>
    <w:rsid w:val="000827FA"/>
    <w:rsid w:val="00082CBF"/>
    <w:rsid w:val="00083373"/>
    <w:rsid w:val="0008337A"/>
    <w:rsid w:val="000834F8"/>
    <w:rsid w:val="0008436E"/>
    <w:rsid w:val="0008622C"/>
    <w:rsid w:val="000862E8"/>
    <w:rsid w:val="00086D74"/>
    <w:rsid w:val="00087122"/>
    <w:rsid w:val="0009005A"/>
    <w:rsid w:val="00091E9D"/>
    <w:rsid w:val="000920F2"/>
    <w:rsid w:val="000927D3"/>
    <w:rsid w:val="000928D3"/>
    <w:rsid w:val="00092A4C"/>
    <w:rsid w:val="00092B76"/>
    <w:rsid w:val="00092BD3"/>
    <w:rsid w:val="00093925"/>
    <w:rsid w:val="0009567C"/>
    <w:rsid w:val="00095AAF"/>
    <w:rsid w:val="00096566"/>
    <w:rsid w:val="00097C86"/>
    <w:rsid w:val="000A0413"/>
    <w:rsid w:val="000A0C38"/>
    <w:rsid w:val="000A13B6"/>
    <w:rsid w:val="000A2260"/>
    <w:rsid w:val="000A2A39"/>
    <w:rsid w:val="000A4343"/>
    <w:rsid w:val="000A4958"/>
    <w:rsid w:val="000A4AE4"/>
    <w:rsid w:val="000A7642"/>
    <w:rsid w:val="000A7EF6"/>
    <w:rsid w:val="000B10B2"/>
    <w:rsid w:val="000B142A"/>
    <w:rsid w:val="000B167F"/>
    <w:rsid w:val="000B1833"/>
    <w:rsid w:val="000B50EE"/>
    <w:rsid w:val="000C07E3"/>
    <w:rsid w:val="000C2269"/>
    <w:rsid w:val="000C39DA"/>
    <w:rsid w:val="000C5730"/>
    <w:rsid w:val="000C597B"/>
    <w:rsid w:val="000C615A"/>
    <w:rsid w:val="000C67DA"/>
    <w:rsid w:val="000C6A36"/>
    <w:rsid w:val="000C7355"/>
    <w:rsid w:val="000C7E75"/>
    <w:rsid w:val="000D00DC"/>
    <w:rsid w:val="000D1AC1"/>
    <w:rsid w:val="000D2B45"/>
    <w:rsid w:val="000D31DF"/>
    <w:rsid w:val="000D46DA"/>
    <w:rsid w:val="000D540A"/>
    <w:rsid w:val="000D71E9"/>
    <w:rsid w:val="000D71F1"/>
    <w:rsid w:val="000D7E8C"/>
    <w:rsid w:val="000E04AC"/>
    <w:rsid w:val="000E0FCF"/>
    <w:rsid w:val="000E17C4"/>
    <w:rsid w:val="000E1895"/>
    <w:rsid w:val="000E2B83"/>
    <w:rsid w:val="000E2DAF"/>
    <w:rsid w:val="000E314F"/>
    <w:rsid w:val="000E322A"/>
    <w:rsid w:val="000E32AA"/>
    <w:rsid w:val="000E48E1"/>
    <w:rsid w:val="000E757C"/>
    <w:rsid w:val="000F03BB"/>
    <w:rsid w:val="000F041C"/>
    <w:rsid w:val="000F15A3"/>
    <w:rsid w:val="000F1638"/>
    <w:rsid w:val="000F2ED3"/>
    <w:rsid w:val="000F34F3"/>
    <w:rsid w:val="000F3F22"/>
    <w:rsid w:val="000F4189"/>
    <w:rsid w:val="000F4B42"/>
    <w:rsid w:val="000F4B57"/>
    <w:rsid w:val="000F5235"/>
    <w:rsid w:val="000F6152"/>
    <w:rsid w:val="000F638C"/>
    <w:rsid w:val="000F6DF7"/>
    <w:rsid w:val="000F6E39"/>
    <w:rsid w:val="000F7D0E"/>
    <w:rsid w:val="0010066B"/>
    <w:rsid w:val="00101285"/>
    <w:rsid w:val="0010206F"/>
    <w:rsid w:val="001038D5"/>
    <w:rsid w:val="00103BAC"/>
    <w:rsid w:val="00103DAD"/>
    <w:rsid w:val="001066BD"/>
    <w:rsid w:val="00111B7E"/>
    <w:rsid w:val="00111D25"/>
    <w:rsid w:val="001120D9"/>
    <w:rsid w:val="001121FE"/>
    <w:rsid w:val="00113AD0"/>
    <w:rsid w:val="001140ED"/>
    <w:rsid w:val="001144A9"/>
    <w:rsid w:val="001160E6"/>
    <w:rsid w:val="001169AC"/>
    <w:rsid w:val="0012049F"/>
    <w:rsid w:val="0012086B"/>
    <w:rsid w:val="0012185B"/>
    <w:rsid w:val="001219D8"/>
    <w:rsid w:val="001225A1"/>
    <w:rsid w:val="00126368"/>
    <w:rsid w:val="001267D6"/>
    <w:rsid w:val="00127245"/>
    <w:rsid w:val="00128A90"/>
    <w:rsid w:val="001301F9"/>
    <w:rsid w:val="00130DFA"/>
    <w:rsid w:val="00131971"/>
    <w:rsid w:val="00131AB3"/>
    <w:rsid w:val="00131FAF"/>
    <w:rsid w:val="0013267E"/>
    <w:rsid w:val="00132736"/>
    <w:rsid w:val="00132CDC"/>
    <w:rsid w:val="0013354F"/>
    <w:rsid w:val="001346E8"/>
    <w:rsid w:val="001359D5"/>
    <w:rsid w:val="00135CCF"/>
    <w:rsid w:val="00136FCD"/>
    <w:rsid w:val="00137AE7"/>
    <w:rsid w:val="00137E9C"/>
    <w:rsid w:val="00140F91"/>
    <w:rsid w:val="0014109F"/>
    <w:rsid w:val="00142138"/>
    <w:rsid w:val="00142639"/>
    <w:rsid w:val="00142E35"/>
    <w:rsid w:val="00142F02"/>
    <w:rsid w:val="0014374C"/>
    <w:rsid w:val="001438D2"/>
    <w:rsid w:val="00143C63"/>
    <w:rsid w:val="00143EA2"/>
    <w:rsid w:val="00147F15"/>
    <w:rsid w:val="0015091E"/>
    <w:rsid w:val="00150C39"/>
    <w:rsid w:val="001517C2"/>
    <w:rsid w:val="001522B7"/>
    <w:rsid w:val="00153967"/>
    <w:rsid w:val="0015420F"/>
    <w:rsid w:val="00157CCD"/>
    <w:rsid w:val="00160A8C"/>
    <w:rsid w:val="00162399"/>
    <w:rsid w:val="001629D8"/>
    <w:rsid w:val="00162DFF"/>
    <w:rsid w:val="00162EB7"/>
    <w:rsid w:val="00164CAE"/>
    <w:rsid w:val="00165535"/>
    <w:rsid w:val="00165F98"/>
    <w:rsid w:val="001664D3"/>
    <w:rsid w:val="00166ECD"/>
    <w:rsid w:val="0016716C"/>
    <w:rsid w:val="00167ABA"/>
    <w:rsid w:val="0017129F"/>
    <w:rsid w:val="0017146D"/>
    <w:rsid w:val="00173EC9"/>
    <w:rsid w:val="00174238"/>
    <w:rsid w:val="00175106"/>
    <w:rsid w:val="00175A84"/>
    <w:rsid w:val="00176529"/>
    <w:rsid w:val="00180B25"/>
    <w:rsid w:val="00180B84"/>
    <w:rsid w:val="00180E3A"/>
    <w:rsid w:val="00181740"/>
    <w:rsid w:val="00181ADE"/>
    <w:rsid w:val="00181CF0"/>
    <w:rsid w:val="00182372"/>
    <w:rsid w:val="0018405A"/>
    <w:rsid w:val="00190215"/>
    <w:rsid w:val="00191BD9"/>
    <w:rsid w:val="00191BF0"/>
    <w:rsid w:val="00192134"/>
    <w:rsid w:val="0019294C"/>
    <w:rsid w:val="00192AF3"/>
    <w:rsid w:val="00194CF7"/>
    <w:rsid w:val="00194F2B"/>
    <w:rsid w:val="00195DB2"/>
    <w:rsid w:val="00195E2F"/>
    <w:rsid w:val="0019656F"/>
    <w:rsid w:val="0019777A"/>
    <w:rsid w:val="00197D7B"/>
    <w:rsid w:val="00197DC0"/>
    <w:rsid w:val="001A0078"/>
    <w:rsid w:val="001A0482"/>
    <w:rsid w:val="001A2011"/>
    <w:rsid w:val="001A4AD1"/>
    <w:rsid w:val="001A5885"/>
    <w:rsid w:val="001A670C"/>
    <w:rsid w:val="001B01F0"/>
    <w:rsid w:val="001B0D77"/>
    <w:rsid w:val="001B0FBB"/>
    <w:rsid w:val="001B286F"/>
    <w:rsid w:val="001B2BD3"/>
    <w:rsid w:val="001B40B9"/>
    <w:rsid w:val="001B58B5"/>
    <w:rsid w:val="001B780C"/>
    <w:rsid w:val="001B782B"/>
    <w:rsid w:val="001C00C5"/>
    <w:rsid w:val="001C1494"/>
    <w:rsid w:val="001C2ACF"/>
    <w:rsid w:val="001C3170"/>
    <w:rsid w:val="001C358D"/>
    <w:rsid w:val="001C36FF"/>
    <w:rsid w:val="001C4A21"/>
    <w:rsid w:val="001C5128"/>
    <w:rsid w:val="001C66CF"/>
    <w:rsid w:val="001C6DD2"/>
    <w:rsid w:val="001C7ACD"/>
    <w:rsid w:val="001D09A8"/>
    <w:rsid w:val="001D16B8"/>
    <w:rsid w:val="001D1E03"/>
    <w:rsid w:val="001D23C7"/>
    <w:rsid w:val="001D33F7"/>
    <w:rsid w:val="001D4E66"/>
    <w:rsid w:val="001D4FE9"/>
    <w:rsid w:val="001D525A"/>
    <w:rsid w:val="001D53C5"/>
    <w:rsid w:val="001D581F"/>
    <w:rsid w:val="001E003A"/>
    <w:rsid w:val="001E1943"/>
    <w:rsid w:val="001E1E64"/>
    <w:rsid w:val="001E34B7"/>
    <w:rsid w:val="001E3BBF"/>
    <w:rsid w:val="001E7753"/>
    <w:rsid w:val="001F09EA"/>
    <w:rsid w:val="001F0D57"/>
    <w:rsid w:val="001F10E2"/>
    <w:rsid w:val="001F17C4"/>
    <w:rsid w:val="001F28FC"/>
    <w:rsid w:val="001F2DF5"/>
    <w:rsid w:val="001F3100"/>
    <w:rsid w:val="001F493B"/>
    <w:rsid w:val="001F65ED"/>
    <w:rsid w:val="001F6670"/>
    <w:rsid w:val="001F7456"/>
    <w:rsid w:val="00200819"/>
    <w:rsid w:val="00200D21"/>
    <w:rsid w:val="002016E5"/>
    <w:rsid w:val="00202754"/>
    <w:rsid w:val="002032FD"/>
    <w:rsid w:val="0020418D"/>
    <w:rsid w:val="00204CDF"/>
    <w:rsid w:val="00205CBD"/>
    <w:rsid w:val="0020642A"/>
    <w:rsid w:val="00207771"/>
    <w:rsid w:val="002138E6"/>
    <w:rsid w:val="00213B90"/>
    <w:rsid w:val="00214BA5"/>
    <w:rsid w:val="002155C1"/>
    <w:rsid w:val="002163AD"/>
    <w:rsid w:val="002172A6"/>
    <w:rsid w:val="0022025B"/>
    <w:rsid w:val="00220301"/>
    <w:rsid w:val="00220E6C"/>
    <w:rsid w:val="00221B10"/>
    <w:rsid w:val="00222A18"/>
    <w:rsid w:val="00223489"/>
    <w:rsid w:val="00225E7C"/>
    <w:rsid w:val="00226296"/>
    <w:rsid w:val="00227509"/>
    <w:rsid w:val="0023076C"/>
    <w:rsid w:val="00230FC8"/>
    <w:rsid w:val="00231AAC"/>
    <w:rsid w:val="002323FB"/>
    <w:rsid w:val="00232609"/>
    <w:rsid w:val="0023267B"/>
    <w:rsid w:val="00232D6F"/>
    <w:rsid w:val="002339C4"/>
    <w:rsid w:val="002340A1"/>
    <w:rsid w:val="00234DA3"/>
    <w:rsid w:val="00234EBF"/>
    <w:rsid w:val="0023579B"/>
    <w:rsid w:val="00235B1D"/>
    <w:rsid w:val="002378A7"/>
    <w:rsid w:val="00240E47"/>
    <w:rsid w:val="00242496"/>
    <w:rsid w:val="0024379D"/>
    <w:rsid w:val="002438FA"/>
    <w:rsid w:val="00245D22"/>
    <w:rsid w:val="00246E3F"/>
    <w:rsid w:val="002472B7"/>
    <w:rsid w:val="002472FF"/>
    <w:rsid w:val="0025139E"/>
    <w:rsid w:val="00253513"/>
    <w:rsid w:val="0025363F"/>
    <w:rsid w:val="00253AEE"/>
    <w:rsid w:val="002551F6"/>
    <w:rsid w:val="00256303"/>
    <w:rsid w:val="00257C5E"/>
    <w:rsid w:val="00257C98"/>
    <w:rsid w:val="00260060"/>
    <w:rsid w:val="00260160"/>
    <w:rsid w:val="002601A6"/>
    <w:rsid w:val="00260485"/>
    <w:rsid w:val="0026112D"/>
    <w:rsid w:val="0026214E"/>
    <w:rsid w:val="002624A0"/>
    <w:rsid w:val="00265470"/>
    <w:rsid w:val="0026574C"/>
    <w:rsid w:val="00266798"/>
    <w:rsid w:val="0027233F"/>
    <w:rsid w:val="0027372A"/>
    <w:rsid w:val="00273D70"/>
    <w:rsid w:val="002769EF"/>
    <w:rsid w:val="002774B0"/>
    <w:rsid w:val="002813C5"/>
    <w:rsid w:val="00281912"/>
    <w:rsid w:val="00281B67"/>
    <w:rsid w:val="002829B2"/>
    <w:rsid w:val="00282C75"/>
    <w:rsid w:val="00283815"/>
    <w:rsid w:val="00285835"/>
    <w:rsid w:val="00285C63"/>
    <w:rsid w:val="00285E64"/>
    <w:rsid w:val="00286318"/>
    <w:rsid w:val="00286A63"/>
    <w:rsid w:val="00286F29"/>
    <w:rsid w:val="00287E18"/>
    <w:rsid w:val="00290180"/>
    <w:rsid w:val="00291B43"/>
    <w:rsid w:val="00292473"/>
    <w:rsid w:val="00292619"/>
    <w:rsid w:val="002928A5"/>
    <w:rsid w:val="00293E74"/>
    <w:rsid w:val="0029427C"/>
    <w:rsid w:val="00294F57"/>
    <w:rsid w:val="00296D06"/>
    <w:rsid w:val="002973EB"/>
    <w:rsid w:val="00297EA6"/>
    <w:rsid w:val="002A13B9"/>
    <w:rsid w:val="002A2012"/>
    <w:rsid w:val="002A21AF"/>
    <w:rsid w:val="002A2707"/>
    <w:rsid w:val="002A39B5"/>
    <w:rsid w:val="002A4CB1"/>
    <w:rsid w:val="002A4E6A"/>
    <w:rsid w:val="002A51E2"/>
    <w:rsid w:val="002A54B3"/>
    <w:rsid w:val="002B0125"/>
    <w:rsid w:val="002B1736"/>
    <w:rsid w:val="002B17A7"/>
    <w:rsid w:val="002B1904"/>
    <w:rsid w:val="002B317B"/>
    <w:rsid w:val="002B4763"/>
    <w:rsid w:val="002B5C14"/>
    <w:rsid w:val="002B6D5D"/>
    <w:rsid w:val="002B7D22"/>
    <w:rsid w:val="002C0402"/>
    <w:rsid w:val="002C1C72"/>
    <w:rsid w:val="002C1F9E"/>
    <w:rsid w:val="002C27F4"/>
    <w:rsid w:val="002C3DF8"/>
    <w:rsid w:val="002C5BA0"/>
    <w:rsid w:val="002C64C4"/>
    <w:rsid w:val="002C7A6C"/>
    <w:rsid w:val="002C7DE8"/>
    <w:rsid w:val="002D1428"/>
    <w:rsid w:val="002D1860"/>
    <w:rsid w:val="002D1BBC"/>
    <w:rsid w:val="002D205B"/>
    <w:rsid w:val="002D255F"/>
    <w:rsid w:val="002D2DD1"/>
    <w:rsid w:val="002D35EF"/>
    <w:rsid w:val="002D465E"/>
    <w:rsid w:val="002D7312"/>
    <w:rsid w:val="002D76B8"/>
    <w:rsid w:val="002E0325"/>
    <w:rsid w:val="002E048A"/>
    <w:rsid w:val="002E0D9E"/>
    <w:rsid w:val="002E1318"/>
    <w:rsid w:val="002E13A7"/>
    <w:rsid w:val="002E3CCD"/>
    <w:rsid w:val="002E4C32"/>
    <w:rsid w:val="002E5BB5"/>
    <w:rsid w:val="002E6957"/>
    <w:rsid w:val="002E6C73"/>
    <w:rsid w:val="002F0395"/>
    <w:rsid w:val="002F0EB2"/>
    <w:rsid w:val="002F10F4"/>
    <w:rsid w:val="002F3D18"/>
    <w:rsid w:val="002F435D"/>
    <w:rsid w:val="002F56D7"/>
    <w:rsid w:val="002F5FB3"/>
    <w:rsid w:val="002F66AC"/>
    <w:rsid w:val="002F6E36"/>
    <w:rsid w:val="00302534"/>
    <w:rsid w:val="0030256B"/>
    <w:rsid w:val="00302AC1"/>
    <w:rsid w:val="00302B35"/>
    <w:rsid w:val="00302E28"/>
    <w:rsid w:val="0030316D"/>
    <w:rsid w:val="0030387A"/>
    <w:rsid w:val="00303B10"/>
    <w:rsid w:val="00303E39"/>
    <w:rsid w:val="0030440C"/>
    <w:rsid w:val="0030552C"/>
    <w:rsid w:val="00306B46"/>
    <w:rsid w:val="00306DE4"/>
    <w:rsid w:val="00306E1E"/>
    <w:rsid w:val="00306EDF"/>
    <w:rsid w:val="00310FF8"/>
    <w:rsid w:val="00312342"/>
    <w:rsid w:val="00312F5E"/>
    <w:rsid w:val="00313C8D"/>
    <w:rsid w:val="00314DA1"/>
    <w:rsid w:val="0031517A"/>
    <w:rsid w:val="00316526"/>
    <w:rsid w:val="003176F6"/>
    <w:rsid w:val="00320CA8"/>
    <w:rsid w:val="00321269"/>
    <w:rsid w:val="00321C7C"/>
    <w:rsid w:val="00321D9F"/>
    <w:rsid w:val="003222BC"/>
    <w:rsid w:val="00322EB6"/>
    <w:rsid w:val="00323D65"/>
    <w:rsid w:val="00324B18"/>
    <w:rsid w:val="003250B2"/>
    <w:rsid w:val="003250D3"/>
    <w:rsid w:val="003256F4"/>
    <w:rsid w:val="00326008"/>
    <w:rsid w:val="003276C9"/>
    <w:rsid w:val="003310B2"/>
    <w:rsid w:val="00331346"/>
    <w:rsid w:val="0033287E"/>
    <w:rsid w:val="00334747"/>
    <w:rsid w:val="00334899"/>
    <w:rsid w:val="003351E6"/>
    <w:rsid w:val="00335D8F"/>
    <w:rsid w:val="00336386"/>
    <w:rsid w:val="00336F1D"/>
    <w:rsid w:val="0033712F"/>
    <w:rsid w:val="00337A5D"/>
    <w:rsid w:val="00340271"/>
    <w:rsid w:val="00340DAC"/>
    <w:rsid w:val="00341718"/>
    <w:rsid w:val="00341B30"/>
    <w:rsid w:val="00341DB2"/>
    <w:rsid w:val="00341F8D"/>
    <w:rsid w:val="00342A75"/>
    <w:rsid w:val="003443DA"/>
    <w:rsid w:val="00345231"/>
    <w:rsid w:val="00346097"/>
    <w:rsid w:val="003462DB"/>
    <w:rsid w:val="00346374"/>
    <w:rsid w:val="00346DFC"/>
    <w:rsid w:val="00347549"/>
    <w:rsid w:val="00347B1E"/>
    <w:rsid w:val="00350C72"/>
    <w:rsid w:val="00352773"/>
    <w:rsid w:val="00352F44"/>
    <w:rsid w:val="00354CB2"/>
    <w:rsid w:val="0035738F"/>
    <w:rsid w:val="003578BA"/>
    <w:rsid w:val="00362D08"/>
    <w:rsid w:val="00363291"/>
    <w:rsid w:val="003633CD"/>
    <w:rsid w:val="00363717"/>
    <w:rsid w:val="00363D1D"/>
    <w:rsid w:val="00363D95"/>
    <w:rsid w:val="003650C2"/>
    <w:rsid w:val="00366120"/>
    <w:rsid w:val="00366363"/>
    <w:rsid w:val="00370FBA"/>
    <w:rsid w:val="0037244B"/>
    <w:rsid w:val="0037291F"/>
    <w:rsid w:val="003738ED"/>
    <w:rsid w:val="003747F7"/>
    <w:rsid w:val="0037697D"/>
    <w:rsid w:val="00377EAF"/>
    <w:rsid w:val="0038035E"/>
    <w:rsid w:val="00380B2D"/>
    <w:rsid w:val="00381758"/>
    <w:rsid w:val="0038299A"/>
    <w:rsid w:val="00382B58"/>
    <w:rsid w:val="00382B67"/>
    <w:rsid w:val="00382CF4"/>
    <w:rsid w:val="00383491"/>
    <w:rsid w:val="00384E90"/>
    <w:rsid w:val="003854F2"/>
    <w:rsid w:val="003906E9"/>
    <w:rsid w:val="0039145C"/>
    <w:rsid w:val="00391B03"/>
    <w:rsid w:val="00391E66"/>
    <w:rsid w:val="00392B37"/>
    <w:rsid w:val="003936D1"/>
    <w:rsid w:val="00393CFF"/>
    <w:rsid w:val="00394CB8"/>
    <w:rsid w:val="003966B9"/>
    <w:rsid w:val="00396E47"/>
    <w:rsid w:val="0039785E"/>
    <w:rsid w:val="003A0E75"/>
    <w:rsid w:val="003A17DD"/>
    <w:rsid w:val="003A2191"/>
    <w:rsid w:val="003A3A6C"/>
    <w:rsid w:val="003A525A"/>
    <w:rsid w:val="003A6506"/>
    <w:rsid w:val="003A6FB0"/>
    <w:rsid w:val="003A7833"/>
    <w:rsid w:val="003A7999"/>
    <w:rsid w:val="003B0ED3"/>
    <w:rsid w:val="003B1740"/>
    <w:rsid w:val="003B2E48"/>
    <w:rsid w:val="003B3B37"/>
    <w:rsid w:val="003B45B9"/>
    <w:rsid w:val="003B4A89"/>
    <w:rsid w:val="003B504C"/>
    <w:rsid w:val="003B539E"/>
    <w:rsid w:val="003B5A58"/>
    <w:rsid w:val="003B603D"/>
    <w:rsid w:val="003B61A7"/>
    <w:rsid w:val="003B64D9"/>
    <w:rsid w:val="003B7446"/>
    <w:rsid w:val="003C0198"/>
    <w:rsid w:val="003C0526"/>
    <w:rsid w:val="003C1D29"/>
    <w:rsid w:val="003C3457"/>
    <w:rsid w:val="003C4526"/>
    <w:rsid w:val="003C5C22"/>
    <w:rsid w:val="003C628E"/>
    <w:rsid w:val="003C632F"/>
    <w:rsid w:val="003D0146"/>
    <w:rsid w:val="003D0BF1"/>
    <w:rsid w:val="003D1E31"/>
    <w:rsid w:val="003D3369"/>
    <w:rsid w:val="003D4316"/>
    <w:rsid w:val="003D4E69"/>
    <w:rsid w:val="003D5D30"/>
    <w:rsid w:val="003D5F6B"/>
    <w:rsid w:val="003D7DE8"/>
    <w:rsid w:val="003E0D7B"/>
    <w:rsid w:val="003E1E03"/>
    <w:rsid w:val="003E2D1D"/>
    <w:rsid w:val="003E2E25"/>
    <w:rsid w:val="003E31ED"/>
    <w:rsid w:val="003E4980"/>
    <w:rsid w:val="003E49CC"/>
    <w:rsid w:val="003E5C78"/>
    <w:rsid w:val="003E5E18"/>
    <w:rsid w:val="003E6034"/>
    <w:rsid w:val="003E6344"/>
    <w:rsid w:val="003E75AB"/>
    <w:rsid w:val="003E7B63"/>
    <w:rsid w:val="003F176B"/>
    <w:rsid w:val="003F1BF2"/>
    <w:rsid w:val="003F3292"/>
    <w:rsid w:val="003F4F07"/>
    <w:rsid w:val="003F6510"/>
    <w:rsid w:val="0040040F"/>
    <w:rsid w:val="0040155D"/>
    <w:rsid w:val="00401F38"/>
    <w:rsid w:val="00402705"/>
    <w:rsid w:val="004027A5"/>
    <w:rsid w:val="00402B31"/>
    <w:rsid w:val="00402E43"/>
    <w:rsid w:val="00402FFB"/>
    <w:rsid w:val="00403559"/>
    <w:rsid w:val="004047E7"/>
    <w:rsid w:val="00404B84"/>
    <w:rsid w:val="00405E5F"/>
    <w:rsid w:val="00410002"/>
    <w:rsid w:val="00411A6F"/>
    <w:rsid w:val="004120BB"/>
    <w:rsid w:val="00413123"/>
    <w:rsid w:val="00413B7E"/>
    <w:rsid w:val="004146EA"/>
    <w:rsid w:val="0041523A"/>
    <w:rsid w:val="00421B38"/>
    <w:rsid w:val="00423410"/>
    <w:rsid w:val="00423684"/>
    <w:rsid w:val="00423B26"/>
    <w:rsid w:val="00425D5F"/>
    <w:rsid w:val="00430E59"/>
    <w:rsid w:val="00431300"/>
    <w:rsid w:val="0043160B"/>
    <w:rsid w:val="00432482"/>
    <w:rsid w:val="00432C51"/>
    <w:rsid w:val="00432ED7"/>
    <w:rsid w:val="00433293"/>
    <w:rsid w:val="00434AF4"/>
    <w:rsid w:val="00436049"/>
    <w:rsid w:val="00436124"/>
    <w:rsid w:val="0043712F"/>
    <w:rsid w:val="004411F0"/>
    <w:rsid w:val="0044558E"/>
    <w:rsid w:val="004457B3"/>
    <w:rsid w:val="00446E11"/>
    <w:rsid w:val="00450CB1"/>
    <w:rsid w:val="004537B8"/>
    <w:rsid w:val="00453AC1"/>
    <w:rsid w:val="00454B3E"/>
    <w:rsid w:val="00456E46"/>
    <w:rsid w:val="0045706C"/>
    <w:rsid w:val="00460051"/>
    <w:rsid w:val="0046007F"/>
    <w:rsid w:val="00460CF6"/>
    <w:rsid w:val="00460D00"/>
    <w:rsid w:val="00461848"/>
    <w:rsid w:val="00461F01"/>
    <w:rsid w:val="00462024"/>
    <w:rsid w:val="004631F9"/>
    <w:rsid w:val="00464DF7"/>
    <w:rsid w:val="00464EA0"/>
    <w:rsid w:val="0046672A"/>
    <w:rsid w:val="00470606"/>
    <w:rsid w:val="00470ADC"/>
    <w:rsid w:val="00471315"/>
    <w:rsid w:val="004724A4"/>
    <w:rsid w:val="00473059"/>
    <w:rsid w:val="00473674"/>
    <w:rsid w:val="00473ED1"/>
    <w:rsid w:val="00474851"/>
    <w:rsid w:val="00474D32"/>
    <w:rsid w:val="00474D3E"/>
    <w:rsid w:val="00475BFD"/>
    <w:rsid w:val="004761C8"/>
    <w:rsid w:val="00476217"/>
    <w:rsid w:val="0047629E"/>
    <w:rsid w:val="00476EF1"/>
    <w:rsid w:val="004772D6"/>
    <w:rsid w:val="004775DD"/>
    <w:rsid w:val="0048004A"/>
    <w:rsid w:val="00480259"/>
    <w:rsid w:val="00480B5E"/>
    <w:rsid w:val="00481FBC"/>
    <w:rsid w:val="00482166"/>
    <w:rsid w:val="00484001"/>
    <w:rsid w:val="00484A94"/>
    <w:rsid w:val="0048500F"/>
    <w:rsid w:val="004853D7"/>
    <w:rsid w:val="00486A5A"/>
    <w:rsid w:val="00487054"/>
    <w:rsid w:val="0049137E"/>
    <w:rsid w:val="0049285A"/>
    <w:rsid w:val="004928E7"/>
    <w:rsid w:val="00492EB6"/>
    <w:rsid w:val="004968DD"/>
    <w:rsid w:val="00496DAE"/>
    <w:rsid w:val="004976B2"/>
    <w:rsid w:val="00497BD4"/>
    <w:rsid w:val="00497C50"/>
    <w:rsid w:val="00497C52"/>
    <w:rsid w:val="004A07C2"/>
    <w:rsid w:val="004A0F61"/>
    <w:rsid w:val="004A25F0"/>
    <w:rsid w:val="004A2681"/>
    <w:rsid w:val="004A28E1"/>
    <w:rsid w:val="004A5326"/>
    <w:rsid w:val="004A6336"/>
    <w:rsid w:val="004A7102"/>
    <w:rsid w:val="004A7737"/>
    <w:rsid w:val="004B097A"/>
    <w:rsid w:val="004B203C"/>
    <w:rsid w:val="004B421E"/>
    <w:rsid w:val="004B4D25"/>
    <w:rsid w:val="004B6022"/>
    <w:rsid w:val="004B648E"/>
    <w:rsid w:val="004B7A00"/>
    <w:rsid w:val="004B7C51"/>
    <w:rsid w:val="004C06DA"/>
    <w:rsid w:val="004C13F1"/>
    <w:rsid w:val="004C16EC"/>
    <w:rsid w:val="004C33BF"/>
    <w:rsid w:val="004C46E2"/>
    <w:rsid w:val="004C6389"/>
    <w:rsid w:val="004C7B6D"/>
    <w:rsid w:val="004D4248"/>
    <w:rsid w:val="004D4425"/>
    <w:rsid w:val="004D4573"/>
    <w:rsid w:val="004D4949"/>
    <w:rsid w:val="004D5112"/>
    <w:rsid w:val="004D512C"/>
    <w:rsid w:val="004D729B"/>
    <w:rsid w:val="004E2F39"/>
    <w:rsid w:val="004E31ED"/>
    <w:rsid w:val="004E3A70"/>
    <w:rsid w:val="004E449E"/>
    <w:rsid w:val="004E4EF0"/>
    <w:rsid w:val="004E50F8"/>
    <w:rsid w:val="004E5ADA"/>
    <w:rsid w:val="004E6AEC"/>
    <w:rsid w:val="004F10CE"/>
    <w:rsid w:val="004F1A98"/>
    <w:rsid w:val="004F28E3"/>
    <w:rsid w:val="004F41CD"/>
    <w:rsid w:val="004F5008"/>
    <w:rsid w:val="004F7061"/>
    <w:rsid w:val="00500062"/>
    <w:rsid w:val="0050014D"/>
    <w:rsid w:val="00501616"/>
    <w:rsid w:val="005019C9"/>
    <w:rsid w:val="00501EBF"/>
    <w:rsid w:val="00502043"/>
    <w:rsid w:val="005020EB"/>
    <w:rsid w:val="00503401"/>
    <w:rsid w:val="00503F0F"/>
    <w:rsid w:val="005056F7"/>
    <w:rsid w:val="005101AA"/>
    <w:rsid w:val="0051069B"/>
    <w:rsid w:val="0051276D"/>
    <w:rsid w:val="00512E8E"/>
    <w:rsid w:val="005134EA"/>
    <w:rsid w:val="0051442A"/>
    <w:rsid w:val="00514EB0"/>
    <w:rsid w:val="0051566C"/>
    <w:rsid w:val="005174E2"/>
    <w:rsid w:val="00517D41"/>
    <w:rsid w:val="00520C87"/>
    <w:rsid w:val="005227A2"/>
    <w:rsid w:val="0052295E"/>
    <w:rsid w:val="0052349F"/>
    <w:rsid w:val="0052389A"/>
    <w:rsid w:val="005241BA"/>
    <w:rsid w:val="00524F09"/>
    <w:rsid w:val="005250BC"/>
    <w:rsid w:val="005252A6"/>
    <w:rsid w:val="005267EF"/>
    <w:rsid w:val="00527BB3"/>
    <w:rsid w:val="00527C34"/>
    <w:rsid w:val="00527D0E"/>
    <w:rsid w:val="00530816"/>
    <w:rsid w:val="00531124"/>
    <w:rsid w:val="005311E9"/>
    <w:rsid w:val="00531519"/>
    <w:rsid w:val="00531A33"/>
    <w:rsid w:val="00532C85"/>
    <w:rsid w:val="00532DB4"/>
    <w:rsid w:val="0053319D"/>
    <w:rsid w:val="0053446A"/>
    <w:rsid w:val="005349F5"/>
    <w:rsid w:val="00535FE9"/>
    <w:rsid w:val="0053632E"/>
    <w:rsid w:val="00541067"/>
    <w:rsid w:val="00541F0D"/>
    <w:rsid w:val="00542926"/>
    <w:rsid w:val="005429E8"/>
    <w:rsid w:val="00542CCD"/>
    <w:rsid w:val="00543588"/>
    <w:rsid w:val="005454D4"/>
    <w:rsid w:val="00545726"/>
    <w:rsid w:val="00546BD7"/>
    <w:rsid w:val="0055269A"/>
    <w:rsid w:val="00552702"/>
    <w:rsid w:val="00553A77"/>
    <w:rsid w:val="00555FE0"/>
    <w:rsid w:val="0055617E"/>
    <w:rsid w:val="0055655D"/>
    <w:rsid w:val="00556722"/>
    <w:rsid w:val="005571CB"/>
    <w:rsid w:val="005572D4"/>
    <w:rsid w:val="0056105C"/>
    <w:rsid w:val="005612CA"/>
    <w:rsid w:val="005613B4"/>
    <w:rsid w:val="00561598"/>
    <w:rsid w:val="00561662"/>
    <w:rsid w:val="00562F6D"/>
    <w:rsid w:val="005639AC"/>
    <w:rsid w:val="00563DFB"/>
    <w:rsid w:val="00564530"/>
    <w:rsid w:val="005646FA"/>
    <w:rsid w:val="005658E2"/>
    <w:rsid w:val="0056730B"/>
    <w:rsid w:val="00570B58"/>
    <w:rsid w:val="00571899"/>
    <w:rsid w:val="00571E7D"/>
    <w:rsid w:val="0057260B"/>
    <w:rsid w:val="00572B0C"/>
    <w:rsid w:val="00572F47"/>
    <w:rsid w:val="00573093"/>
    <w:rsid w:val="00573B22"/>
    <w:rsid w:val="00574496"/>
    <w:rsid w:val="00574C0C"/>
    <w:rsid w:val="0057574B"/>
    <w:rsid w:val="00575E6C"/>
    <w:rsid w:val="005769A8"/>
    <w:rsid w:val="00576DE1"/>
    <w:rsid w:val="00577218"/>
    <w:rsid w:val="00577770"/>
    <w:rsid w:val="0057784C"/>
    <w:rsid w:val="0058095D"/>
    <w:rsid w:val="00582054"/>
    <w:rsid w:val="005829B8"/>
    <w:rsid w:val="0058321D"/>
    <w:rsid w:val="005844B6"/>
    <w:rsid w:val="005852D3"/>
    <w:rsid w:val="00585725"/>
    <w:rsid w:val="00586136"/>
    <w:rsid w:val="005868F3"/>
    <w:rsid w:val="00591585"/>
    <w:rsid w:val="005915F4"/>
    <w:rsid w:val="0059185F"/>
    <w:rsid w:val="005925AE"/>
    <w:rsid w:val="00592954"/>
    <w:rsid w:val="005936FD"/>
    <w:rsid w:val="00594E2B"/>
    <w:rsid w:val="005959CA"/>
    <w:rsid w:val="00596639"/>
    <w:rsid w:val="005A084D"/>
    <w:rsid w:val="005A0B3D"/>
    <w:rsid w:val="005A1581"/>
    <w:rsid w:val="005A3D0F"/>
    <w:rsid w:val="005A4030"/>
    <w:rsid w:val="005A6217"/>
    <w:rsid w:val="005A6D6C"/>
    <w:rsid w:val="005A7BA4"/>
    <w:rsid w:val="005B0B3D"/>
    <w:rsid w:val="005B0F2E"/>
    <w:rsid w:val="005B36EC"/>
    <w:rsid w:val="005B3972"/>
    <w:rsid w:val="005B66CD"/>
    <w:rsid w:val="005B6E68"/>
    <w:rsid w:val="005C0C0D"/>
    <w:rsid w:val="005C0C9F"/>
    <w:rsid w:val="005C2B00"/>
    <w:rsid w:val="005C2B87"/>
    <w:rsid w:val="005C3D29"/>
    <w:rsid w:val="005C3D92"/>
    <w:rsid w:val="005C44BC"/>
    <w:rsid w:val="005C5592"/>
    <w:rsid w:val="005C57AA"/>
    <w:rsid w:val="005C5E93"/>
    <w:rsid w:val="005C6471"/>
    <w:rsid w:val="005C6A19"/>
    <w:rsid w:val="005C7765"/>
    <w:rsid w:val="005C789F"/>
    <w:rsid w:val="005C7CE0"/>
    <w:rsid w:val="005D09AF"/>
    <w:rsid w:val="005D11E2"/>
    <w:rsid w:val="005D1CFF"/>
    <w:rsid w:val="005D26CA"/>
    <w:rsid w:val="005D2838"/>
    <w:rsid w:val="005D307E"/>
    <w:rsid w:val="005D39D0"/>
    <w:rsid w:val="005D3E9A"/>
    <w:rsid w:val="005D4633"/>
    <w:rsid w:val="005D4B0E"/>
    <w:rsid w:val="005D69AE"/>
    <w:rsid w:val="005D6E17"/>
    <w:rsid w:val="005E0540"/>
    <w:rsid w:val="005E0DE6"/>
    <w:rsid w:val="005E1E3D"/>
    <w:rsid w:val="005E1F13"/>
    <w:rsid w:val="005E27DF"/>
    <w:rsid w:val="005E2FC3"/>
    <w:rsid w:val="005E3933"/>
    <w:rsid w:val="005E3B8A"/>
    <w:rsid w:val="005E3DD0"/>
    <w:rsid w:val="005E454B"/>
    <w:rsid w:val="005E5552"/>
    <w:rsid w:val="005E57A2"/>
    <w:rsid w:val="005E7013"/>
    <w:rsid w:val="005E7BFC"/>
    <w:rsid w:val="005F1D02"/>
    <w:rsid w:val="005F35C8"/>
    <w:rsid w:val="005F43F3"/>
    <w:rsid w:val="005F4A8A"/>
    <w:rsid w:val="005F4C6B"/>
    <w:rsid w:val="005F6425"/>
    <w:rsid w:val="005F6D6F"/>
    <w:rsid w:val="005F72CA"/>
    <w:rsid w:val="006000EA"/>
    <w:rsid w:val="0060192E"/>
    <w:rsid w:val="00602392"/>
    <w:rsid w:val="00602F26"/>
    <w:rsid w:val="00603D99"/>
    <w:rsid w:val="00604ABA"/>
    <w:rsid w:val="00606387"/>
    <w:rsid w:val="0060650C"/>
    <w:rsid w:val="00606BC8"/>
    <w:rsid w:val="00606EAE"/>
    <w:rsid w:val="0060714E"/>
    <w:rsid w:val="0060791B"/>
    <w:rsid w:val="006079CA"/>
    <w:rsid w:val="006104BB"/>
    <w:rsid w:val="00620247"/>
    <w:rsid w:val="00620270"/>
    <w:rsid w:val="00620ECE"/>
    <w:rsid w:val="00621D79"/>
    <w:rsid w:val="0062258A"/>
    <w:rsid w:val="00623C8B"/>
    <w:rsid w:val="006241D3"/>
    <w:rsid w:val="00625BD2"/>
    <w:rsid w:val="00626C33"/>
    <w:rsid w:val="00627056"/>
    <w:rsid w:val="0062735B"/>
    <w:rsid w:val="0063127B"/>
    <w:rsid w:val="006313A8"/>
    <w:rsid w:val="006314F5"/>
    <w:rsid w:val="00631C0C"/>
    <w:rsid w:val="006320B8"/>
    <w:rsid w:val="00632ED6"/>
    <w:rsid w:val="00636E1B"/>
    <w:rsid w:val="00637B9C"/>
    <w:rsid w:val="00637BFE"/>
    <w:rsid w:val="00641305"/>
    <w:rsid w:val="0064148E"/>
    <w:rsid w:val="006414F9"/>
    <w:rsid w:val="00643FD2"/>
    <w:rsid w:val="00646301"/>
    <w:rsid w:val="00646BE2"/>
    <w:rsid w:val="0064726D"/>
    <w:rsid w:val="00647552"/>
    <w:rsid w:val="00647AFD"/>
    <w:rsid w:val="00647CEF"/>
    <w:rsid w:val="0065255D"/>
    <w:rsid w:val="006530E2"/>
    <w:rsid w:val="006531C9"/>
    <w:rsid w:val="0065341F"/>
    <w:rsid w:val="00653507"/>
    <w:rsid w:val="00653D1D"/>
    <w:rsid w:val="0065510A"/>
    <w:rsid w:val="00656B0B"/>
    <w:rsid w:val="006572BF"/>
    <w:rsid w:val="00660738"/>
    <w:rsid w:val="00661B2E"/>
    <w:rsid w:val="006622DE"/>
    <w:rsid w:val="00662E70"/>
    <w:rsid w:val="00664A8E"/>
    <w:rsid w:val="00666066"/>
    <w:rsid w:val="00667268"/>
    <w:rsid w:val="00667FFC"/>
    <w:rsid w:val="0067049F"/>
    <w:rsid w:val="00670810"/>
    <w:rsid w:val="006725C2"/>
    <w:rsid w:val="006733C1"/>
    <w:rsid w:val="006738F4"/>
    <w:rsid w:val="006739FC"/>
    <w:rsid w:val="00673E75"/>
    <w:rsid w:val="00673F99"/>
    <w:rsid w:val="00676F2B"/>
    <w:rsid w:val="00680031"/>
    <w:rsid w:val="006808E3"/>
    <w:rsid w:val="00681D68"/>
    <w:rsid w:val="00682128"/>
    <w:rsid w:val="00682E27"/>
    <w:rsid w:val="00683323"/>
    <w:rsid w:val="00683EE4"/>
    <w:rsid w:val="00684225"/>
    <w:rsid w:val="0068484E"/>
    <w:rsid w:val="00685124"/>
    <w:rsid w:val="00691D6C"/>
    <w:rsid w:val="00691F4D"/>
    <w:rsid w:val="0069367B"/>
    <w:rsid w:val="0069615B"/>
    <w:rsid w:val="00696D36"/>
    <w:rsid w:val="00697B68"/>
    <w:rsid w:val="00697EEA"/>
    <w:rsid w:val="006A0F4F"/>
    <w:rsid w:val="006A154D"/>
    <w:rsid w:val="006A1D52"/>
    <w:rsid w:val="006A37A3"/>
    <w:rsid w:val="006A5318"/>
    <w:rsid w:val="006A5973"/>
    <w:rsid w:val="006A7530"/>
    <w:rsid w:val="006B0E39"/>
    <w:rsid w:val="006B224D"/>
    <w:rsid w:val="006B3A07"/>
    <w:rsid w:val="006B4303"/>
    <w:rsid w:val="006B4C18"/>
    <w:rsid w:val="006B6751"/>
    <w:rsid w:val="006B6A18"/>
    <w:rsid w:val="006B6C81"/>
    <w:rsid w:val="006B7256"/>
    <w:rsid w:val="006B75AB"/>
    <w:rsid w:val="006B7E64"/>
    <w:rsid w:val="006C0054"/>
    <w:rsid w:val="006C0E95"/>
    <w:rsid w:val="006C0F7E"/>
    <w:rsid w:val="006C2B94"/>
    <w:rsid w:val="006C2CC9"/>
    <w:rsid w:val="006C3B74"/>
    <w:rsid w:val="006C5187"/>
    <w:rsid w:val="006C5FBF"/>
    <w:rsid w:val="006C65EE"/>
    <w:rsid w:val="006C6E77"/>
    <w:rsid w:val="006C6EC6"/>
    <w:rsid w:val="006C6FFD"/>
    <w:rsid w:val="006C7B61"/>
    <w:rsid w:val="006C7DBC"/>
    <w:rsid w:val="006D0853"/>
    <w:rsid w:val="006D1C7D"/>
    <w:rsid w:val="006D1E35"/>
    <w:rsid w:val="006D2352"/>
    <w:rsid w:val="006D4106"/>
    <w:rsid w:val="006D4C07"/>
    <w:rsid w:val="006D4D51"/>
    <w:rsid w:val="006D4EA8"/>
    <w:rsid w:val="006D4ED6"/>
    <w:rsid w:val="006D5B85"/>
    <w:rsid w:val="006D5CDD"/>
    <w:rsid w:val="006D6106"/>
    <w:rsid w:val="006D7BAF"/>
    <w:rsid w:val="006D7D28"/>
    <w:rsid w:val="006E0BC2"/>
    <w:rsid w:val="006E1471"/>
    <w:rsid w:val="006E2870"/>
    <w:rsid w:val="006E600F"/>
    <w:rsid w:val="006E6E19"/>
    <w:rsid w:val="006E7C38"/>
    <w:rsid w:val="006F0F77"/>
    <w:rsid w:val="006F2EE5"/>
    <w:rsid w:val="006F33F5"/>
    <w:rsid w:val="006F3AC1"/>
    <w:rsid w:val="006F5C18"/>
    <w:rsid w:val="006F60E2"/>
    <w:rsid w:val="006F67F6"/>
    <w:rsid w:val="006F6BE1"/>
    <w:rsid w:val="006F79A4"/>
    <w:rsid w:val="00701201"/>
    <w:rsid w:val="007015F2"/>
    <w:rsid w:val="0070192A"/>
    <w:rsid w:val="00701C97"/>
    <w:rsid w:val="00702679"/>
    <w:rsid w:val="00702BD0"/>
    <w:rsid w:val="00702E70"/>
    <w:rsid w:val="0070401A"/>
    <w:rsid w:val="0070486C"/>
    <w:rsid w:val="00706567"/>
    <w:rsid w:val="00706807"/>
    <w:rsid w:val="00706E34"/>
    <w:rsid w:val="0070737C"/>
    <w:rsid w:val="007073A1"/>
    <w:rsid w:val="00712193"/>
    <w:rsid w:val="0071487A"/>
    <w:rsid w:val="007158D7"/>
    <w:rsid w:val="00715994"/>
    <w:rsid w:val="0071647D"/>
    <w:rsid w:val="00716655"/>
    <w:rsid w:val="007170A2"/>
    <w:rsid w:val="0071716E"/>
    <w:rsid w:val="007175ED"/>
    <w:rsid w:val="0071AC1E"/>
    <w:rsid w:val="00721B97"/>
    <w:rsid w:val="00722FEB"/>
    <w:rsid w:val="0072482F"/>
    <w:rsid w:val="00725B15"/>
    <w:rsid w:val="007277FC"/>
    <w:rsid w:val="0073066C"/>
    <w:rsid w:val="0073209C"/>
    <w:rsid w:val="00732F72"/>
    <w:rsid w:val="00732FCD"/>
    <w:rsid w:val="00733952"/>
    <w:rsid w:val="00734EC2"/>
    <w:rsid w:val="007356F9"/>
    <w:rsid w:val="00735E83"/>
    <w:rsid w:val="0073612F"/>
    <w:rsid w:val="00736E52"/>
    <w:rsid w:val="00740251"/>
    <w:rsid w:val="007402EA"/>
    <w:rsid w:val="00741496"/>
    <w:rsid w:val="0074216F"/>
    <w:rsid w:val="0074403D"/>
    <w:rsid w:val="0074408C"/>
    <w:rsid w:val="007443C0"/>
    <w:rsid w:val="00745B26"/>
    <w:rsid w:val="00746C98"/>
    <w:rsid w:val="0074730A"/>
    <w:rsid w:val="007476C1"/>
    <w:rsid w:val="00750616"/>
    <w:rsid w:val="00751448"/>
    <w:rsid w:val="007519E9"/>
    <w:rsid w:val="00752E06"/>
    <w:rsid w:val="00754063"/>
    <w:rsid w:val="007545AD"/>
    <w:rsid w:val="007553E4"/>
    <w:rsid w:val="00756AB5"/>
    <w:rsid w:val="00757294"/>
    <w:rsid w:val="00757338"/>
    <w:rsid w:val="007609BF"/>
    <w:rsid w:val="007616BD"/>
    <w:rsid w:val="0076294C"/>
    <w:rsid w:val="00762A0F"/>
    <w:rsid w:val="007643C2"/>
    <w:rsid w:val="00764612"/>
    <w:rsid w:val="00764FF8"/>
    <w:rsid w:val="00771F9F"/>
    <w:rsid w:val="00772762"/>
    <w:rsid w:val="00773EE9"/>
    <w:rsid w:val="00773F59"/>
    <w:rsid w:val="00774495"/>
    <w:rsid w:val="00774D09"/>
    <w:rsid w:val="00777B37"/>
    <w:rsid w:val="00777B64"/>
    <w:rsid w:val="00777FD8"/>
    <w:rsid w:val="007807DE"/>
    <w:rsid w:val="007809F7"/>
    <w:rsid w:val="00781162"/>
    <w:rsid w:val="0078146D"/>
    <w:rsid w:val="007817AC"/>
    <w:rsid w:val="00782351"/>
    <w:rsid w:val="0078349D"/>
    <w:rsid w:val="0078389E"/>
    <w:rsid w:val="00785888"/>
    <w:rsid w:val="007861DC"/>
    <w:rsid w:val="0078760E"/>
    <w:rsid w:val="0078779C"/>
    <w:rsid w:val="00787D39"/>
    <w:rsid w:val="00790870"/>
    <w:rsid w:val="007908AE"/>
    <w:rsid w:val="00792AB9"/>
    <w:rsid w:val="00793099"/>
    <w:rsid w:val="00793740"/>
    <w:rsid w:val="00793963"/>
    <w:rsid w:val="00793ED0"/>
    <w:rsid w:val="00796265"/>
    <w:rsid w:val="007A0B3B"/>
    <w:rsid w:val="007A0E26"/>
    <w:rsid w:val="007A143E"/>
    <w:rsid w:val="007A16C4"/>
    <w:rsid w:val="007A1B52"/>
    <w:rsid w:val="007A1F15"/>
    <w:rsid w:val="007A1FF1"/>
    <w:rsid w:val="007A23D4"/>
    <w:rsid w:val="007A355C"/>
    <w:rsid w:val="007A466E"/>
    <w:rsid w:val="007A4909"/>
    <w:rsid w:val="007A552D"/>
    <w:rsid w:val="007A6F82"/>
    <w:rsid w:val="007A7253"/>
    <w:rsid w:val="007A755C"/>
    <w:rsid w:val="007A76F3"/>
    <w:rsid w:val="007B0168"/>
    <w:rsid w:val="007B03F2"/>
    <w:rsid w:val="007B0D88"/>
    <w:rsid w:val="007B1068"/>
    <w:rsid w:val="007B321B"/>
    <w:rsid w:val="007B417A"/>
    <w:rsid w:val="007B6809"/>
    <w:rsid w:val="007B7E76"/>
    <w:rsid w:val="007B7FD5"/>
    <w:rsid w:val="007C04AF"/>
    <w:rsid w:val="007C0D43"/>
    <w:rsid w:val="007C348A"/>
    <w:rsid w:val="007C388A"/>
    <w:rsid w:val="007C5329"/>
    <w:rsid w:val="007C575D"/>
    <w:rsid w:val="007C64FA"/>
    <w:rsid w:val="007C68CF"/>
    <w:rsid w:val="007C71A6"/>
    <w:rsid w:val="007C797E"/>
    <w:rsid w:val="007D03B5"/>
    <w:rsid w:val="007D3E3F"/>
    <w:rsid w:val="007D5D51"/>
    <w:rsid w:val="007D62E6"/>
    <w:rsid w:val="007D64E4"/>
    <w:rsid w:val="007D7A1A"/>
    <w:rsid w:val="007E0562"/>
    <w:rsid w:val="007E09D9"/>
    <w:rsid w:val="007E0C38"/>
    <w:rsid w:val="007E177A"/>
    <w:rsid w:val="007E2AE1"/>
    <w:rsid w:val="007E2B67"/>
    <w:rsid w:val="007E2CA3"/>
    <w:rsid w:val="007E30EB"/>
    <w:rsid w:val="007E4E82"/>
    <w:rsid w:val="007E4F4A"/>
    <w:rsid w:val="007E54E9"/>
    <w:rsid w:val="007E6080"/>
    <w:rsid w:val="007F0CEF"/>
    <w:rsid w:val="007F1A99"/>
    <w:rsid w:val="007F34E9"/>
    <w:rsid w:val="007F3510"/>
    <w:rsid w:val="007F5A4E"/>
    <w:rsid w:val="007F7BA5"/>
    <w:rsid w:val="008005CD"/>
    <w:rsid w:val="0080078B"/>
    <w:rsid w:val="008008C3"/>
    <w:rsid w:val="00801080"/>
    <w:rsid w:val="00801A88"/>
    <w:rsid w:val="00802AAF"/>
    <w:rsid w:val="00802B5C"/>
    <w:rsid w:val="00803F28"/>
    <w:rsid w:val="00804EA7"/>
    <w:rsid w:val="008051F8"/>
    <w:rsid w:val="00806DDF"/>
    <w:rsid w:val="00807D58"/>
    <w:rsid w:val="00810379"/>
    <w:rsid w:val="008106E5"/>
    <w:rsid w:val="00812689"/>
    <w:rsid w:val="008159CC"/>
    <w:rsid w:val="008173FE"/>
    <w:rsid w:val="00820A51"/>
    <w:rsid w:val="00821B14"/>
    <w:rsid w:val="0082219D"/>
    <w:rsid w:val="00823019"/>
    <w:rsid w:val="00823D77"/>
    <w:rsid w:val="00824311"/>
    <w:rsid w:val="00824FB7"/>
    <w:rsid w:val="00826376"/>
    <w:rsid w:val="00827A56"/>
    <w:rsid w:val="00830B35"/>
    <w:rsid w:val="00830D6B"/>
    <w:rsid w:val="00830E82"/>
    <w:rsid w:val="0083143D"/>
    <w:rsid w:val="00832230"/>
    <w:rsid w:val="008331C0"/>
    <w:rsid w:val="00833882"/>
    <w:rsid w:val="00833E14"/>
    <w:rsid w:val="00834580"/>
    <w:rsid w:val="00836926"/>
    <w:rsid w:val="008379D0"/>
    <w:rsid w:val="0084052E"/>
    <w:rsid w:val="00840A94"/>
    <w:rsid w:val="00840C2F"/>
    <w:rsid w:val="0084193D"/>
    <w:rsid w:val="00842328"/>
    <w:rsid w:val="0084237A"/>
    <w:rsid w:val="008448EC"/>
    <w:rsid w:val="00845E32"/>
    <w:rsid w:val="00846890"/>
    <w:rsid w:val="0084732F"/>
    <w:rsid w:val="00847548"/>
    <w:rsid w:val="00847AEC"/>
    <w:rsid w:val="00851003"/>
    <w:rsid w:val="0085146D"/>
    <w:rsid w:val="00851E00"/>
    <w:rsid w:val="00852970"/>
    <w:rsid w:val="0085335C"/>
    <w:rsid w:val="00853907"/>
    <w:rsid w:val="008545A1"/>
    <w:rsid w:val="00862D45"/>
    <w:rsid w:val="00864C39"/>
    <w:rsid w:val="0086568F"/>
    <w:rsid w:val="008656E9"/>
    <w:rsid w:val="00865BE8"/>
    <w:rsid w:val="008674DB"/>
    <w:rsid w:val="00867FD5"/>
    <w:rsid w:val="008706D8"/>
    <w:rsid w:val="008718AE"/>
    <w:rsid w:val="00872A92"/>
    <w:rsid w:val="00873289"/>
    <w:rsid w:val="00874384"/>
    <w:rsid w:val="00874AA6"/>
    <w:rsid w:val="00875744"/>
    <w:rsid w:val="0087624B"/>
    <w:rsid w:val="008800F0"/>
    <w:rsid w:val="008811DD"/>
    <w:rsid w:val="00883D02"/>
    <w:rsid w:val="00884D1C"/>
    <w:rsid w:val="00884FC3"/>
    <w:rsid w:val="008860A6"/>
    <w:rsid w:val="0089014E"/>
    <w:rsid w:val="008912E8"/>
    <w:rsid w:val="0089245F"/>
    <w:rsid w:val="00892638"/>
    <w:rsid w:val="00892BCE"/>
    <w:rsid w:val="008933BC"/>
    <w:rsid w:val="00895D90"/>
    <w:rsid w:val="00895FE0"/>
    <w:rsid w:val="008967F7"/>
    <w:rsid w:val="008A03A1"/>
    <w:rsid w:val="008A0759"/>
    <w:rsid w:val="008A0D10"/>
    <w:rsid w:val="008A1A16"/>
    <w:rsid w:val="008A1C18"/>
    <w:rsid w:val="008A1FCF"/>
    <w:rsid w:val="008A3450"/>
    <w:rsid w:val="008A3471"/>
    <w:rsid w:val="008A46A7"/>
    <w:rsid w:val="008A4B43"/>
    <w:rsid w:val="008A59B0"/>
    <w:rsid w:val="008A5ADC"/>
    <w:rsid w:val="008A622B"/>
    <w:rsid w:val="008A6CB6"/>
    <w:rsid w:val="008A73C9"/>
    <w:rsid w:val="008A77A8"/>
    <w:rsid w:val="008B08EF"/>
    <w:rsid w:val="008B0CC4"/>
    <w:rsid w:val="008B1005"/>
    <w:rsid w:val="008B1C9D"/>
    <w:rsid w:val="008B41CB"/>
    <w:rsid w:val="008B420F"/>
    <w:rsid w:val="008B45CC"/>
    <w:rsid w:val="008B4D04"/>
    <w:rsid w:val="008B4D3F"/>
    <w:rsid w:val="008B597A"/>
    <w:rsid w:val="008B5AE2"/>
    <w:rsid w:val="008B7F11"/>
    <w:rsid w:val="008C0D30"/>
    <w:rsid w:val="008C128F"/>
    <w:rsid w:val="008C1928"/>
    <w:rsid w:val="008C2F39"/>
    <w:rsid w:val="008C39BD"/>
    <w:rsid w:val="008C3BF7"/>
    <w:rsid w:val="008C5E9F"/>
    <w:rsid w:val="008C6E5F"/>
    <w:rsid w:val="008C7025"/>
    <w:rsid w:val="008C7180"/>
    <w:rsid w:val="008C7188"/>
    <w:rsid w:val="008C7B2B"/>
    <w:rsid w:val="008D3731"/>
    <w:rsid w:val="008D3EE0"/>
    <w:rsid w:val="008D60F1"/>
    <w:rsid w:val="008D62F7"/>
    <w:rsid w:val="008D6911"/>
    <w:rsid w:val="008D6923"/>
    <w:rsid w:val="008D695C"/>
    <w:rsid w:val="008D7229"/>
    <w:rsid w:val="008D7360"/>
    <w:rsid w:val="008D7574"/>
    <w:rsid w:val="008E0104"/>
    <w:rsid w:val="008E03E4"/>
    <w:rsid w:val="008E1AD4"/>
    <w:rsid w:val="008E1CEF"/>
    <w:rsid w:val="008E1EF6"/>
    <w:rsid w:val="008E1F27"/>
    <w:rsid w:val="008E2A28"/>
    <w:rsid w:val="008E3365"/>
    <w:rsid w:val="008E4832"/>
    <w:rsid w:val="008E5DD5"/>
    <w:rsid w:val="008E5E60"/>
    <w:rsid w:val="008E6435"/>
    <w:rsid w:val="008E6B93"/>
    <w:rsid w:val="008E6E0C"/>
    <w:rsid w:val="008E79FB"/>
    <w:rsid w:val="008F016D"/>
    <w:rsid w:val="008F0F6E"/>
    <w:rsid w:val="008F2223"/>
    <w:rsid w:val="008F34DB"/>
    <w:rsid w:val="008F3E93"/>
    <w:rsid w:val="008F4DE3"/>
    <w:rsid w:val="008F5513"/>
    <w:rsid w:val="008F5989"/>
    <w:rsid w:val="008F6134"/>
    <w:rsid w:val="008F6C50"/>
    <w:rsid w:val="008F73E5"/>
    <w:rsid w:val="008F7DA8"/>
    <w:rsid w:val="009003AC"/>
    <w:rsid w:val="00904A77"/>
    <w:rsid w:val="00904DD8"/>
    <w:rsid w:val="0090515C"/>
    <w:rsid w:val="00905D5E"/>
    <w:rsid w:val="00906668"/>
    <w:rsid w:val="009070EE"/>
    <w:rsid w:val="009076BD"/>
    <w:rsid w:val="0091003E"/>
    <w:rsid w:val="00910275"/>
    <w:rsid w:val="00910770"/>
    <w:rsid w:val="00910C3F"/>
    <w:rsid w:val="0091153A"/>
    <w:rsid w:val="00911BC3"/>
    <w:rsid w:val="0091328F"/>
    <w:rsid w:val="009136DF"/>
    <w:rsid w:val="00916A5B"/>
    <w:rsid w:val="00916A8F"/>
    <w:rsid w:val="00917182"/>
    <w:rsid w:val="00917C5D"/>
    <w:rsid w:val="00920B6F"/>
    <w:rsid w:val="0092113D"/>
    <w:rsid w:val="0092120B"/>
    <w:rsid w:val="009219E8"/>
    <w:rsid w:val="00922081"/>
    <w:rsid w:val="0092374B"/>
    <w:rsid w:val="00924182"/>
    <w:rsid w:val="00927991"/>
    <w:rsid w:val="009313D9"/>
    <w:rsid w:val="0093145B"/>
    <w:rsid w:val="00931EAE"/>
    <w:rsid w:val="00932176"/>
    <w:rsid w:val="009326C6"/>
    <w:rsid w:val="00932F21"/>
    <w:rsid w:val="00936025"/>
    <w:rsid w:val="00941A96"/>
    <w:rsid w:val="00942BE6"/>
    <w:rsid w:val="00942E75"/>
    <w:rsid w:val="00943826"/>
    <w:rsid w:val="00943E1E"/>
    <w:rsid w:val="0094451A"/>
    <w:rsid w:val="009446F1"/>
    <w:rsid w:val="009459CD"/>
    <w:rsid w:val="0094731A"/>
    <w:rsid w:val="0095147A"/>
    <w:rsid w:val="00951CD1"/>
    <w:rsid w:val="00953111"/>
    <w:rsid w:val="009533DF"/>
    <w:rsid w:val="00953C6A"/>
    <w:rsid w:val="00954100"/>
    <w:rsid w:val="00954990"/>
    <w:rsid w:val="00954C80"/>
    <w:rsid w:val="00956552"/>
    <w:rsid w:val="00956624"/>
    <w:rsid w:val="00956946"/>
    <w:rsid w:val="009575D2"/>
    <w:rsid w:val="00957B9C"/>
    <w:rsid w:val="00957FAD"/>
    <w:rsid w:val="0096039B"/>
    <w:rsid w:val="0096298B"/>
    <w:rsid w:val="009632CA"/>
    <w:rsid w:val="00963EEB"/>
    <w:rsid w:val="00965088"/>
    <w:rsid w:val="00966BDE"/>
    <w:rsid w:val="009672EA"/>
    <w:rsid w:val="00967495"/>
    <w:rsid w:val="00970C7E"/>
    <w:rsid w:val="00971B3E"/>
    <w:rsid w:val="00972C3D"/>
    <w:rsid w:val="00973174"/>
    <w:rsid w:val="009733C8"/>
    <w:rsid w:val="00974726"/>
    <w:rsid w:val="00976096"/>
    <w:rsid w:val="00976F9F"/>
    <w:rsid w:val="0097718B"/>
    <w:rsid w:val="009800E0"/>
    <w:rsid w:val="00980130"/>
    <w:rsid w:val="009809E5"/>
    <w:rsid w:val="009815E7"/>
    <w:rsid w:val="00981CC4"/>
    <w:rsid w:val="00982DCC"/>
    <w:rsid w:val="00984849"/>
    <w:rsid w:val="00984ADC"/>
    <w:rsid w:val="00984D93"/>
    <w:rsid w:val="00986719"/>
    <w:rsid w:val="00987B36"/>
    <w:rsid w:val="00987B5D"/>
    <w:rsid w:val="009911AF"/>
    <w:rsid w:val="0099364C"/>
    <w:rsid w:val="00993D8D"/>
    <w:rsid w:val="009956ED"/>
    <w:rsid w:val="009958FD"/>
    <w:rsid w:val="009959D7"/>
    <w:rsid w:val="0099761A"/>
    <w:rsid w:val="009A0813"/>
    <w:rsid w:val="009A0DBA"/>
    <w:rsid w:val="009A17AA"/>
    <w:rsid w:val="009A340A"/>
    <w:rsid w:val="009A4FD5"/>
    <w:rsid w:val="009A52B4"/>
    <w:rsid w:val="009B081F"/>
    <w:rsid w:val="009B2C38"/>
    <w:rsid w:val="009B354C"/>
    <w:rsid w:val="009B3D36"/>
    <w:rsid w:val="009B5391"/>
    <w:rsid w:val="009B578C"/>
    <w:rsid w:val="009B72BA"/>
    <w:rsid w:val="009C0232"/>
    <w:rsid w:val="009C15AC"/>
    <w:rsid w:val="009C2061"/>
    <w:rsid w:val="009C304B"/>
    <w:rsid w:val="009C3247"/>
    <w:rsid w:val="009C46D7"/>
    <w:rsid w:val="009C4D6A"/>
    <w:rsid w:val="009C4E7B"/>
    <w:rsid w:val="009C6FEC"/>
    <w:rsid w:val="009C7273"/>
    <w:rsid w:val="009D3516"/>
    <w:rsid w:val="009D3D4F"/>
    <w:rsid w:val="009D478A"/>
    <w:rsid w:val="009D59F6"/>
    <w:rsid w:val="009D7CE0"/>
    <w:rsid w:val="009E042B"/>
    <w:rsid w:val="009E171B"/>
    <w:rsid w:val="009E2CAD"/>
    <w:rsid w:val="009E46DE"/>
    <w:rsid w:val="009E60EC"/>
    <w:rsid w:val="009E6422"/>
    <w:rsid w:val="009E6A97"/>
    <w:rsid w:val="009E70EF"/>
    <w:rsid w:val="009E727C"/>
    <w:rsid w:val="009F1A4D"/>
    <w:rsid w:val="009F3A51"/>
    <w:rsid w:val="009F53E8"/>
    <w:rsid w:val="009F5A32"/>
    <w:rsid w:val="009F5B53"/>
    <w:rsid w:val="009F62D8"/>
    <w:rsid w:val="009F7458"/>
    <w:rsid w:val="009F771B"/>
    <w:rsid w:val="009F7CB3"/>
    <w:rsid w:val="009F7F9F"/>
    <w:rsid w:val="00A01317"/>
    <w:rsid w:val="00A01CB1"/>
    <w:rsid w:val="00A04D2D"/>
    <w:rsid w:val="00A07438"/>
    <w:rsid w:val="00A07AEE"/>
    <w:rsid w:val="00A07EF9"/>
    <w:rsid w:val="00A101B9"/>
    <w:rsid w:val="00A101F4"/>
    <w:rsid w:val="00A10535"/>
    <w:rsid w:val="00A115BC"/>
    <w:rsid w:val="00A11748"/>
    <w:rsid w:val="00A1265B"/>
    <w:rsid w:val="00A131F7"/>
    <w:rsid w:val="00A13FA6"/>
    <w:rsid w:val="00A14C90"/>
    <w:rsid w:val="00A15479"/>
    <w:rsid w:val="00A16EF1"/>
    <w:rsid w:val="00A17E34"/>
    <w:rsid w:val="00A20961"/>
    <w:rsid w:val="00A21FCE"/>
    <w:rsid w:val="00A22934"/>
    <w:rsid w:val="00A24B6B"/>
    <w:rsid w:val="00A2521E"/>
    <w:rsid w:val="00A256FD"/>
    <w:rsid w:val="00A2577E"/>
    <w:rsid w:val="00A26278"/>
    <w:rsid w:val="00A26A5C"/>
    <w:rsid w:val="00A274F4"/>
    <w:rsid w:val="00A2761E"/>
    <w:rsid w:val="00A27C92"/>
    <w:rsid w:val="00A27EA5"/>
    <w:rsid w:val="00A27F3F"/>
    <w:rsid w:val="00A30457"/>
    <w:rsid w:val="00A310BA"/>
    <w:rsid w:val="00A325C8"/>
    <w:rsid w:val="00A32A1C"/>
    <w:rsid w:val="00A36687"/>
    <w:rsid w:val="00A40B93"/>
    <w:rsid w:val="00A4146C"/>
    <w:rsid w:val="00A4220C"/>
    <w:rsid w:val="00A42312"/>
    <w:rsid w:val="00A43F73"/>
    <w:rsid w:val="00A4432C"/>
    <w:rsid w:val="00A44A7B"/>
    <w:rsid w:val="00A44C7A"/>
    <w:rsid w:val="00A473ED"/>
    <w:rsid w:val="00A47957"/>
    <w:rsid w:val="00A50F40"/>
    <w:rsid w:val="00A53A6E"/>
    <w:rsid w:val="00A54A1F"/>
    <w:rsid w:val="00A55B45"/>
    <w:rsid w:val="00A57575"/>
    <w:rsid w:val="00A578DD"/>
    <w:rsid w:val="00A57C54"/>
    <w:rsid w:val="00A60350"/>
    <w:rsid w:val="00A60436"/>
    <w:rsid w:val="00A62F2D"/>
    <w:rsid w:val="00A657A6"/>
    <w:rsid w:val="00A67628"/>
    <w:rsid w:val="00A67845"/>
    <w:rsid w:val="00A67FDB"/>
    <w:rsid w:val="00A70E0B"/>
    <w:rsid w:val="00A72234"/>
    <w:rsid w:val="00A73B6D"/>
    <w:rsid w:val="00A73D28"/>
    <w:rsid w:val="00A73F48"/>
    <w:rsid w:val="00A74A89"/>
    <w:rsid w:val="00A74F82"/>
    <w:rsid w:val="00A75D14"/>
    <w:rsid w:val="00A7632D"/>
    <w:rsid w:val="00A77E12"/>
    <w:rsid w:val="00A80664"/>
    <w:rsid w:val="00A80BE9"/>
    <w:rsid w:val="00A812B7"/>
    <w:rsid w:val="00A82BF4"/>
    <w:rsid w:val="00A83103"/>
    <w:rsid w:val="00A8373E"/>
    <w:rsid w:val="00A83799"/>
    <w:rsid w:val="00A84A40"/>
    <w:rsid w:val="00A84C82"/>
    <w:rsid w:val="00A85A27"/>
    <w:rsid w:val="00A85B6E"/>
    <w:rsid w:val="00A85DDE"/>
    <w:rsid w:val="00A86626"/>
    <w:rsid w:val="00A86839"/>
    <w:rsid w:val="00A8731A"/>
    <w:rsid w:val="00A8786D"/>
    <w:rsid w:val="00A92DDE"/>
    <w:rsid w:val="00A93F6D"/>
    <w:rsid w:val="00A94CB0"/>
    <w:rsid w:val="00A94D23"/>
    <w:rsid w:val="00A94D50"/>
    <w:rsid w:val="00A955D3"/>
    <w:rsid w:val="00A95803"/>
    <w:rsid w:val="00A95919"/>
    <w:rsid w:val="00A95A3E"/>
    <w:rsid w:val="00A9618D"/>
    <w:rsid w:val="00A96592"/>
    <w:rsid w:val="00A97729"/>
    <w:rsid w:val="00AA0287"/>
    <w:rsid w:val="00AA03D9"/>
    <w:rsid w:val="00AA2376"/>
    <w:rsid w:val="00AA252F"/>
    <w:rsid w:val="00AA408A"/>
    <w:rsid w:val="00AA53F3"/>
    <w:rsid w:val="00AA57B6"/>
    <w:rsid w:val="00AA6A5B"/>
    <w:rsid w:val="00AA6F79"/>
    <w:rsid w:val="00AB02B2"/>
    <w:rsid w:val="00AB10D6"/>
    <w:rsid w:val="00AB115E"/>
    <w:rsid w:val="00AB18DA"/>
    <w:rsid w:val="00AB2BF6"/>
    <w:rsid w:val="00AB36AA"/>
    <w:rsid w:val="00AB3932"/>
    <w:rsid w:val="00AB48B5"/>
    <w:rsid w:val="00AB4FE7"/>
    <w:rsid w:val="00AB6425"/>
    <w:rsid w:val="00AB6AC5"/>
    <w:rsid w:val="00AB6CDA"/>
    <w:rsid w:val="00AB7566"/>
    <w:rsid w:val="00AB75F3"/>
    <w:rsid w:val="00AB7705"/>
    <w:rsid w:val="00AC0AE1"/>
    <w:rsid w:val="00AC4084"/>
    <w:rsid w:val="00AC4303"/>
    <w:rsid w:val="00AC471F"/>
    <w:rsid w:val="00AC4D0A"/>
    <w:rsid w:val="00AC58E6"/>
    <w:rsid w:val="00AC5FAC"/>
    <w:rsid w:val="00AC6D64"/>
    <w:rsid w:val="00AC6F80"/>
    <w:rsid w:val="00AC77C9"/>
    <w:rsid w:val="00AD0984"/>
    <w:rsid w:val="00AD0D9A"/>
    <w:rsid w:val="00AD0F67"/>
    <w:rsid w:val="00AD151C"/>
    <w:rsid w:val="00AD48EB"/>
    <w:rsid w:val="00AD54B0"/>
    <w:rsid w:val="00AD5836"/>
    <w:rsid w:val="00AD6452"/>
    <w:rsid w:val="00AD6A36"/>
    <w:rsid w:val="00AD7D09"/>
    <w:rsid w:val="00AD7D37"/>
    <w:rsid w:val="00AE17C1"/>
    <w:rsid w:val="00AE2EBD"/>
    <w:rsid w:val="00AE35DC"/>
    <w:rsid w:val="00AE449E"/>
    <w:rsid w:val="00AE5FFC"/>
    <w:rsid w:val="00AE6D70"/>
    <w:rsid w:val="00AF165B"/>
    <w:rsid w:val="00AF3381"/>
    <w:rsid w:val="00AF3D11"/>
    <w:rsid w:val="00AF50F2"/>
    <w:rsid w:val="00AF5C82"/>
    <w:rsid w:val="00AF6254"/>
    <w:rsid w:val="00B000F4"/>
    <w:rsid w:val="00B00929"/>
    <w:rsid w:val="00B066C7"/>
    <w:rsid w:val="00B068A5"/>
    <w:rsid w:val="00B0713A"/>
    <w:rsid w:val="00B073CF"/>
    <w:rsid w:val="00B07849"/>
    <w:rsid w:val="00B07917"/>
    <w:rsid w:val="00B10207"/>
    <w:rsid w:val="00B10460"/>
    <w:rsid w:val="00B10769"/>
    <w:rsid w:val="00B1102B"/>
    <w:rsid w:val="00B12A34"/>
    <w:rsid w:val="00B12D14"/>
    <w:rsid w:val="00B132F3"/>
    <w:rsid w:val="00B14176"/>
    <w:rsid w:val="00B15742"/>
    <w:rsid w:val="00B16145"/>
    <w:rsid w:val="00B16FD3"/>
    <w:rsid w:val="00B2093F"/>
    <w:rsid w:val="00B2096D"/>
    <w:rsid w:val="00B227A7"/>
    <w:rsid w:val="00B22D11"/>
    <w:rsid w:val="00B22EA0"/>
    <w:rsid w:val="00B234C4"/>
    <w:rsid w:val="00B24412"/>
    <w:rsid w:val="00B25B2E"/>
    <w:rsid w:val="00B27D29"/>
    <w:rsid w:val="00B3143F"/>
    <w:rsid w:val="00B31698"/>
    <w:rsid w:val="00B34494"/>
    <w:rsid w:val="00B3461E"/>
    <w:rsid w:val="00B34B88"/>
    <w:rsid w:val="00B36246"/>
    <w:rsid w:val="00B377BB"/>
    <w:rsid w:val="00B37B76"/>
    <w:rsid w:val="00B40665"/>
    <w:rsid w:val="00B4112B"/>
    <w:rsid w:val="00B425DF"/>
    <w:rsid w:val="00B42889"/>
    <w:rsid w:val="00B42E04"/>
    <w:rsid w:val="00B431DF"/>
    <w:rsid w:val="00B4439F"/>
    <w:rsid w:val="00B451C0"/>
    <w:rsid w:val="00B466D6"/>
    <w:rsid w:val="00B51138"/>
    <w:rsid w:val="00B5182F"/>
    <w:rsid w:val="00B52BE3"/>
    <w:rsid w:val="00B537AE"/>
    <w:rsid w:val="00B53BC4"/>
    <w:rsid w:val="00B55366"/>
    <w:rsid w:val="00B55CAF"/>
    <w:rsid w:val="00B55F1B"/>
    <w:rsid w:val="00B56A7E"/>
    <w:rsid w:val="00B56F11"/>
    <w:rsid w:val="00B60A63"/>
    <w:rsid w:val="00B60EA8"/>
    <w:rsid w:val="00B60F61"/>
    <w:rsid w:val="00B616C1"/>
    <w:rsid w:val="00B6294F"/>
    <w:rsid w:val="00B64040"/>
    <w:rsid w:val="00B640D9"/>
    <w:rsid w:val="00B64AD1"/>
    <w:rsid w:val="00B65CA1"/>
    <w:rsid w:val="00B65F00"/>
    <w:rsid w:val="00B666D8"/>
    <w:rsid w:val="00B6760C"/>
    <w:rsid w:val="00B67734"/>
    <w:rsid w:val="00B67DFC"/>
    <w:rsid w:val="00B70597"/>
    <w:rsid w:val="00B736F4"/>
    <w:rsid w:val="00B7376D"/>
    <w:rsid w:val="00B75A21"/>
    <w:rsid w:val="00B761A1"/>
    <w:rsid w:val="00B76B4C"/>
    <w:rsid w:val="00B77E65"/>
    <w:rsid w:val="00B814A3"/>
    <w:rsid w:val="00B829E5"/>
    <w:rsid w:val="00B82C96"/>
    <w:rsid w:val="00B8359C"/>
    <w:rsid w:val="00B84993"/>
    <w:rsid w:val="00B84A0F"/>
    <w:rsid w:val="00B84E03"/>
    <w:rsid w:val="00B85B5C"/>
    <w:rsid w:val="00B867DA"/>
    <w:rsid w:val="00B873B2"/>
    <w:rsid w:val="00B87CD5"/>
    <w:rsid w:val="00B87D9D"/>
    <w:rsid w:val="00B928DC"/>
    <w:rsid w:val="00B93164"/>
    <w:rsid w:val="00B93293"/>
    <w:rsid w:val="00B94463"/>
    <w:rsid w:val="00B94E79"/>
    <w:rsid w:val="00B94EDC"/>
    <w:rsid w:val="00B958F1"/>
    <w:rsid w:val="00B9643B"/>
    <w:rsid w:val="00BA0AC7"/>
    <w:rsid w:val="00BA0E63"/>
    <w:rsid w:val="00BA17D3"/>
    <w:rsid w:val="00BA1A7E"/>
    <w:rsid w:val="00BA4C49"/>
    <w:rsid w:val="00BA566A"/>
    <w:rsid w:val="00BA799D"/>
    <w:rsid w:val="00BB01D5"/>
    <w:rsid w:val="00BB2DD8"/>
    <w:rsid w:val="00BB2E35"/>
    <w:rsid w:val="00BB3517"/>
    <w:rsid w:val="00BB4323"/>
    <w:rsid w:val="00BB724E"/>
    <w:rsid w:val="00BC244A"/>
    <w:rsid w:val="00BC356F"/>
    <w:rsid w:val="00BC3C5C"/>
    <w:rsid w:val="00BC4679"/>
    <w:rsid w:val="00BC4B73"/>
    <w:rsid w:val="00BC501E"/>
    <w:rsid w:val="00BC603C"/>
    <w:rsid w:val="00BC6CA6"/>
    <w:rsid w:val="00BD0CF2"/>
    <w:rsid w:val="00BD1D69"/>
    <w:rsid w:val="00BD323E"/>
    <w:rsid w:val="00BD39A6"/>
    <w:rsid w:val="00BD553C"/>
    <w:rsid w:val="00BD5A05"/>
    <w:rsid w:val="00BD5E8D"/>
    <w:rsid w:val="00BD5EBC"/>
    <w:rsid w:val="00BD5FBF"/>
    <w:rsid w:val="00BD6B50"/>
    <w:rsid w:val="00BE17CB"/>
    <w:rsid w:val="00BE27AA"/>
    <w:rsid w:val="00BE2FAE"/>
    <w:rsid w:val="00BE3F17"/>
    <w:rsid w:val="00BE5296"/>
    <w:rsid w:val="00BE593A"/>
    <w:rsid w:val="00BE6DB4"/>
    <w:rsid w:val="00BE6FAB"/>
    <w:rsid w:val="00BE7217"/>
    <w:rsid w:val="00BE72B2"/>
    <w:rsid w:val="00BF043B"/>
    <w:rsid w:val="00BF2190"/>
    <w:rsid w:val="00BF2396"/>
    <w:rsid w:val="00BF4F11"/>
    <w:rsid w:val="00BF50DF"/>
    <w:rsid w:val="00BF5111"/>
    <w:rsid w:val="00BF587D"/>
    <w:rsid w:val="00BF5E9D"/>
    <w:rsid w:val="00BF6304"/>
    <w:rsid w:val="00BF740E"/>
    <w:rsid w:val="00C001BD"/>
    <w:rsid w:val="00C00722"/>
    <w:rsid w:val="00C00776"/>
    <w:rsid w:val="00C02218"/>
    <w:rsid w:val="00C022CB"/>
    <w:rsid w:val="00C023A8"/>
    <w:rsid w:val="00C05655"/>
    <w:rsid w:val="00C0579A"/>
    <w:rsid w:val="00C06DCF"/>
    <w:rsid w:val="00C06ECE"/>
    <w:rsid w:val="00C07902"/>
    <w:rsid w:val="00C10CB0"/>
    <w:rsid w:val="00C1121E"/>
    <w:rsid w:val="00C117B9"/>
    <w:rsid w:val="00C124D1"/>
    <w:rsid w:val="00C13690"/>
    <w:rsid w:val="00C13861"/>
    <w:rsid w:val="00C13F83"/>
    <w:rsid w:val="00C14164"/>
    <w:rsid w:val="00C142E6"/>
    <w:rsid w:val="00C15CCD"/>
    <w:rsid w:val="00C16CB0"/>
    <w:rsid w:val="00C200F0"/>
    <w:rsid w:val="00C21196"/>
    <w:rsid w:val="00C233A5"/>
    <w:rsid w:val="00C2340B"/>
    <w:rsid w:val="00C235C1"/>
    <w:rsid w:val="00C24FAC"/>
    <w:rsid w:val="00C2583F"/>
    <w:rsid w:val="00C25CFB"/>
    <w:rsid w:val="00C305D9"/>
    <w:rsid w:val="00C310FE"/>
    <w:rsid w:val="00C32517"/>
    <w:rsid w:val="00C3402B"/>
    <w:rsid w:val="00C341AA"/>
    <w:rsid w:val="00C3438A"/>
    <w:rsid w:val="00C34F35"/>
    <w:rsid w:val="00C355A7"/>
    <w:rsid w:val="00C36AC7"/>
    <w:rsid w:val="00C3770C"/>
    <w:rsid w:val="00C428A5"/>
    <w:rsid w:val="00C43253"/>
    <w:rsid w:val="00C443F1"/>
    <w:rsid w:val="00C458A7"/>
    <w:rsid w:val="00C45C62"/>
    <w:rsid w:val="00C47612"/>
    <w:rsid w:val="00C47698"/>
    <w:rsid w:val="00C50D2E"/>
    <w:rsid w:val="00C5115A"/>
    <w:rsid w:val="00C51AC6"/>
    <w:rsid w:val="00C52662"/>
    <w:rsid w:val="00C5266C"/>
    <w:rsid w:val="00C531DB"/>
    <w:rsid w:val="00C55018"/>
    <w:rsid w:val="00C550CC"/>
    <w:rsid w:val="00C5523E"/>
    <w:rsid w:val="00C567D6"/>
    <w:rsid w:val="00C57E80"/>
    <w:rsid w:val="00C61565"/>
    <w:rsid w:val="00C62FF0"/>
    <w:rsid w:val="00C63B73"/>
    <w:rsid w:val="00C63E66"/>
    <w:rsid w:val="00C64418"/>
    <w:rsid w:val="00C654C6"/>
    <w:rsid w:val="00C65D11"/>
    <w:rsid w:val="00C66E8A"/>
    <w:rsid w:val="00C67C8C"/>
    <w:rsid w:val="00C67DC6"/>
    <w:rsid w:val="00C70106"/>
    <w:rsid w:val="00C71EA8"/>
    <w:rsid w:val="00C72428"/>
    <w:rsid w:val="00C747D1"/>
    <w:rsid w:val="00C7668D"/>
    <w:rsid w:val="00C77097"/>
    <w:rsid w:val="00C77AF8"/>
    <w:rsid w:val="00C77C9F"/>
    <w:rsid w:val="00C80282"/>
    <w:rsid w:val="00C81863"/>
    <w:rsid w:val="00C83DB5"/>
    <w:rsid w:val="00C841D3"/>
    <w:rsid w:val="00C84DA2"/>
    <w:rsid w:val="00C857F5"/>
    <w:rsid w:val="00C85E7B"/>
    <w:rsid w:val="00C868C3"/>
    <w:rsid w:val="00C869C6"/>
    <w:rsid w:val="00C86C2C"/>
    <w:rsid w:val="00C87200"/>
    <w:rsid w:val="00C90FB9"/>
    <w:rsid w:val="00C91F81"/>
    <w:rsid w:val="00C938BD"/>
    <w:rsid w:val="00C93924"/>
    <w:rsid w:val="00C93AB6"/>
    <w:rsid w:val="00C93EA8"/>
    <w:rsid w:val="00C947F4"/>
    <w:rsid w:val="00C94B96"/>
    <w:rsid w:val="00C94E48"/>
    <w:rsid w:val="00C95508"/>
    <w:rsid w:val="00C95C8A"/>
    <w:rsid w:val="00C95F1D"/>
    <w:rsid w:val="00C96E2E"/>
    <w:rsid w:val="00C976A5"/>
    <w:rsid w:val="00CA2FB1"/>
    <w:rsid w:val="00CA33DF"/>
    <w:rsid w:val="00CA47E4"/>
    <w:rsid w:val="00CA5CCA"/>
    <w:rsid w:val="00CA5EC6"/>
    <w:rsid w:val="00CA6370"/>
    <w:rsid w:val="00CB1E26"/>
    <w:rsid w:val="00CB44F5"/>
    <w:rsid w:val="00CB514B"/>
    <w:rsid w:val="00CB51B7"/>
    <w:rsid w:val="00CB54A0"/>
    <w:rsid w:val="00CB565F"/>
    <w:rsid w:val="00CB5936"/>
    <w:rsid w:val="00CB5DC3"/>
    <w:rsid w:val="00CB67A0"/>
    <w:rsid w:val="00CB6AB2"/>
    <w:rsid w:val="00CC0FA7"/>
    <w:rsid w:val="00CC2197"/>
    <w:rsid w:val="00CC2C95"/>
    <w:rsid w:val="00CC3665"/>
    <w:rsid w:val="00CC4D7D"/>
    <w:rsid w:val="00CC4ED5"/>
    <w:rsid w:val="00CC57F7"/>
    <w:rsid w:val="00CC67A3"/>
    <w:rsid w:val="00CC7DDC"/>
    <w:rsid w:val="00CD0217"/>
    <w:rsid w:val="00CD032D"/>
    <w:rsid w:val="00CD0510"/>
    <w:rsid w:val="00CD08A7"/>
    <w:rsid w:val="00CD23AD"/>
    <w:rsid w:val="00CD24A0"/>
    <w:rsid w:val="00CD2B53"/>
    <w:rsid w:val="00CD3F53"/>
    <w:rsid w:val="00CD42FD"/>
    <w:rsid w:val="00CD4A19"/>
    <w:rsid w:val="00CD4D7B"/>
    <w:rsid w:val="00CD60CB"/>
    <w:rsid w:val="00CD744F"/>
    <w:rsid w:val="00CD789C"/>
    <w:rsid w:val="00CD7F8F"/>
    <w:rsid w:val="00CE049A"/>
    <w:rsid w:val="00CE0FA0"/>
    <w:rsid w:val="00CE1B2F"/>
    <w:rsid w:val="00CE24E0"/>
    <w:rsid w:val="00CE2576"/>
    <w:rsid w:val="00CE35AE"/>
    <w:rsid w:val="00CE40D3"/>
    <w:rsid w:val="00CE4680"/>
    <w:rsid w:val="00CE5171"/>
    <w:rsid w:val="00CE5A31"/>
    <w:rsid w:val="00CE6C72"/>
    <w:rsid w:val="00CE72EB"/>
    <w:rsid w:val="00CE755C"/>
    <w:rsid w:val="00CE7702"/>
    <w:rsid w:val="00CE7B99"/>
    <w:rsid w:val="00CF03A7"/>
    <w:rsid w:val="00CF11B8"/>
    <w:rsid w:val="00CF1364"/>
    <w:rsid w:val="00CF27D4"/>
    <w:rsid w:val="00CF49F5"/>
    <w:rsid w:val="00CF4A7A"/>
    <w:rsid w:val="00CF742A"/>
    <w:rsid w:val="00D00CB9"/>
    <w:rsid w:val="00D00D50"/>
    <w:rsid w:val="00D00FEC"/>
    <w:rsid w:val="00D01342"/>
    <w:rsid w:val="00D01579"/>
    <w:rsid w:val="00D02524"/>
    <w:rsid w:val="00D02B3B"/>
    <w:rsid w:val="00D04066"/>
    <w:rsid w:val="00D041B6"/>
    <w:rsid w:val="00D04E35"/>
    <w:rsid w:val="00D0562E"/>
    <w:rsid w:val="00D064AB"/>
    <w:rsid w:val="00D06620"/>
    <w:rsid w:val="00D0684F"/>
    <w:rsid w:val="00D07E99"/>
    <w:rsid w:val="00D1062D"/>
    <w:rsid w:val="00D110D7"/>
    <w:rsid w:val="00D11BBC"/>
    <w:rsid w:val="00D11E24"/>
    <w:rsid w:val="00D1380B"/>
    <w:rsid w:val="00D151F7"/>
    <w:rsid w:val="00D16C7C"/>
    <w:rsid w:val="00D1729E"/>
    <w:rsid w:val="00D17911"/>
    <w:rsid w:val="00D20244"/>
    <w:rsid w:val="00D20997"/>
    <w:rsid w:val="00D21C1B"/>
    <w:rsid w:val="00D220EA"/>
    <w:rsid w:val="00D22912"/>
    <w:rsid w:val="00D24272"/>
    <w:rsid w:val="00D26C08"/>
    <w:rsid w:val="00D27462"/>
    <w:rsid w:val="00D315F8"/>
    <w:rsid w:val="00D31886"/>
    <w:rsid w:val="00D3192B"/>
    <w:rsid w:val="00D33B7F"/>
    <w:rsid w:val="00D34566"/>
    <w:rsid w:val="00D3493E"/>
    <w:rsid w:val="00D36F59"/>
    <w:rsid w:val="00D37E4C"/>
    <w:rsid w:val="00D41170"/>
    <w:rsid w:val="00D418AC"/>
    <w:rsid w:val="00D41F5D"/>
    <w:rsid w:val="00D44173"/>
    <w:rsid w:val="00D449D9"/>
    <w:rsid w:val="00D476A1"/>
    <w:rsid w:val="00D514AB"/>
    <w:rsid w:val="00D51F05"/>
    <w:rsid w:val="00D52983"/>
    <w:rsid w:val="00D53460"/>
    <w:rsid w:val="00D53461"/>
    <w:rsid w:val="00D558CF"/>
    <w:rsid w:val="00D56F0C"/>
    <w:rsid w:val="00D574BA"/>
    <w:rsid w:val="00D57F30"/>
    <w:rsid w:val="00D6029E"/>
    <w:rsid w:val="00D6056F"/>
    <w:rsid w:val="00D60B59"/>
    <w:rsid w:val="00D62002"/>
    <w:rsid w:val="00D628C0"/>
    <w:rsid w:val="00D63D17"/>
    <w:rsid w:val="00D63E9B"/>
    <w:rsid w:val="00D63F94"/>
    <w:rsid w:val="00D6412E"/>
    <w:rsid w:val="00D64B15"/>
    <w:rsid w:val="00D65109"/>
    <w:rsid w:val="00D65956"/>
    <w:rsid w:val="00D66010"/>
    <w:rsid w:val="00D67B7E"/>
    <w:rsid w:val="00D7132E"/>
    <w:rsid w:val="00D71604"/>
    <w:rsid w:val="00D71ED6"/>
    <w:rsid w:val="00D72A45"/>
    <w:rsid w:val="00D7380E"/>
    <w:rsid w:val="00D73BC6"/>
    <w:rsid w:val="00D73CD2"/>
    <w:rsid w:val="00D7438F"/>
    <w:rsid w:val="00D74865"/>
    <w:rsid w:val="00D74FAF"/>
    <w:rsid w:val="00D75DD7"/>
    <w:rsid w:val="00D76E4C"/>
    <w:rsid w:val="00D777EC"/>
    <w:rsid w:val="00D81817"/>
    <w:rsid w:val="00D81D12"/>
    <w:rsid w:val="00D82205"/>
    <w:rsid w:val="00D826EC"/>
    <w:rsid w:val="00D84D49"/>
    <w:rsid w:val="00D86A93"/>
    <w:rsid w:val="00D877DF"/>
    <w:rsid w:val="00D90112"/>
    <w:rsid w:val="00D9066D"/>
    <w:rsid w:val="00D90BC5"/>
    <w:rsid w:val="00D9105D"/>
    <w:rsid w:val="00D92439"/>
    <w:rsid w:val="00D955D2"/>
    <w:rsid w:val="00D95749"/>
    <w:rsid w:val="00D96B64"/>
    <w:rsid w:val="00D97082"/>
    <w:rsid w:val="00D97161"/>
    <w:rsid w:val="00DA0490"/>
    <w:rsid w:val="00DA11D8"/>
    <w:rsid w:val="00DA162F"/>
    <w:rsid w:val="00DA199A"/>
    <w:rsid w:val="00DA1E3B"/>
    <w:rsid w:val="00DA3AFB"/>
    <w:rsid w:val="00DB124D"/>
    <w:rsid w:val="00DB1AA3"/>
    <w:rsid w:val="00DB1D09"/>
    <w:rsid w:val="00DB2254"/>
    <w:rsid w:val="00DB22E4"/>
    <w:rsid w:val="00DB2683"/>
    <w:rsid w:val="00DB493E"/>
    <w:rsid w:val="00DB61CE"/>
    <w:rsid w:val="00DB7226"/>
    <w:rsid w:val="00DB7E6C"/>
    <w:rsid w:val="00DB7FB7"/>
    <w:rsid w:val="00DC015C"/>
    <w:rsid w:val="00DC08AD"/>
    <w:rsid w:val="00DC1B03"/>
    <w:rsid w:val="00DC3F63"/>
    <w:rsid w:val="00DC4973"/>
    <w:rsid w:val="00DC50E5"/>
    <w:rsid w:val="00DC6434"/>
    <w:rsid w:val="00DC68E3"/>
    <w:rsid w:val="00DD0274"/>
    <w:rsid w:val="00DD0748"/>
    <w:rsid w:val="00DD1A99"/>
    <w:rsid w:val="00DD2155"/>
    <w:rsid w:val="00DD2DDE"/>
    <w:rsid w:val="00DD2FCD"/>
    <w:rsid w:val="00DD48B3"/>
    <w:rsid w:val="00DE153F"/>
    <w:rsid w:val="00DE31CB"/>
    <w:rsid w:val="00DE31CC"/>
    <w:rsid w:val="00DE388B"/>
    <w:rsid w:val="00DE3F65"/>
    <w:rsid w:val="00DE4696"/>
    <w:rsid w:val="00DE4CD8"/>
    <w:rsid w:val="00DE6915"/>
    <w:rsid w:val="00DE6AC1"/>
    <w:rsid w:val="00DE6FA0"/>
    <w:rsid w:val="00DE70AC"/>
    <w:rsid w:val="00DE7168"/>
    <w:rsid w:val="00DF042C"/>
    <w:rsid w:val="00DF0EFB"/>
    <w:rsid w:val="00DF121B"/>
    <w:rsid w:val="00DF1862"/>
    <w:rsid w:val="00DF1DA4"/>
    <w:rsid w:val="00DF20C0"/>
    <w:rsid w:val="00DF3592"/>
    <w:rsid w:val="00DF4615"/>
    <w:rsid w:val="00DF47DF"/>
    <w:rsid w:val="00DF4B64"/>
    <w:rsid w:val="00DF5B43"/>
    <w:rsid w:val="00DF5CF5"/>
    <w:rsid w:val="00DF60D2"/>
    <w:rsid w:val="00DF64BE"/>
    <w:rsid w:val="00DF727C"/>
    <w:rsid w:val="00DF7A43"/>
    <w:rsid w:val="00E0195B"/>
    <w:rsid w:val="00E01FAA"/>
    <w:rsid w:val="00E0229A"/>
    <w:rsid w:val="00E022C4"/>
    <w:rsid w:val="00E03FA0"/>
    <w:rsid w:val="00E04A6C"/>
    <w:rsid w:val="00E04E47"/>
    <w:rsid w:val="00E052F7"/>
    <w:rsid w:val="00E059D8"/>
    <w:rsid w:val="00E05AD0"/>
    <w:rsid w:val="00E0665F"/>
    <w:rsid w:val="00E07833"/>
    <w:rsid w:val="00E07948"/>
    <w:rsid w:val="00E107A1"/>
    <w:rsid w:val="00E12048"/>
    <w:rsid w:val="00E122D4"/>
    <w:rsid w:val="00E1278D"/>
    <w:rsid w:val="00E137D4"/>
    <w:rsid w:val="00E13AE1"/>
    <w:rsid w:val="00E1409E"/>
    <w:rsid w:val="00E14744"/>
    <w:rsid w:val="00E161F8"/>
    <w:rsid w:val="00E22018"/>
    <w:rsid w:val="00E22272"/>
    <w:rsid w:val="00E3153E"/>
    <w:rsid w:val="00E3341D"/>
    <w:rsid w:val="00E358BE"/>
    <w:rsid w:val="00E35955"/>
    <w:rsid w:val="00E3732F"/>
    <w:rsid w:val="00E376FB"/>
    <w:rsid w:val="00E3788C"/>
    <w:rsid w:val="00E40A2D"/>
    <w:rsid w:val="00E41D47"/>
    <w:rsid w:val="00E4301D"/>
    <w:rsid w:val="00E444C1"/>
    <w:rsid w:val="00E45E3E"/>
    <w:rsid w:val="00E46CC3"/>
    <w:rsid w:val="00E473D3"/>
    <w:rsid w:val="00E501C5"/>
    <w:rsid w:val="00E5112C"/>
    <w:rsid w:val="00E51588"/>
    <w:rsid w:val="00E536FE"/>
    <w:rsid w:val="00E5683C"/>
    <w:rsid w:val="00E57176"/>
    <w:rsid w:val="00E57970"/>
    <w:rsid w:val="00E57BA0"/>
    <w:rsid w:val="00E57CF1"/>
    <w:rsid w:val="00E600C0"/>
    <w:rsid w:val="00E60C06"/>
    <w:rsid w:val="00E61A47"/>
    <w:rsid w:val="00E61DCD"/>
    <w:rsid w:val="00E62A8C"/>
    <w:rsid w:val="00E633FF"/>
    <w:rsid w:val="00E6440F"/>
    <w:rsid w:val="00E6503D"/>
    <w:rsid w:val="00E65264"/>
    <w:rsid w:val="00E65F9A"/>
    <w:rsid w:val="00E6696D"/>
    <w:rsid w:val="00E66C20"/>
    <w:rsid w:val="00E675B7"/>
    <w:rsid w:val="00E67FA4"/>
    <w:rsid w:val="00E701EA"/>
    <w:rsid w:val="00E703E9"/>
    <w:rsid w:val="00E71A20"/>
    <w:rsid w:val="00E72517"/>
    <w:rsid w:val="00E7381E"/>
    <w:rsid w:val="00E73B07"/>
    <w:rsid w:val="00E73E47"/>
    <w:rsid w:val="00E74B88"/>
    <w:rsid w:val="00E751F3"/>
    <w:rsid w:val="00E75F6B"/>
    <w:rsid w:val="00E76447"/>
    <w:rsid w:val="00E776EB"/>
    <w:rsid w:val="00E77E2B"/>
    <w:rsid w:val="00E80550"/>
    <w:rsid w:val="00E80931"/>
    <w:rsid w:val="00E83030"/>
    <w:rsid w:val="00E83ED4"/>
    <w:rsid w:val="00E84284"/>
    <w:rsid w:val="00E847F5"/>
    <w:rsid w:val="00E869FD"/>
    <w:rsid w:val="00E90AAE"/>
    <w:rsid w:val="00E91ADB"/>
    <w:rsid w:val="00E922C8"/>
    <w:rsid w:val="00E932EA"/>
    <w:rsid w:val="00E97DCF"/>
    <w:rsid w:val="00EA02E9"/>
    <w:rsid w:val="00EA2154"/>
    <w:rsid w:val="00EA2377"/>
    <w:rsid w:val="00EA2576"/>
    <w:rsid w:val="00EA3548"/>
    <w:rsid w:val="00EA3F4E"/>
    <w:rsid w:val="00EA3FC7"/>
    <w:rsid w:val="00EA4D70"/>
    <w:rsid w:val="00EA51F6"/>
    <w:rsid w:val="00EA6A5C"/>
    <w:rsid w:val="00EA6C02"/>
    <w:rsid w:val="00EA6FE6"/>
    <w:rsid w:val="00EA754F"/>
    <w:rsid w:val="00EB027A"/>
    <w:rsid w:val="00EB0566"/>
    <w:rsid w:val="00EB2772"/>
    <w:rsid w:val="00EB41DE"/>
    <w:rsid w:val="00EB43B3"/>
    <w:rsid w:val="00EB4ABA"/>
    <w:rsid w:val="00EB4F1B"/>
    <w:rsid w:val="00EB70BC"/>
    <w:rsid w:val="00EB728D"/>
    <w:rsid w:val="00EB7896"/>
    <w:rsid w:val="00EC488F"/>
    <w:rsid w:val="00EC4DF2"/>
    <w:rsid w:val="00EC58B3"/>
    <w:rsid w:val="00EC6508"/>
    <w:rsid w:val="00EC7522"/>
    <w:rsid w:val="00EC7D84"/>
    <w:rsid w:val="00ED0578"/>
    <w:rsid w:val="00ED0AE4"/>
    <w:rsid w:val="00ED177E"/>
    <w:rsid w:val="00ED2754"/>
    <w:rsid w:val="00ED2A19"/>
    <w:rsid w:val="00ED2B00"/>
    <w:rsid w:val="00ED2C77"/>
    <w:rsid w:val="00ED4E4C"/>
    <w:rsid w:val="00ED650F"/>
    <w:rsid w:val="00ED6D57"/>
    <w:rsid w:val="00ED6E19"/>
    <w:rsid w:val="00ED7485"/>
    <w:rsid w:val="00ED7BCC"/>
    <w:rsid w:val="00EE0B7F"/>
    <w:rsid w:val="00EE0F00"/>
    <w:rsid w:val="00EE192D"/>
    <w:rsid w:val="00EE1EF9"/>
    <w:rsid w:val="00EE1EFB"/>
    <w:rsid w:val="00EE2681"/>
    <w:rsid w:val="00EE55A7"/>
    <w:rsid w:val="00EE610D"/>
    <w:rsid w:val="00EE6E52"/>
    <w:rsid w:val="00EE7ACB"/>
    <w:rsid w:val="00EF0DB1"/>
    <w:rsid w:val="00EF4587"/>
    <w:rsid w:val="00EF558E"/>
    <w:rsid w:val="00EF5D35"/>
    <w:rsid w:val="00EF5E56"/>
    <w:rsid w:val="00EF61E4"/>
    <w:rsid w:val="00EF74CC"/>
    <w:rsid w:val="00EF7B25"/>
    <w:rsid w:val="00F00717"/>
    <w:rsid w:val="00F00D10"/>
    <w:rsid w:val="00F011D3"/>
    <w:rsid w:val="00F012E5"/>
    <w:rsid w:val="00F023CE"/>
    <w:rsid w:val="00F02E49"/>
    <w:rsid w:val="00F038E5"/>
    <w:rsid w:val="00F048D0"/>
    <w:rsid w:val="00F05DAF"/>
    <w:rsid w:val="00F05F6A"/>
    <w:rsid w:val="00F06C68"/>
    <w:rsid w:val="00F076EE"/>
    <w:rsid w:val="00F124E3"/>
    <w:rsid w:val="00F13A0E"/>
    <w:rsid w:val="00F145EE"/>
    <w:rsid w:val="00F15766"/>
    <w:rsid w:val="00F16B89"/>
    <w:rsid w:val="00F20537"/>
    <w:rsid w:val="00F2064C"/>
    <w:rsid w:val="00F20667"/>
    <w:rsid w:val="00F20795"/>
    <w:rsid w:val="00F20CE9"/>
    <w:rsid w:val="00F21A05"/>
    <w:rsid w:val="00F22594"/>
    <w:rsid w:val="00F22982"/>
    <w:rsid w:val="00F238EA"/>
    <w:rsid w:val="00F23CC4"/>
    <w:rsid w:val="00F250D2"/>
    <w:rsid w:val="00F258BD"/>
    <w:rsid w:val="00F265C6"/>
    <w:rsid w:val="00F2786A"/>
    <w:rsid w:val="00F2793D"/>
    <w:rsid w:val="00F27E0E"/>
    <w:rsid w:val="00F30123"/>
    <w:rsid w:val="00F31993"/>
    <w:rsid w:val="00F31F3C"/>
    <w:rsid w:val="00F3376E"/>
    <w:rsid w:val="00F33842"/>
    <w:rsid w:val="00F33BF6"/>
    <w:rsid w:val="00F33F47"/>
    <w:rsid w:val="00F345F7"/>
    <w:rsid w:val="00F35389"/>
    <w:rsid w:val="00F358CC"/>
    <w:rsid w:val="00F374A7"/>
    <w:rsid w:val="00F40BAC"/>
    <w:rsid w:val="00F41B16"/>
    <w:rsid w:val="00F445F1"/>
    <w:rsid w:val="00F446BE"/>
    <w:rsid w:val="00F44ADD"/>
    <w:rsid w:val="00F44E0E"/>
    <w:rsid w:val="00F45B35"/>
    <w:rsid w:val="00F45C81"/>
    <w:rsid w:val="00F46230"/>
    <w:rsid w:val="00F46EB2"/>
    <w:rsid w:val="00F54665"/>
    <w:rsid w:val="00F54C28"/>
    <w:rsid w:val="00F5513F"/>
    <w:rsid w:val="00F55F8D"/>
    <w:rsid w:val="00F56055"/>
    <w:rsid w:val="00F56343"/>
    <w:rsid w:val="00F56A9E"/>
    <w:rsid w:val="00F6134C"/>
    <w:rsid w:val="00F61793"/>
    <w:rsid w:val="00F620F5"/>
    <w:rsid w:val="00F626B4"/>
    <w:rsid w:val="00F63861"/>
    <w:rsid w:val="00F64103"/>
    <w:rsid w:val="00F65BEB"/>
    <w:rsid w:val="00F66AFA"/>
    <w:rsid w:val="00F66E83"/>
    <w:rsid w:val="00F67470"/>
    <w:rsid w:val="00F67CFD"/>
    <w:rsid w:val="00F70B8F"/>
    <w:rsid w:val="00F71307"/>
    <w:rsid w:val="00F723B0"/>
    <w:rsid w:val="00F750EB"/>
    <w:rsid w:val="00F77611"/>
    <w:rsid w:val="00F80141"/>
    <w:rsid w:val="00F80A2A"/>
    <w:rsid w:val="00F8120D"/>
    <w:rsid w:val="00F816BF"/>
    <w:rsid w:val="00F81AC5"/>
    <w:rsid w:val="00F81C7F"/>
    <w:rsid w:val="00F820A4"/>
    <w:rsid w:val="00F84114"/>
    <w:rsid w:val="00F8573D"/>
    <w:rsid w:val="00F85B20"/>
    <w:rsid w:val="00F86463"/>
    <w:rsid w:val="00F86A57"/>
    <w:rsid w:val="00F87152"/>
    <w:rsid w:val="00F87554"/>
    <w:rsid w:val="00F904F0"/>
    <w:rsid w:val="00F9054E"/>
    <w:rsid w:val="00F910B1"/>
    <w:rsid w:val="00F91144"/>
    <w:rsid w:val="00F929A0"/>
    <w:rsid w:val="00F92BB8"/>
    <w:rsid w:val="00F9566B"/>
    <w:rsid w:val="00FA0F71"/>
    <w:rsid w:val="00FA1871"/>
    <w:rsid w:val="00FA1A2D"/>
    <w:rsid w:val="00FA1DCF"/>
    <w:rsid w:val="00FA1EF4"/>
    <w:rsid w:val="00FA3FF0"/>
    <w:rsid w:val="00FA4B86"/>
    <w:rsid w:val="00FA5918"/>
    <w:rsid w:val="00FA70CA"/>
    <w:rsid w:val="00FB01A8"/>
    <w:rsid w:val="00FB052E"/>
    <w:rsid w:val="00FB094A"/>
    <w:rsid w:val="00FB1FC2"/>
    <w:rsid w:val="00FB26E7"/>
    <w:rsid w:val="00FB300F"/>
    <w:rsid w:val="00FB4B49"/>
    <w:rsid w:val="00FB4C2D"/>
    <w:rsid w:val="00FB5F9A"/>
    <w:rsid w:val="00FB64C6"/>
    <w:rsid w:val="00FB7AA3"/>
    <w:rsid w:val="00FC1BE8"/>
    <w:rsid w:val="00FC3AA9"/>
    <w:rsid w:val="00FC4718"/>
    <w:rsid w:val="00FC6937"/>
    <w:rsid w:val="00FC7036"/>
    <w:rsid w:val="00FC73D6"/>
    <w:rsid w:val="00FC7569"/>
    <w:rsid w:val="00FD0470"/>
    <w:rsid w:val="00FD2253"/>
    <w:rsid w:val="00FD641D"/>
    <w:rsid w:val="00FD6E2C"/>
    <w:rsid w:val="00FD6EDB"/>
    <w:rsid w:val="00FD7E0E"/>
    <w:rsid w:val="00FD7EC9"/>
    <w:rsid w:val="00FE2C9F"/>
    <w:rsid w:val="00FE2D9B"/>
    <w:rsid w:val="00FE3350"/>
    <w:rsid w:val="00FE4D6E"/>
    <w:rsid w:val="00FE5C87"/>
    <w:rsid w:val="00FE6FF2"/>
    <w:rsid w:val="00FE7C99"/>
    <w:rsid w:val="00FF04FB"/>
    <w:rsid w:val="00FF123F"/>
    <w:rsid w:val="00FF16D6"/>
    <w:rsid w:val="00FF1954"/>
    <w:rsid w:val="00FF1B76"/>
    <w:rsid w:val="00FF280B"/>
    <w:rsid w:val="00FF2C93"/>
    <w:rsid w:val="00FF66CC"/>
    <w:rsid w:val="00FF6AFD"/>
    <w:rsid w:val="01380696"/>
    <w:rsid w:val="01E6ECD3"/>
    <w:rsid w:val="01E97698"/>
    <w:rsid w:val="01FBB067"/>
    <w:rsid w:val="02C63F01"/>
    <w:rsid w:val="034C3B2C"/>
    <w:rsid w:val="035CA060"/>
    <w:rsid w:val="03C3EA19"/>
    <w:rsid w:val="03CA512C"/>
    <w:rsid w:val="040AA92A"/>
    <w:rsid w:val="0441B6C3"/>
    <w:rsid w:val="045BDFA8"/>
    <w:rsid w:val="0460AF1A"/>
    <w:rsid w:val="04AA41ED"/>
    <w:rsid w:val="0573462B"/>
    <w:rsid w:val="05AD15C3"/>
    <w:rsid w:val="05D52998"/>
    <w:rsid w:val="0742E0D9"/>
    <w:rsid w:val="07E7137D"/>
    <w:rsid w:val="082D9A28"/>
    <w:rsid w:val="08BBABEB"/>
    <w:rsid w:val="08CE30B6"/>
    <w:rsid w:val="08CEAC63"/>
    <w:rsid w:val="08D5B16E"/>
    <w:rsid w:val="094DFB13"/>
    <w:rsid w:val="09807C65"/>
    <w:rsid w:val="0A048BD6"/>
    <w:rsid w:val="0A69FD5A"/>
    <w:rsid w:val="0B789705"/>
    <w:rsid w:val="0B8480F8"/>
    <w:rsid w:val="0BDFDEAB"/>
    <w:rsid w:val="0C96B112"/>
    <w:rsid w:val="0D1C2AF5"/>
    <w:rsid w:val="0D7AA1FC"/>
    <w:rsid w:val="0DE084D8"/>
    <w:rsid w:val="0ECB6658"/>
    <w:rsid w:val="0EEEC00F"/>
    <w:rsid w:val="0F94683E"/>
    <w:rsid w:val="0FB252E1"/>
    <w:rsid w:val="0FF0103C"/>
    <w:rsid w:val="1011DDBB"/>
    <w:rsid w:val="10194F27"/>
    <w:rsid w:val="104D332B"/>
    <w:rsid w:val="108560C4"/>
    <w:rsid w:val="109280DF"/>
    <w:rsid w:val="11D95DA8"/>
    <w:rsid w:val="11DF4596"/>
    <w:rsid w:val="120CB693"/>
    <w:rsid w:val="12152B37"/>
    <w:rsid w:val="130724AE"/>
    <w:rsid w:val="135C5D65"/>
    <w:rsid w:val="139BF32B"/>
    <w:rsid w:val="13A2E216"/>
    <w:rsid w:val="13B4D112"/>
    <w:rsid w:val="13D0E30F"/>
    <w:rsid w:val="13E8DEF6"/>
    <w:rsid w:val="144465B3"/>
    <w:rsid w:val="14984FC3"/>
    <w:rsid w:val="14C3144E"/>
    <w:rsid w:val="15059780"/>
    <w:rsid w:val="1538DE41"/>
    <w:rsid w:val="15EC1BB3"/>
    <w:rsid w:val="16028D87"/>
    <w:rsid w:val="16A57A7E"/>
    <w:rsid w:val="171D919B"/>
    <w:rsid w:val="172191AE"/>
    <w:rsid w:val="175ADE78"/>
    <w:rsid w:val="1763CB8C"/>
    <w:rsid w:val="181B5540"/>
    <w:rsid w:val="18DD0015"/>
    <w:rsid w:val="192CF2E3"/>
    <w:rsid w:val="1A66CC57"/>
    <w:rsid w:val="1AB57A6D"/>
    <w:rsid w:val="1B1403D9"/>
    <w:rsid w:val="1B2B3FF2"/>
    <w:rsid w:val="1BA38AD6"/>
    <w:rsid w:val="1C31E855"/>
    <w:rsid w:val="1C32CBB8"/>
    <w:rsid w:val="1C8D5480"/>
    <w:rsid w:val="1D34131B"/>
    <w:rsid w:val="1DFBE243"/>
    <w:rsid w:val="1E109A62"/>
    <w:rsid w:val="1E40FE65"/>
    <w:rsid w:val="1EB3CBBD"/>
    <w:rsid w:val="1F959832"/>
    <w:rsid w:val="1F99B4D9"/>
    <w:rsid w:val="200D0C01"/>
    <w:rsid w:val="201C3A73"/>
    <w:rsid w:val="2041B59E"/>
    <w:rsid w:val="20BA4EFF"/>
    <w:rsid w:val="20E22038"/>
    <w:rsid w:val="21099486"/>
    <w:rsid w:val="2136C94E"/>
    <w:rsid w:val="213C323A"/>
    <w:rsid w:val="2147BBF3"/>
    <w:rsid w:val="220EAA74"/>
    <w:rsid w:val="23539566"/>
    <w:rsid w:val="237B807D"/>
    <w:rsid w:val="238AF856"/>
    <w:rsid w:val="23E40BFC"/>
    <w:rsid w:val="243272C1"/>
    <w:rsid w:val="24F3988A"/>
    <w:rsid w:val="252BCE9F"/>
    <w:rsid w:val="2650D657"/>
    <w:rsid w:val="269C8E71"/>
    <w:rsid w:val="26DF1542"/>
    <w:rsid w:val="270858B5"/>
    <w:rsid w:val="273E82AE"/>
    <w:rsid w:val="278F52EC"/>
    <w:rsid w:val="28BB6931"/>
    <w:rsid w:val="29946871"/>
    <w:rsid w:val="29C9096B"/>
    <w:rsid w:val="29DFD2EE"/>
    <w:rsid w:val="2A833F8F"/>
    <w:rsid w:val="2AD92E15"/>
    <w:rsid w:val="2B211DC5"/>
    <w:rsid w:val="2BC9E9E8"/>
    <w:rsid w:val="2BD32C30"/>
    <w:rsid w:val="2C072657"/>
    <w:rsid w:val="2C2D92D2"/>
    <w:rsid w:val="2C2F8DB3"/>
    <w:rsid w:val="2C8D2702"/>
    <w:rsid w:val="2C9B1C18"/>
    <w:rsid w:val="2CD003FF"/>
    <w:rsid w:val="2CEE58F8"/>
    <w:rsid w:val="2D1099B7"/>
    <w:rsid w:val="2D720504"/>
    <w:rsid w:val="2DEA0967"/>
    <w:rsid w:val="2E2010F9"/>
    <w:rsid w:val="2E7B4F2B"/>
    <w:rsid w:val="2EB21FBD"/>
    <w:rsid w:val="2F3EF13C"/>
    <w:rsid w:val="2F3F5EAD"/>
    <w:rsid w:val="3003AA40"/>
    <w:rsid w:val="30605148"/>
    <w:rsid w:val="30E54FE5"/>
    <w:rsid w:val="3159B48F"/>
    <w:rsid w:val="32840C20"/>
    <w:rsid w:val="329E753B"/>
    <w:rsid w:val="330F271C"/>
    <w:rsid w:val="331E9C05"/>
    <w:rsid w:val="332E030E"/>
    <w:rsid w:val="335BA258"/>
    <w:rsid w:val="3365E6ED"/>
    <w:rsid w:val="3454F71B"/>
    <w:rsid w:val="3582C5BB"/>
    <w:rsid w:val="36070E6A"/>
    <w:rsid w:val="363BEC5C"/>
    <w:rsid w:val="36A77F6F"/>
    <w:rsid w:val="36E88782"/>
    <w:rsid w:val="370650F0"/>
    <w:rsid w:val="37C1D38A"/>
    <w:rsid w:val="38616E78"/>
    <w:rsid w:val="38A31B64"/>
    <w:rsid w:val="38A4D966"/>
    <w:rsid w:val="38B5F192"/>
    <w:rsid w:val="38BB57C7"/>
    <w:rsid w:val="3932AA59"/>
    <w:rsid w:val="39504B34"/>
    <w:rsid w:val="398FEB34"/>
    <w:rsid w:val="39A7A967"/>
    <w:rsid w:val="39B783C4"/>
    <w:rsid w:val="39C230C1"/>
    <w:rsid w:val="39CE6345"/>
    <w:rsid w:val="3A50C73B"/>
    <w:rsid w:val="3A5CDE9C"/>
    <w:rsid w:val="3ABBFFCB"/>
    <w:rsid w:val="3B7A3446"/>
    <w:rsid w:val="3B84655D"/>
    <w:rsid w:val="3B8D39B6"/>
    <w:rsid w:val="3B97F201"/>
    <w:rsid w:val="3BE8F790"/>
    <w:rsid w:val="3BFD57F8"/>
    <w:rsid w:val="3C459E12"/>
    <w:rsid w:val="3C771202"/>
    <w:rsid w:val="3CA6D009"/>
    <w:rsid w:val="3CCD4C96"/>
    <w:rsid w:val="3CE7FE72"/>
    <w:rsid w:val="3CF94DA3"/>
    <w:rsid w:val="3CF95ADD"/>
    <w:rsid w:val="3D004F3A"/>
    <w:rsid w:val="3D71D9CD"/>
    <w:rsid w:val="3D8DDBCC"/>
    <w:rsid w:val="3E30803F"/>
    <w:rsid w:val="3E54DD58"/>
    <w:rsid w:val="3E77795B"/>
    <w:rsid w:val="3E8358CF"/>
    <w:rsid w:val="3EE06D5A"/>
    <w:rsid w:val="3EE598AC"/>
    <w:rsid w:val="3F11EF71"/>
    <w:rsid w:val="3F244AC3"/>
    <w:rsid w:val="40673D1B"/>
    <w:rsid w:val="406DD646"/>
    <w:rsid w:val="40B1EE62"/>
    <w:rsid w:val="411D79CC"/>
    <w:rsid w:val="415472BA"/>
    <w:rsid w:val="41C7071A"/>
    <w:rsid w:val="421D80AD"/>
    <w:rsid w:val="42BE1F1A"/>
    <w:rsid w:val="4339BCD4"/>
    <w:rsid w:val="437DEAF4"/>
    <w:rsid w:val="44174F4B"/>
    <w:rsid w:val="444AB648"/>
    <w:rsid w:val="447FF0F5"/>
    <w:rsid w:val="450EE9C2"/>
    <w:rsid w:val="459BECFE"/>
    <w:rsid w:val="45B075DD"/>
    <w:rsid w:val="46044937"/>
    <w:rsid w:val="4615791F"/>
    <w:rsid w:val="461CB76F"/>
    <w:rsid w:val="46471983"/>
    <w:rsid w:val="464B8A14"/>
    <w:rsid w:val="4652C442"/>
    <w:rsid w:val="470E86B6"/>
    <w:rsid w:val="4745BB04"/>
    <w:rsid w:val="4803654B"/>
    <w:rsid w:val="48D396D3"/>
    <w:rsid w:val="48EDAD67"/>
    <w:rsid w:val="49087BFE"/>
    <w:rsid w:val="49356444"/>
    <w:rsid w:val="493D1C6D"/>
    <w:rsid w:val="49BB298E"/>
    <w:rsid w:val="4A4198FE"/>
    <w:rsid w:val="4A4A95CA"/>
    <w:rsid w:val="4A56F362"/>
    <w:rsid w:val="4B032DC9"/>
    <w:rsid w:val="4B1A0E4C"/>
    <w:rsid w:val="4B1EA830"/>
    <w:rsid w:val="4B596839"/>
    <w:rsid w:val="4B6C1149"/>
    <w:rsid w:val="4C5C2E70"/>
    <w:rsid w:val="4CA9D400"/>
    <w:rsid w:val="4D5F9C48"/>
    <w:rsid w:val="4D8A2AE0"/>
    <w:rsid w:val="4DD70DDC"/>
    <w:rsid w:val="4DD7AE3C"/>
    <w:rsid w:val="4DEF636F"/>
    <w:rsid w:val="4FA855E9"/>
    <w:rsid w:val="4FFCF152"/>
    <w:rsid w:val="5070F4C9"/>
    <w:rsid w:val="51AA3D98"/>
    <w:rsid w:val="52577C0F"/>
    <w:rsid w:val="525ADF78"/>
    <w:rsid w:val="525B9010"/>
    <w:rsid w:val="5273F9E7"/>
    <w:rsid w:val="52D74309"/>
    <w:rsid w:val="52DCD25D"/>
    <w:rsid w:val="52F1C142"/>
    <w:rsid w:val="53AC4EE1"/>
    <w:rsid w:val="53C76B44"/>
    <w:rsid w:val="53D00525"/>
    <w:rsid w:val="540781B3"/>
    <w:rsid w:val="549E1405"/>
    <w:rsid w:val="54DBD1A0"/>
    <w:rsid w:val="555E3831"/>
    <w:rsid w:val="5563A692"/>
    <w:rsid w:val="557806A7"/>
    <w:rsid w:val="55D376CD"/>
    <w:rsid w:val="56704430"/>
    <w:rsid w:val="568DC97F"/>
    <w:rsid w:val="5692E259"/>
    <w:rsid w:val="56ABBFFC"/>
    <w:rsid w:val="56AD7BDC"/>
    <w:rsid w:val="56DD0E52"/>
    <w:rsid w:val="57BEB787"/>
    <w:rsid w:val="57CC2DDC"/>
    <w:rsid w:val="57E6632B"/>
    <w:rsid w:val="5830A5E6"/>
    <w:rsid w:val="5899645E"/>
    <w:rsid w:val="590E035B"/>
    <w:rsid w:val="59288152"/>
    <w:rsid w:val="59288316"/>
    <w:rsid w:val="5968382E"/>
    <w:rsid w:val="596BBBD0"/>
    <w:rsid w:val="5A004199"/>
    <w:rsid w:val="5AA7BC5D"/>
    <w:rsid w:val="5ABAE721"/>
    <w:rsid w:val="5ADBAF0E"/>
    <w:rsid w:val="5B4019C2"/>
    <w:rsid w:val="5B448640"/>
    <w:rsid w:val="5B8F01E1"/>
    <w:rsid w:val="5D38EF6D"/>
    <w:rsid w:val="5DA926EB"/>
    <w:rsid w:val="5DB5A1D4"/>
    <w:rsid w:val="5DC2D36A"/>
    <w:rsid w:val="5DD34AA0"/>
    <w:rsid w:val="5E5990C7"/>
    <w:rsid w:val="5EDA806A"/>
    <w:rsid w:val="5F031459"/>
    <w:rsid w:val="5F264750"/>
    <w:rsid w:val="5F4E622A"/>
    <w:rsid w:val="5F7BF1BF"/>
    <w:rsid w:val="5FB62494"/>
    <w:rsid w:val="5FB92EAA"/>
    <w:rsid w:val="6038E335"/>
    <w:rsid w:val="6065C2FE"/>
    <w:rsid w:val="608AAFAD"/>
    <w:rsid w:val="60DC674D"/>
    <w:rsid w:val="60F32842"/>
    <w:rsid w:val="614EEF04"/>
    <w:rsid w:val="615ED150"/>
    <w:rsid w:val="61DD13B1"/>
    <w:rsid w:val="623B9B2A"/>
    <w:rsid w:val="628C38B3"/>
    <w:rsid w:val="62CF4DD4"/>
    <w:rsid w:val="63CDF475"/>
    <w:rsid w:val="642F5261"/>
    <w:rsid w:val="644EED3C"/>
    <w:rsid w:val="65472EE6"/>
    <w:rsid w:val="655A78E1"/>
    <w:rsid w:val="678262E2"/>
    <w:rsid w:val="682AEB79"/>
    <w:rsid w:val="68706386"/>
    <w:rsid w:val="6885A83C"/>
    <w:rsid w:val="69063133"/>
    <w:rsid w:val="69816317"/>
    <w:rsid w:val="6A617CC5"/>
    <w:rsid w:val="6AED53EB"/>
    <w:rsid w:val="6AF5AFB5"/>
    <w:rsid w:val="6AFAF1AA"/>
    <w:rsid w:val="6B1B4A9B"/>
    <w:rsid w:val="6B69FE55"/>
    <w:rsid w:val="6B83F0A8"/>
    <w:rsid w:val="6C02CA67"/>
    <w:rsid w:val="6C7373B9"/>
    <w:rsid w:val="6C8FDFD2"/>
    <w:rsid w:val="6D18DD9E"/>
    <w:rsid w:val="6D45A356"/>
    <w:rsid w:val="6E127A27"/>
    <w:rsid w:val="6E3C56F6"/>
    <w:rsid w:val="6EAE0515"/>
    <w:rsid w:val="6EE37EE3"/>
    <w:rsid w:val="6FB4402A"/>
    <w:rsid w:val="6FF7B7C2"/>
    <w:rsid w:val="700B1B69"/>
    <w:rsid w:val="700E09AE"/>
    <w:rsid w:val="70606599"/>
    <w:rsid w:val="7086DFA9"/>
    <w:rsid w:val="7099CA23"/>
    <w:rsid w:val="70AB9F53"/>
    <w:rsid w:val="70B4A078"/>
    <w:rsid w:val="715BCBC4"/>
    <w:rsid w:val="715CDADE"/>
    <w:rsid w:val="71D793A5"/>
    <w:rsid w:val="72D91940"/>
    <w:rsid w:val="72DF4A1B"/>
    <w:rsid w:val="73081417"/>
    <w:rsid w:val="7399E5DF"/>
    <w:rsid w:val="73BB4977"/>
    <w:rsid w:val="73CCEC38"/>
    <w:rsid w:val="741990BA"/>
    <w:rsid w:val="7486A44B"/>
    <w:rsid w:val="74CD1877"/>
    <w:rsid w:val="75B139AE"/>
    <w:rsid w:val="75E4F196"/>
    <w:rsid w:val="766F7426"/>
    <w:rsid w:val="780E3745"/>
    <w:rsid w:val="78456D5D"/>
    <w:rsid w:val="78B37FC7"/>
    <w:rsid w:val="78EBBFBB"/>
    <w:rsid w:val="792B2455"/>
    <w:rsid w:val="79EDC28D"/>
    <w:rsid w:val="7A753582"/>
    <w:rsid w:val="7A837466"/>
    <w:rsid w:val="7AE5F938"/>
    <w:rsid w:val="7AF23041"/>
    <w:rsid w:val="7B0B6EA7"/>
    <w:rsid w:val="7B152941"/>
    <w:rsid w:val="7B38AC4B"/>
    <w:rsid w:val="7BE36977"/>
    <w:rsid w:val="7C5DB071"/>
    <w:rsid w:val="7C6BBB5B"/>
    <w:rsid w:val="7CF06161"/>
    <w:rsid w:val="7D39E2BA"/>
    <w:rsid w:val="7D3B442A"/>
    <w:rsid w:val="7D474B98"/>
    <w:rsid w:val="7DBA8490"/>
    <w:rsid w:val="7DBBF49D"/>
    <w:rsid w:val="7E8E7B90"/>
    <w:rsid w:val="7EAC7E54"/>
    <w:rsid w:val="7EB598E9"/>
    <w:rsid w:val="7EC36888"/>
    <w:rsid w:val="7EE41F09"/>
    <w:rsid w:val="7EFCA7B8"/>
    <w:rsid w:val="7F2C0D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7967"/>
  <w15:docId w15:val="{91F655CD-8C32-48DC-8337-82790BD0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D6"/>
    <w:pPr>
      <w:spacing w:after="61" w:line="257" w:lineRule="auto"/>
      <w:ind w:left="370" w:hanging="368"/>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2E74B5"/>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color w:val="2E74B5"/>
    </w:rPr>
  </w:style>
  <w:style w:type="paragraph" w:styleId="Heading9">
    <w:name w:val="heading 9"/>
    <w:basedOn w:val="Normal"/>
    <w:next w:val="Normal"/>
    <w:link w:val="Heading9Char"/>
    <w:uiPriority w:val="9"/>
    <w:unhideWhenUsed/>
    <w:qFormat/>
    <w:rsid w:val="00C802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E74B5"/>
      <w:sz w:val="24"/>
    </w:rPr>
  </w:style>
  <w:style w:type="character" w:customStyle="1" w:styleId="Heading2Char">
    <w:name w:val="Heading 2 Char"/>
    <w:link w:val="Heading2"/>
    <w:rPr>
      <w:rFonts w:ascii="Calibri" w:eastAsia="Calibri" w:hAnsi="Calibri" w:cs="Calibri"/>
      <w:color w:val="2E74B5"/>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C6D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6D64"/>
    <w:rPr>
      <w:rFonts w:ascii="Calibri" w:eastAsia="Calibri" w:hAnsi="Calibri" w:cs="Calibri"/>
      <w:color w:val="000000"/>
      <w:sz w:val="22"/>
    </w:rPr>
  </w:style>
  <w:style w:type="paragraph" w:styleId="Footer">
    <w:name w:val="footer"/>
    <w:basedOn w:val="Normal"/>
    <w:link w:val="FooterChar"/>
    <w:uiPriority w:val="99"/>
    <w:unhideWhenUsed/>
    <w:rsid w:val="00AC6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D64"/>
    <w:rPr>
      <w:rFonts w:ascii="Calibri" w:eastAsia="Calibri" w:hAnsi="Calibri" w:cs="Calibri"/>
      <w:color w:val="000000"/>
      <w:sz w:val="22"/>
    </w:rPr>
  </w:style>
  <w:style w:type="paragraph" w:styleId="Revision">
    <w:name w:val="Revision"/>
    <w:hidden/>
    <w:uiPriority w:val="99"/>
    <w:semiHidden/>
    <w:rsid w:val="009A0DBA"/>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04487A"/>
    <w:pPr>
      <w:ind w:left="720"/>
      <w:contextualSpacing/>
    </w:pPr>
  </w:style>
  <w:style w:type="paragraph" w:customStyle="1" w:styleId="paragraph">
    <w:name w:val="paragraph"/>
    <w:basedOn w:val="Normal"/>
    <w:rsid w:val="00D92439"/>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D92439"/>
  </w:style>
  <w:style w:type="character" w:customStyle="1" w:styleId="eop">
    <w:name w:val="eop"/>
    <w:basedOn w:val="DefaultParagraphFont"/>
    <w:rsid w:val="009F3A51"/>
  </w:style>
  <w:style w:type="character" w:styleId="CommentReference">
    <w:name w:val="annotation reference"/>
    <w:basedOn w:val="DefaultParagraphFont"/>
    <w:uiPriority w:val="99"/>
    <w:unhideWhenUsed/>
    <w:rsid w:val="006C2CC9"/>
    <w:rPr>
      <w:sz w:val="16"/>
      <w:szCs w:val="16"/>
    </w:rPr>
  </w:style>
  <w:style w:type="paragraph" w:styleId="CommentText">
    <w:name w:val="annotation text"/>
    <w:basedOn w:val="Normal"/>
    <w:link w:val="CommentTextChar"/>
    <w:uiPriority w:val="99"/>
    <w:unhideWhenUsed/>
    <w:rsid w:val="006C2CC9"/>
    <w:pPr>
      <w:spacing w:after="0" w:line="240" w:lineRule="auto"/>
      <w:ind w:left="0" w:firstLine="0"/>
    </w:pPr>
    <w:rPr>
      <w:rFonts w:asciiTheme="minorHAnsi" w:eastAsia="Times New Roman" w:hAnsiTheme="minorHAnsi" w:cs="Times New Roman"/>
      <w:color w:val="auto"/>
      <w:kern w:val="0"/>
      <w:sz w:val="20"/>
      <w:szCs w:val="20"/>
      <w:lang w:eastAsia="en-US"/>
      <w14:ligatures w14:val="none"/>
    </w:rPr>
  </w:style>
  <w:style w:type="character" w:customStyle="1" w:styleId="CommentTextChar">
    <w:name w:val="Comment Text Char"/>
    <w:basedOn w:val="DefaultParagraphFont"/>
    <w:link w:val="CommentText"/>
    <w:uiPriority w:val="99"/>
    <w:rsid w:val="006C2CC9"/>
    <w:rPr>
      <w:rFonts w:eastAsia="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C15CCD"/>
    <w:pPr>
      <w:spacing w:after="61"/>
      <w:ind w:left="370" w:hanging="368"/>
    </w:pPr>
    <w:rPr>
      <w:rFonts w:ascii="Calibri" w:eastAsia="Calibri" w:hAnsi="Calibri" w:cs="Calibri"/>
      <w:b/>
      <w:bCs/>
      <w:color w:val="000000"/>
      <w:kern w:val="2"/>
      <w:lang w:eastAsia="en-AU"/>
      <w14:ligatures w14:val="standardContextual"/>
    </w:rPr>
  </w:style>
  <w:style w:type="character" w:customStyle="1" w:styleId="CommentSubjectChar">
    <w:name w:val="Comment Subject Char"/>
    <w:basedOn w:val="CommentTextChar"/>
    <w:link w:val="CommentSubject"/>
    <w:uiPriority w:val="99"/>
    <w:semiHidden/>
    <w:rsid w:val="00C15CCD"/>
    <w:rPr>
      <w:rFonts w:ascii="Calibri" w:eastAsia="Calibri" w:hAnsi="Calibri" w:cs="Calibri"/>
      <w:b/>
      <w:bCs/>
      <w:color w:val="000000"/>
      <w:kern w:val="0"/>
      <w:sz w:val="20"/>
      <w:szCs w:val="20"/>
      <w:lang w:eastAsia="en-US"/>
      <w14:ligatures w14:val="none"/>
    </w:rPr>
  </w:style>
  <w:style w:type="character" w:styleId="Mention">
    <w:name w:val="Mention"/>
    <w:basedOn w:val="DefaultParagraphFont"/>
    <w:uiPriority w:val="99"/>
    <w:unhideWhenUsed/>
    <w:rsid w:val="00497BD4"/>
    <w:rPr>
      <w:color w:val="2B579A"/>
      <w:shd w:val="clear" w:color="auto" w:fill="E6E6E6"/>
    </w:rPr>
  </w:style>
  <w:style w:type="character" w:styleId="Hyperlink">
    <w:name w:val="Hyperlink"/>
    <w:basedOn w:val="DefaultParagraphFont"/>
    <w:uiPriority w:val="99"/>
    <w:unhideWhenUsed/>
    <w:rsid w:val="00306DE4"/>
    <w:rPr>
      <w:color w:val="467886" w:themeColor="hyperlink"/>
      <w:u w:val="single"/>
    </w:rPr>
  </w:style>
  <w:style w:type="character" w:styleId="UnresolvedMention">
    <w:name w:val="Unresolved Mention"/>
    <w:basedOn w:val="DefaultParagraphFont"/>
    <w:uiPriority w:val="99"/>
    <w:semiHidden/>
    <w:unhideWhenUsed/>
    <w:rsid w:val="00306DE4"/>
    <w:rPr>
      <w:color w:val="605E5C"/>
      <w:shd w:val="clear" w:color="auto" w:fill="E1DFDD"/>
    </w:rPr>
  </w:style>
  <w:style w:type="character" w:customStyle="1" w:styleId="ui-provider">
    <w:name w:val="ui-provider"/>
    <w:basedOn w:val="DefaultParagraphFont"/>
    <w:rsid w:val="00AB4FE7"/>
  </w:style>
  <w:style w:type="character" w:styleId="Strong">
    <w:name w:val="Strong"/>
    <w:basedOn w:val="DefaultParagraphFont"/>
    <w:uiPriority w:val="22"/>
    <w:qFormat/>
    <w:rsid w:val="00AB4FE7"/>
    <w:rPr>
      <w:b/>
      <w:bCs/>
    </w:rPr>
  </w:style>
  <w:style w:type="paragraph" w:styleId="NoSpacing">
    <w:name w:val="No Spacing"/>
    <w:uiPriority w:val="1"/>
    <w:qFormat/>
    <w:rsid w:val="008A5ADC"/>
    <w:pPr>
      <w:spacing w:after="0" w:line="240" w:lineRule="auto"/>
    </w:pPr>
    <w:rPr>
      <w:rFonts w:ascii="Calibri" w:eastAsiaTheme="minorHAnsi" w:hAnsi="Calibri" w:cstheme="minorHAnsi"/>
      <w:kern w:val="0"/>
      <w:sz w:val="22"/>
      <w:szCs w:val="22"/>
      <w:lang w:eastAsia="en-US"/>
      <w14:ligatures w14:val="none"/>
    </w:rPr>
  </w:style>
  <w:style w:type="paragraph" w:customStyle="1" w:styleId="Tableformat">
    <w:name w:val="Table format"/>
    <w:basedOn w:val="Normal"/>
    <w:link w:val="TableformatChar"/>
    <w:uiPriority w:val="1"/>
    <w:qFormat/>
    <w:rsid w:val="238AF856"/>
    <w:pPr>
      <w:spacing w:before="80" w:after="80"/>
      <w:ind w:left="0" w:hanging="10"/>
      <w:outlineLvl w:val="1"/>
    </w:pPr>
    <w:rPr>
      <w:rFonts w:asciiTheme="minorHAnsi" w:eastAsiaTheme="minorEastAsia" w:hAnsiTheme="minorHAnsi" w:cstheme="minorBidi"/>
      <w:color w:val="0F4761" w:themeColor="accent1" w:themeShade="BF"/>
      <w:sz w:val="26"/>
      <w:szCs w:val="26"/>
    </w:rPr>
  </w:style>
  <w:style w:type="character" w:customStyle="1" w:styleId="TableformatChar">
    <w:name w:val="Table format Char"/>
    <w:basedOn w:val="DefaultParagraphFont"/>
    <w:link w:val="Tableformat"/>
    <w:uiPriority w:val="1"/>
    <w:rsid w:val="238AF856"/>
    <w:rPr>
      <w:rFonts w:asciiTheme="minorHAnsi" w:eastAsiaTheme="minorEastAsia" w:hAnsiTheme="minorHAnsi" w:cstheme="minorBidi"/>
      <w:color w:val="0F476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uiPriority w:val="9"/>
    <w:rsid w:val="00C80282"/>
    <w:rPr>
      <w:rFonts w:asciiTheme="majorHAnsi" w:eastAsiaTheme="majorEastAsia" w:hAnsiTheme="majorHAnsi" w:cstheme="majorBidi"/>
      <w:i/>
      <w:iCs/>
      <w:color w:val="272727" w:themeColor="text1" w:themeTint="D8"/>
      <w:sz w:val="21"/>
      <w:szCs w:val="21"/>
    </w:rPr>
  </w:style>
  <w:style w:type="paragraph" w:styleId="Subtitle">
    <w:name w:val="Subtitle"/>
    <w:basedOn w:val="Normal"/>
    <w:link w:val="SubtitleChar"/>
    <w:uiPriority w:val="11"/>
    <w:qFormat/>
    <w:rsid w:val="002E4C32"/>
    <w:pPr>
      <w:spacing w:after="300" w:line="240" w:lineRule="auto"/>
      <w:ind w:left="0" w:firstLine="0"/>
    </w:pPr>
    <w:rPr>
      <w:rFonts w:ascii="Consolas" w:eastAsia="Times New Roman" w:hAnsi="Consolas" w:cs="Times New Roman"/>
      <w:b/>
      <w:caps/>
      <w:color w:val="C7823E"/>
      <w:spacing w:val="50"/>
      <w:kern w:val="0"/>
      <w:sz w:val="24"/>
      <w:szCs w:val="22"/>
      <w:lang w:eastAsia="ja-JP"/>
      <w14:ligatures w14:val="none"/>
    </w:rPr>
  </w:style>
  <w:style w:type="character" w:customStyle="1" w:styleId="SubtitleChar">
    <w:name w:val="Subtitle Char"/>
    <w:basedOn w:val="DefaultParagraphFont"/>
    <w:link w:val="Subtitle"/>
    <w:uiPriority w:val="11"/>
    <w:rsid w:val="002E4C32"/>
    <w:rPr>
      <w:rFonts w:ascii="Consolas" w:eastAsia="Times New Roman" w:hAnsi="Consolas" w:cs="Times New Roman"/>
      <w:b/>
      <w:caps/>
      <w:color w:val="C7823E"/>
      <w:spacing w:val="50"/>
      <w:kern w:val="0"/>
      <w:szCs w:val="22"/>
      <w:lang w:eastAsia="ja-JP"/>
      <w14:ligatures w14:val="none"/>
    </w:rPr>
  </w:style>
  <w:style w:type="paragraph" w:customStyle="1" w:styleId="SingleParagraph">
    <w:name w:val="Single Paragraph"/>
    <w:basedOn w:val="Normal"/>
    <w:rsid w:val="00EF558E"/>
    <w:pPr>
      <w:spacing w:after="0" w:line="260" w:lineRule="exact"/>
      <w:ind w:left="0" w:firstLine="0"/>
      <w:jc w:val="both"/>
    </w:pPr>
    <w:rPr>
      <w:rFonts w:ascii="Corbel" w:eastAsia="Times New Roman" w:hAnsi="Corbel" w:cs="Times New Roman"/>
      <w:kern w:val="0"/>
      <w:sz w:val="23"/>
      <w:szCs w:val="20"/>
      <w14:ligatures w14:val="none"/>
    </w:rPr>
  </w:style>
  <w:style w:type="paragraph" w:customStyle="1" w:styleId="Signed">
    <w:name w:val="Signed"/>
    <w:basedOn w:val="Normal"/>
    <w:rsid w:val="00EF558E"/>
    <w:pPr>
      <w:spacing w:after="120" w:line="240" w:lineRule="auto"/>
      <w:ind w:left="0" w:firstLine="0"/>
      <w:jc w:val="both"/>
    </w:pPr>
    <w:rPr>
      <w:rFonts w:ascii="Book Antiqua" w:eastAsia="Times New Roman" w:hAnsi="Book Antiqua" w:cs="Times New Roman"/>
      <w:bCs/>
      <w:i/>
      <w:kern w:val="0"/>
      <w:szCs w:val="20"/>
      <w14:ligatures w14:val="none"/>
    </w:rPr>
  </w:style>
  <w:style w:type="paragraph" w:customStyle="1" w:styleId="LineForSignature">
    <w:name w:val="LineForSignature"/>
    <w:basedOn w:val="Normal"/>
    <w:rsid w:val="00EF558E"/>
    <w:pPr>
      <w:tabs>
        <w:tab w:val="left" w:leader="underscore" w:pos="3686"/>
      </w:tabs>
      <w:spacing w:before="360" w:after="60" w:line="260" w:lineRule="exact"/>
      <w:ind w:left="0" w:firstLine="0"/>
      <w:jc w:val="both"/>
    </w:pPr>
    <w:rPr>
      <w:rFonts w:ascii="Book Antiqua" w:eastAsia="Times New Roman" w:hAnsi="Book Antiqua" w:cs="Times New Roman"/>
      <w:color w:val="C0C0C0"/>
      <w:kern w:val="0"/>
      <w:sz w:val="23"/>
      <w:szCs w:val="20"/>
      <w:lang w:val="en-GB"/>
      <w14:ligatures w14:val="none"/>
    </w:rPr>
  </w:style>
  <w:style w:type="character" w:customStyle="1" w:styleId="Bold">
    <w:name w:val="Bold"/>
    <w:rsid w:val="00EF558E"/>
    <w:rPr>
      <w:b/>
      <w:bCs w:val="0"/>
    </w:rPr>
  </w:style>
  <w:style w:type="character" w:customStyle="1" w:styleId="SignedBold">
    <w:name w:val="SignedBold"/>
    <w:rsid w:val="00EF558E"/>
    <w:rPr>
      <w:b/>
      <w:bCs w:val="0"/>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6659">
      <w:bodyDiv w:val="1"/>
      <w:marLeft w:val="0"/>
      <w:marRight w:val="0"/>
      <w:marTop w:val="0"/>
      <w:marBottom w:val="0"/>
      <w:divBdr>
        <w:top w:val="none" w:sz="0" w:space="0" w:color="auto"/>
        <w:left w:val="none" w:sz="0" w:space="0" w:color="auto"/>
        <w:bottom w:val="none" w:sz="0" w:space="0" w:color="auto"/>
        <w:right w:val="none" w:sz="0" w:space="0" w:color="auto"/>
      </w:divBdr>
      <w:divsChild>
        <w:div w:id="146289927">
          <w:marLeft w:val="0"/>
          <w:marRight w:val="0"/>
          <w:marTop w:val="0"/>
          <w:marBottom w:val="0"/>
          <w:divBdr>
            <w:top w:val="none" w:sz="0" w:space="0" w:color="auto"/>
            <w:left w:val="none" w:sz="0" w:space="0" w:color="auto"/>
            <w:bottom w:val="none" w:sz="0" w:space="0" w:color="auto"/>
            <w:right w:val="none" w:sz="0" w:space="0" w:color="auto"/>
          </w:divBdr>
          <w:divsChild>
            <w:div w:id="1795977871">
              <w:marLeft w:val="0"/>
              <w:marRight w:val="0"/>
              <w:marTop w:val="0"/>
              <w:marBottom w:val="0"/>
              <w:divBdr>
                <w:top w:val="none" w:sz="0" w:space="0" w:color="auto"/>
                <w:left w:val="none" w:sz="0" w:space="0" w:color="auto"/>
                <w:bottom w:val="none" w:sz="0" w:space="0" w:color="auto"/>
                <w:right w:val="none" w:sz="0" w:space="0" w:color="auto"/>
              </w:divBdr>
            </w:div>
          </w:divsChild>
        </w:div>
        <w:div w:id="245765781">
          <w:marLeft w:val="0"/>
          <w:marRight w:val="0"/>
          <w:marTop w:val="0"/>
          <w:marBottom w:val="0"/>
          <w:divBdr>
            <w:top w:val="none" w:sz="0" w:space="0" w:color="auto"/>
            <w:left w:val="none" w:sz="0" w:space="0" w:color="auto"/>
            <w:bottom w:val="none" w:sz="0" w:space="0" w:color="auto"/>
            <w:right w:val="none" w:sz="0" w:space="0" w:color="auto"/>
          </w:divBdr>
          <w:divsChild>
            <w:div w:id="1511290995">
              <w:marLeft w:val="0"/>
              <w:marRight w:val="0"/>
              <w:marTop w:val="0"/>
              <w:marBottom w:val="0"/>
              <w:divBdr>
                <w:top w:val="none" w:sz="0" w:space="0" w:color="auto"/>
                <w:left w:val="none" w:sz="0" w:space="0" w:color="auto"/>
                <w:bottom w:val="none" w:sz="0" w:space="0" w:color="auto"/>
                <w:right w:val="none" w:sz="0" w:space="0" w:color="auto"/>
              </w:divBdr>
            </w:div>
          </w:divsChild>
        </w:div>
        <w:div w:id="341319577">
          <w:marLeft w:val="0"/>
          <w:marRight w:val="0"/>
          <w:marTop w:val="0"/>
          <w:marBottom w:val="0"/>
          <w:divBdr>
            <w:top w:val="none" w:sz="0" w:space="0" w:color="auto"/>
            <w:left w:val="none" w:sz="0" w:space="0" w:color="auto"/>
            <w:bottom w:val="none" w:sz="0" w:space="0" w:color="auto"/>
            <w:right w:val="none" w:sz="0" w:space="0" w:color="auto"/>
          </w:divBdr>
          <w:divsChild>
            <w:div w:id="1404794502">
              <w:marLeft w:val="0"/>
              <w:marRight w:val="0"/>
              <w:marTop w:val="0"/>
              <w:marBottom w:val="0"/>
              <w:divBdr>
                <w:top w:val="none" w:sz="0" w:space="0" w:color="auto"/>
                <w:left w:val="none" w:sz="0" w:space="0" w:color="auto"/>
                <w:bottom w:val="none" w:sz="0" w:space="0" w:color="auto"/>
                <w:right w:val="none" w:sz="0" w:space="0" w:color="auto"/>
              </w:divBdr>
            </w:div>
          </w:divsChild>
        </w:div>
        <w:div w:id="523632997">
          <w:marLeft w:val="0"/>
          <w:marRight w:val="0"/>
          <w:marTop w:val="0"/>
          <w:marBottom w:val="0"/>
          <w:divBdr>
            <w:top w:val="none" w:sz="0" w:space="0" w:color="auto"/>
            <w:left w:val="none" w:sz="0" w:space="0" w:color="auto"/>
            <w:bottom w:val="none" w:sz="0" w:space="0" w:color="auto"/>
            <w:right w:val="none" w:sz="0" w:space="0" w:color="auto"/>
          </w:divBdr>
          <w:divsChild>
            <w:div w:id="2063600508">
              <w:marLeft w:val="0"/>
              <w:marRight w:val="0"/>
              <w:marTop w:val="0"/>
              <w:marBottom w:val="0"/>
              <w:divBdr>
                <w:top w:val="none" w:sz="0" w:space="0" w:color="auto"/>
                <w:left w:val="none" w:sz="0" w:space="0" w:color="auto"/>
                <w:bottom w:val="none" w:sz="0" w:space="0" w:color="auto"/>
                <w:right w:val="none" w:sz="0" w:space="0" w:color="auto"/>
              </w:divBdr>
            </w:div>
          </w:divsChild>
        </w:div>
        <w:div w:id="922567911">
          <w:marLeft w:val="0"/>
          <w:marRight w:val="0"/>
          <w:marTop w:val="0"/>
          <w:marBottom w:val="0"/>
          <w:divBdr>
            <w:top w:val="none" w:sz="0" w:space="0" w:color="auto"/>
            <w:left w:val="none" w:sz="0" w:space="0" w:color="auto"/>
            <w:bottom w:val="none" w:sz="0" w:space="0" w:color="auto"/>
            <w:right w:val="none" w:sz="0" w:space="0" w:color="auto"/>
          </w:divBdr>
          <w:divsChild>
            <w:div w:id="260913898">
              <w:marLeft w:val="0"/>
              <w:marRight w:val="0"/>
              <w:marTop w:val="0"/>
              <w:marBottom w:val="0"/>
              <w:divBdr>
                <w:top w:val="none" w:sz="0" w:space="0" w:color="auto"/>
                <w:left w:val="none" w:sz="0" w:space="0" w:color="auto"/>
                <w:bottom w:val="none" w:sz="0" w:space="0" w:color="auto"/>
                <w:right w:val="none" w:sz="0" w:space="0" w:color="auto"/>
              </w:divBdr>
            </w:div>
          </w:divsChild>
        </w:div>
        <w:div w:id="1157187304">
          <w:marLeft w:val="0"/>
          <w:marRight w:val="0"/>
          <w:marTop w:val="0"/>
          <w:marBottom w:val="0"/>
          <w:divBdr>
            <w:top w:val="none" w:sz="0" w:space="0" w:color="auto"/>
            <w:left w:val="none" w:sz="0" w:space="0" w:color="auto"/>
            <w:bottom w:val="none" w:sz="0" w:space="0" w:color="auto"/>
            <w:right w:val="none" w:sz="0" w:space="0" w:color="auto"/>
          </w:divBdr>
          <w:divsChild>
            <w:div w:id="80178179">
              <w:marLeft w:val="0"/>
              <w:marRight w:val="0"/>
              <w:marTop w:val="0"/>
              <w:marBottom w:val="0"/>
              <w:divBdr>
                <w:top w:val="none" w:sz="0" w:space="0" w:color="auto"/>
                <w:left w:val="none" w:sz="0" w:space="0" w:color="auto"/>
                <w:bottom w:val="none" w:sz="0" w:space="0" w:color="auto"/>
                <w:right w:val="none" w:sz="0" w:space="0" w:color="auto"/>
              </w:divBdr>
            </w:div>
            <w:div w:id="1869636041">
              <w:marLeft w:val="0"/>
              <w:marRight w:val="0"/>
              <w:marTop w:val="0"/>
              <w:marBottom w:val="0"/>
              <w:divBdr>
                <w:top w:val="none" w:sz="0" w:space="0" w:color="auto"/>
                <w:left w:val="none" w:sz="0" w:space="0" w:color="auto"/>
                <w:bottom w:val="none" w:sz="0" w:space="0" w:color="auto"/>
                <w:right w:val="none" w:sz="0" w:space="0" w:color="auto"/>
              </w:divBdr>
            </w:div>
          </w:divsChild>
        </w:div>
        <w:div w:id="1544442830">
          <w:marLeft w:val="0"/>
          <w:marRight w:val="0"/>
          <w:marTop w:val="0"/>
          <w:marBottom w:val="0"/>
          <w:divBdr>
            <w:top w:val="none" w:sz="0" w:space="0" w:color="auto"/>
            <w:left w:val="none" w:sz="0" w:space="0" w:color="auto"/>
            <w:bottom w:val="none" w:sz="0" w:space="0" w:color="auto"/>
            <w:right w:val="none" w:sz="0" w:space="0" w:color="auto"/>
          </w:divBdr>
          <w:divsChild>
            <w:div w:id="895437100">
              <w:marLeft w:val="0"/>
              <w:marRight w:val="0"/>
              <w:marTop w:val="0"/>
              <w:marBottom w:val="0"/>
              <w:divBdr>
                <w:top w:val="none" w:sz="0" w:space="0" w:color="auto"/>
                <w:left w:val="none" w:sz="0" w:space="0" w:color="auto"/>
                <w:bottom w:val="none" w:sz="0" w:space="0" w:color="auto"/>
                <w:right w:val="none" w:sz="0" w:space="0" w:color="auto"/>
              </w:divBdr>
            </w:div>
            <w:div w:id="1066614407">
              <w:marLeft w:val="0"/>
              <w:marRight w:val="0"/>
              <w:marTop w:val="0"/>
              <w:marBottom w:val="0"/>
              <w:divBdr>
                <w:top w:val="none" w:sz="0" w:space="0" w:color="auto"/>
                <w:left w:val="none" w:sz="0" w:space="0" w:color="auto"/>
                <w:bottom w:val="none" w:sz="0" w:space="0" w:color="auto"/>
                <w:right w:val="none" w:sz="0" w:space="0" w:color="auto"/>
              </w:divBdr>
            </w:div>
            <w:div w:id="1377898135">
              <w:marLeft w:val="0"/>
              <w:marRight w:val="0"/>
              <w:marTop w:val="0"/>
              <w:marBottom w:val="0"/>
              <w:divBdr>
                <w:top w:val="none" w:sz="0" w:space="0" w:color="auto"/>
                <w:left w:val="none" w:sz="0" w:space="0" w:color="auto"/>
                <w:bottom w:val="none" w:sz="0" w:space="0" w:color="auto"/>
                <w:right w:val="none" w:sz="0" w:space="0" w:color="auto"/>
              </w:divBdr>
            </w:div>
          </w:divsChild>
        </w:div>
        <w:div w:id="1844853833">
          <w:marLeft w:val="0"/>
          <w:marRight w:val="0"/>
          <w:marTop w:val="0"/>
          <w:marBottom w:val="0"/>
          <w:divBdr>
            <w:top w:val="none" w:sz="0" w:space="0" w:color="auto"/>
            <w:left w:val="none" w:sz="0" w:space="0" w:color="auto"/>
            <w:bottom w:val="none" w:sz="0" w:space="0" w:color="auto"/>
            <w:right w:val="none" w:sz="0" w:space="0" w:color="auto"/>
          </w:divBdr>
          <w:divsChild>
            <w:div w:id="824054471">
              <w:marLeft w:val="0"/>
              <w:marRight w:val="0"/>
              <w:marTop w:val="0"/>
              <w:marBottom w:val="0"/>
              <w:divBdr>
                <w:top w:val="none" w:sz="0" w:space="0" w:color="auto"/>
                <w:left w:val="none" w:sz="0" w:space="0" w:color="auto"/>
                <w:bottom w:val="none" w:sz="0" w:space="0" w:color="auto"/>
                <w:right w:val="none" w:sz="0" w:space="0" w:color="auto"/>
              </w:divBdr>
            </w:div>
          </w:divsChild>
        </w:div>
        <w:div w:id="2009096010">
          <w:marLeft w:val="0"/>
          <w:marRight w:val="0"/>
          <w:marTop w:val="0"/>
          <w:marBottom w:val="0"/>
          <w:divBdr>
            <w:top w:val="none" w:sz="0" w:space="0" w:color="auto"/>
            <w:left w:val="none" w:sz="0" w:space="0" w:color="auto"/>
            <w:bottom w:val="none" w:sz="0" w:space="0" w:color="auto"/>
            <w:right w:val="none" w:sz="0" w:space="0" w:color="auto"/>
          </w:divBdr>
          <w:divsChild>
            <w:div w:id="951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9250">
      <w:bodyDiv w:val="1"/>
      <w:marLeft w:val="0"/>
      <w:marRight w:val="0"/>
      <w:marTop w:val="0"/>
      <w:marBottom w:val="0"/>
      <w:divBdr>
        <w:top w:val="none" w:sz="0" w:space="0" w:color="auto"/>
        <w:left w:val="none" w:sz="0" w:space="0" w:color="auto"/>
        <w:bottom w:val="none" w:sz="0" w:space="0" w:color="auto"/>
        <w:right w:val="none" w:sz="0" w:space="0" w:color="auto"/>
      </w:divBdr>
    </w:div>
    <w:div w:id="1623345601">
      <w:bodyDiv w:val="1"/>
      <w:marLeft w:val="0"/>
      <w:marRight w:val="0"/>
      <w:marTop w:val="0"/>
      <w:marBottom w:val="0"/>
      <w:divBdr>
        <w:top w:val="none" w:sz="0" w:space="0" w:color="auto"/>
        <w:left w:val="none" w:sz="0" w:space="0" w:color="auto"/>
        <w:bottom w:val="none" w:sz="0" w:space="0" w:color="auto"/>
        <w:right w:val="none" w:sz="0" w:space="0" w:color="auto"/>
      </w:divBdr>
      <w:divsChild>
        <w:div w:id="57482730">
          <w:marLeft w:val="0"/>
          <w:marRight w:val="0"/>
          <w:marTop w:val="0"/>
          <w:marBottom w:val="0"/>
          <w:divBdr>
            <w:top w:val="none" w:sz="0" w:space="0" w:color="auto"/>
            <w:left w:val="none" w:sz="0" w:space="0" w:color="auto"/>
            <w:bottom w:val="none" w:sz="0" w:space="0" w:color="auto"/>
            <w:right w:val="none" w:sz="0" w:space="0" w:color="auto"/>
          </w:divBdr>
          <w:divsChild>
            <w:div w:id="232813576">
              <w:marLeft w:val="0"/>
              <w:marRight w:val="0"/>
              <w:marTop w:val="0"/>
              <w:marBottom w:val="0"/>
              <w:divBdr>
                <w:top w:val="none" w:sz="0" w:space="0" w:color="auto"/>
                <w:left w:val="none" w:sz="0" w:space="0" w:color="auto"/>
                <w:bottom w:val="none" w:sz="0" w:space="0" w:color="auto"/>
                <w:right w:val="none" w:sz="0" w:space="0" w:color="auto"/>
              </w:divBdr>
            </w:div>
          </w:divsChild>
        </w:div>
        <w:div w:id="145555599">
          <w:marLeft w:val="0"/>
          <w:marRight w:val="0"/>
          <w:marTop w:val="0"/>
          <w:marBottom w:val="0"/>
          <w:divBdr>
            <w:top w:val="none" w:sz="0" w:space="0" w:color="auto"/>
            <w:left w:val="none" w:sz="0" w:space="0" w:color="auto"/>
            <w:bottom w:val="none" w:sz="0" w:space="0" w:color="auto"/>
            <w:right w:val="none" w:sz="0" w:space="0" w:color="auto"/>
          </w:divBdr>
          <w:divsChild>
            <w:div w:id="146945185">
              <w:marLeft w:val="0"/>
              <w:marRight w:val="0"/>
              <w:marTop w:val="0"/>
              <w:marBottom w:val="0"/>
              <w:divBdr>
                <w:top w:val="none" w:sz="0" w:space="0" w:color="auto"/>
                <w:left w:val="none" w:sz="0" w:space="0" w:color="auto"/>
                <w:bottom w:val="none" w:sz="0" w:space="0" w:color="auto"/>
                <w:right w:val="none" w:sz="0" w:space="0" w:color="auto"/>
              </w:divBdr>
            </w:div>
            <w:div w:id="575749730">
              <w:marLeft w:val="0"/>
              <w:marRight w:val="0"/>
              <w:marTop w:val="0"/>
              <w:marBottom w:val="0"/>
              <w:divBdr>
                <w:top w:val="none" w:sz="0" w:space="0" w:color="auto"/>
                <w:left w:val="none" w:sz="0" w:space="0" w:color="auto"/>
                <w:bottom w:val="none" w:sz="0" w:space="0" w:color="auto"/>
                <w:right w:val="none" w:sz="0" w:space="0" w:color="auto"/>
              </w:divBdr>
            </w:div>
            <w:div w:id="1175993055">
              <w:marLeft w:val="0"/>
              <w:marRight w:val="0"/>
              <w:marTop w:val="0"/>
              <w:marBottom w:val="0"/>
              <w:divBdr>
                <w:top w:val="none" w:sz="0" w:space="0" w:color="auto"/>
                <w:left w:val="none" w:sz="0" w:space="0" w:color="auto"/>
                <w:bottom w:val="none" w:sz="0" w:space="0" w:color="auto"/>
                <w:right w:val="none" w:sz="0" w:space="0" w:color="auto"/>
              </w:divBdr>
            </w:div>
          </w:divsChild>
        </w:div>
        <w:div w:id="231815907">
          <w:marLeft w:val="0"/>
          <w:marRight w:val="0"/>
          <w:marTop w:val="0"/>
          <w:marBottom w:val="0"/>
          <w:divBdr>
            <w:top w:val="none" w:sz="0" w:space="0" w:color="auto"/>
            <w:left w:val="none" w:sz="0" w:space="0" w:color="auto"/>
            <w:bottom w:val="none" w:sz="0" w:space="0" w:color="auto"/>
            <w:right w:val="none" w:sz="0" w:space="0" w:color="auto"/>
          </w:divBdr>
          <w:divsChild>
            <w:div w:id="693458246">
              <w:marLeft w:val="0"/>
              <w:marRight w:val="0"/>
              <w:marTop w:val="0"/>
              <w:marBottom w:val="0"/>
              <w:divBdr>
                <w:top w:val="none" w:sz="0" w:space="0" w:color="auto"/>
                <w:left w:val="none" w:sz="0" w:space="0" w:color="auto"/>
                <w:bottom w:val="none" w:sz="0" w:space="0" w:color="auto"/>
                <w:right w:val="none" w:sz="0" w:space="0" w:color="auto"/>
              </w:divBdr>
            </w:div>
          </w:divsChild>
        </w:div>
        <w:div w:id="313991855">
          <w:marLeft w:val="0"/>
          <w:marRight w:val="0"/>
          <w:marTop w:val="0"/>
          <w:marBottom w:val="0"/>
          <w:divBdr>
            <w:top w:val="none" w:sz="0" w:space="0" w:color="auto"/>
            <w:left w:val="none" w:sz="0" w:space="0" w:color="auto"/>
            <w:bottom w:val="none" w:sz="0" w:space="0" w:color="auto"/>
            <w:right w:val="none" w:sz="0" w:space="0" w:color="auto"/>
          </w:divBdr>
          <w:divsChild>
            <w:div w:id="1959484843">
              <w:marLeft w:val="0"/>
              <w:marRight w:val="0"/>
              <w:marTop w:val="0"/>
              <w:marBottom w:val="0"/>
              <w:divBdr>
                <w:top w:val="none" w:sz="0" w:space="0" w:color="auto"/>
                <w:left w:val="none" w:sz="0" w:space="0" w:color="auto"/>
                <w:bottom w:val="none" w:sz="0" w:space="0" w:color="auto"/>
                <w:right w:val="none" w:sz="0" w:space="0" w:color="auto"/>
              </w:divBdr>
            </w:div>
            <w:div w:id="1962884003">
              <w:marLeft w:val="0"/>
              <w:marRight w:val="0"/>
              <w:marTop w:val="0"/>
              <w:marBottom w:val="0"/>
              <w:divBdr>
                <w:top w:val="none" w:sz="0" w:space="0" w:color="auto"/>
                <w:left w:val="none" w:sz="0" w:space="0" w:color="auto"/>
                <w:bottom w:val="none" w:sz="0" w:space="0" w:color="auto"/>
                <w:right w:val="none" w:sz="0" w:space="0" w:color="auto"/>
              </w:divBdr>
            </w:div>
          </w:divsChild>
        </w:div>
        <w:div w:id="394671459">
          <w:marLeft w:val="0"/>
          <w:marRight w:val="0"/>
          <w:marTop w:val="0"/>
          <w:marBottom w:val="0"/>
          <w:divBdr>
            <w:top w:val="none" w:sz="0" w:space="0" w:color="auto"/>
            <w:left w:val="none" w:sz="0" w:space="0" w:color="auto"/>
            <w:bottom w:val="none" w:sz="0" w:space="0" w:color="auto"/>
            <w:right w:val="none" w:sz="0" w:space="0" w:color="auto"/>
          </w:divBdr>
          <w:divsChild>
            <w:div w:id="736243803">
              <w:marLeft w:val="0"/>
              <w:marRight w:val="0"/>
              <w:marTop w:val="0"/>
              <w:marBottom w:val="0"/>
              <w:divBdr>
                <w:top w:val="none" w:sz="0" w:space="0" w:color="auto"/>
                <w:left w:val="none" w:sz="0" w:space="0" w:color="auto"/>
                <w:bottom w:val="none" w:sz="0" w:space="0" w:color="auto"/>
                <w:right w:val="none" w:sz="0" w:space="0" w:color="auto"/>
              </w:divBdr>
            </w:div>
          </w:divsChild>
        </w:div>
        <w:div w:id="917983618">
          <w:marLeft w:val="0"/>
          <w:marRight w:val="0"/>
          <w:marTop w:val="0"/>
          <w:marBottom w:val="0"/>
          <w:divBdr>
            <w:top w:val="none" w:sz="0" w:space="0" w:color="auto"/>
            <w:left w:val="none" w:sz="0" w:space="0" w:color="auto"/>
            <w:bottom w:val="none" w:sz="0" w:space="0" w:color="auto"/>
            <w:right w:val="none" w:sz="0" w:space="0" w:color="auto"/>
          </w:divBdr>
          <w:divsChild>
            <w:div w:id="1770196030">
              <w:marLeft w:val="0"/>
              <w:marRight w:val="0"/>
              <w:marTop w:val="0"/>
              <w:marBottom w:val="0"/>
              <w:divBdr>
                <w:top w:val="none" w:sz="0" w:space="0" w:color="auto"/>
                <w:left w:val="none" w:sz="0" w:space="0" w:color="auto"/>
                <w:bottom w:val="none" w:sz="0" w:space="0" w:color="auto"/>
                <w:right w:val="none" w:sz="0" w:space="0" w:color="auto"/>
              </w:divBdr>
            </w:div>
          </w:divsChild>
        </w:div>
        <w:div w:id="1119881748">
          <w:marLeft w:val="0"/>
          <w:marRight w:val="0"/>
          <w:marTop w:val="0"/>
          <w:marBottom w:val="0"/>
          <w:divBdr>
            <w:top w:val="none" w:sz="0" w:space="0" w:color="auto"/>
            <w:left w:val="none" w:sz="0" w:space="0" w:color="auto"/>
            <w:bottom w:val="none" w:sz="0" w:space="0" w:color="auto"/>
            <w:right w:val="none" w:sz="0" w:space="0" w:color="auto"/>
          </w:divBdr>
          <w:divsChild>
            <w:div w:id="1692798121">
              <w:marLeft w:val="0"/>
              <w:marRight w:val="0"/>
              <w:marTop w:val="0"/>
              <w:marBottom w:val="0"/>
              <w:divBdr>
                <w:top w:val="none" w:sz="0" w:space="0" w:color="auto"/>
                <w:left w:val="none" w:sz="0" w:space="0" w:color="auto"/>
                <w:bottom w:val="none" w:sz="0" w:space="0" w:color="auto"/>
                <w:right w:val="none" w:sz="0" w:space="0" w:color="auto"/>
              </w:divBdr>
            </w:div>
          </w:divsChild>
        </w:div>
        <w:div w:id="1177885428">
          <w:marLeft w:val="0"/>
          <w:marRight w:val="0"/>
          <w:marTop w:val="0"/>
          <w:marBottom w:val="0"/>
          <w:divBdr>
            <w:top w:val="none" w:sz="0" w:space="0" w:color="auto"/>
            <w:left w:val="none" w:sz="0" w:space="0" w:color="auto"/>
            <w:bottom w:val="none" w:sz="0" w:space="0" w:color="auto"/>
            <w:right w:val="none" w:sz="0" w:space="0" w:color="auto"/>
          </w:divBdr>
          <w:divsChild>
            <w:div w:id="756899391">
              <w:marLeft w:val="0"/>
              <w:marRight w:val="0"/>
              <w:marTop w:val="0"/>
              <w:marBottom w:val="0"/>
              <w:divBdr>
                <w:top w:val="none" w:sz="0" w:space="0" w:color="auto"/>
                <w:left w:val="none" w:sz="0" w:space="0" w:color="auto"/>
                <w:bottom w:val="none" w:sz="0" w:space="0" w:color="auto"/>
                <w:right w:val="none" w:sz="0" w:space="0" w:color="auto"/>
              </w:divBdr>
            </w:div>
          </w:divsChild>
        </w:div>
        <w:div w:id="1746561905">
          <w:marLeft w:val="0"/>
          <w:marRight w:val="0"/>
          <w:marTop w:val="0"/>
          <w:marBottom w:val="0"/>
          <w:divBdr>
            <w:top w:val="none" w:sz="0" w:space="0" w:color="auto"/>
            <w:left w:val="none" w:sz="0" w:space="0" w:color="auto"/>
            <w:bottom w:val="none" w:sz="0" w:space="0" w:color="auto"/>
            <w:right w:val="none" w:sz="0" w:space="0" w:color="auto"/>
          </w:divBdr>
          <w:divsChild>
            <w:div w:id="7840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0065">
      <w:bodyDiv w:val="1"/>
      <w:marLeft w:val="0"/>
      <w:marRight w:val="0"/>
      <w:marTop w:val="0"/>
      <w:marBottom w:val="0"/>
      <w:divBdr>
        <w:top w:val="none" w:sz="0" w:space="0" w:color="auto"/>
        <w:left w:val="none" w:sz="0" w:space="0" w:color="auto"/>
        <w:bottom w:val="none" w:sz="0" w:space="0" w:color="auto"/>
        <w:right w:val="none" w:sz="0" w:space="0" w:color="auto"/>
      </w:divBdr>
      <w:divsChild>
        <w:div w:id="3747440">
          <w:marLeft w:val="0"/>
          <w:marRight w:val="0"/>
          <w:marTop w:val="0"/>
          <w:marBottom w:val="0"/>
          <w:divBdr>
            <w:top w:val="none" w:sz="0" w:space="0" w:color="auto"/>
            <w:left w:val="none" w:sz="0" w:space="0" w:color="auto"/>
            <w:bottom w:val="none" w:sz="0" w:space="0" w:color="auto"/>
            <w:right w:val="none" w:sz="0" w:space="0" w:color="auto"/>
          </w:divBdr>
          <w:divsChild>
            <w:div w:id="1882551331">
              <w:marLeft w:val="0"/>
              <w:marRight w:val="0"/>
              <w:marTop w:val="0"/>
              <w:marBottom w:val="0"/>
              <w:divBdr>
                <w:top w:val="none" w:sz="0" w:space="0" w:color="auto"/>
                <w:left w:val="none" w:sz="0" w:space="0" w:color="auto"/>
                <w:bottom w:val="none" w:sz="0" w:space="0" w:color="auto"/>
                <w:right w:val="none" w:sz="0" w:space="0" w:color="auto"/>
              </w:divBdr>
            </w:div>
          </w:divsChild>
        </w:div>
        <w:div w:id="260920748">
          <w:marLeft w:val="0"/>
          <w:marRight w:val="0"/>
          <w:marTop w:val="0"/>
          <w:marBottom w:val="0"/>
          <w:divBdr>
            <w:top w:val="none" w:sz="0" w:space="0" w:color="auto"/>
            <w:left w:val="none" w:sz="0" w:space="0" w:color="auto"/>
            <w:bottom w:val="none" w:sz="0" w:space="0" w:color="auto"/>
            <w:right w:val="none" w:sz="0" w:space="0" w:color="auto"/>
          </w:divBdr>
          <w:divsChild>
            <w:div w:id="1068579306">
              <w:marLeft w:val="0"/>
              <w:marRight w:val="0"/>
              <w:marTop w:val="0"/>
              <w:marBottom w:val="0"/>
              <w:divBdr>
                <w:top w:val="none" w:sz="0" w:space="0" w:color="auto"/>
                <w:left w:val="none" w:sz="0" w:space="0" w:color="auto"/>
                <w:bottom w:val="none" w:sz="0" w:space="0" w:color="auto"/>
                <w:right w:val="none" w:sz="0" w:space="0" w:color="auto"/>
              </w:divBdr>
            </w:div>
            <w:div w:id="1351420455">
              <w:marLeft w:val="0"/>
              <w:marRight w:val="0"/>
              <w:marTop w:val="0"/>
              <w:marBottom w:val="0"/>
              <w:divBdr>
                <w:top w:val="none" w:sz="0" w:space="0" w:color="auto"/>
                <w:left w:val="none" w:sz="0" w:space="0" w:color="auto"/>
                <w:bottom w:val="none" w:sz="0" w:space="0" w:color="auto"/>
                <w:right w:val="none" w:sz="0" w:space="0" w:color="auto"/>
              </w:divBdr>
            </w:div>
            <w:div w:id="1503546479">
              <w:marLeft w:val="0"/>
              <w:marRight w:val="0"/>
              <w:marTop w:val="0"/>
              <w:marBottom w:val="0"/>
              <w:divBdr>
                <w:top w:val="none" w:sz="0" w:space="0" w:color="auto"/>
                <w:left w:val="none" w:sz="0" w:space="0" w:color="auto"/>
                <w:bottom w:val="none" w:sz="0" w:space="0" w:color="auto"/>
                <w:right w:val="none" w:sz="0" w:space="0" w:color="auto"/>
              </w:divBdr>
            </w:div>
          </w:divsChild>
        </w:div>
        <w:div w:id="383259547">
          <w:marLeft w:val="0"/>
          <w:marRight w:val="0"/>
          <w:marTop w:val="0"/>
          <w:marBottom w:val="0"/>
          <w:divBdr>
            <w:top w:val="none" w:sz="0" w:space="0" w:color="auto"/>
            <w:left w:val="none" w:sz="0" w:space="0" w:color="auto"/>
            <w:bottom w:val="none" w:sz="0" w:space="0" w:color="auto"/>
            <w:right w:val="none" w:sz="0" w:space="0" w:color="auto"/>
          </w:divBdr>
          <w:divsChild>
            <w:div w:id="757561700">
              <w:marLeft w:val="0"/>
              <w:marRight w:val="0"/>
              <w:marTop w:val="0"/>
              <w:marBottom w:val="0"/>
              <w:divBdr>
                <w:top w:val="none" w:sz="0" w:space="0" w:color="auto"/>
                <w:left w:val="none" w:sz="0" w:space="0" w:color="auto"/>
                <w:bottom w:val="none" w:sz="0" w:space="0" w:color="auto"/>
                <w:right w:val="none" w:sz="0" w:space="0" w:color="auto"/>
              </w:divBdr>
            </w:div>
          </w:divsChild>
        </w:div>
        <w:div w:id="455759576">
          <w:marLeft w:val="0"/>
          <w:marRight w:val="0"/>
          <w:marTop w:val="0"/>
          <w:marBottom w:val="0"/>
          <w:divBdr>
            <w:top w:val="none" w:sz="0" w:space="0" w:color="auto"/>
            <w:left w:val="none" w:sz="0" w:space="0" w:color="auto"/>
            <w:bottom w:val="none" w:sz="0" w:space="0" w:color="auto"/>
            <w:right w:val="none" w:sz="0" w:space="0" w:color="auto"/>
          </w:divBdr>
          <w:divsChild>
            <w:div w:id="207108209">
              <w:marLeft w:val="0"/>
              <w:marRight w:val="0"/>
              <w:marTop w:val="0"/>
              <w:marBottom w:val="0"/>
              <w:divBdr>
                <w:top w:val="none" w:sz="0" w:space="0" w:color="auto"/>
                <w:left w:val="none" w:sz="0" w:space="0" w:color="auto"/>
                <w:bottom w:val="none" w:sz="0" w:space="0" w:color="auto"/>
                <w:right w:val="none" w:sz="0" w:space="0" w:color="auto"/>
              </w:divBdr>
            </w:div>
            <w:div w:id="1477915999">
              <w:marLeft w:val="0"/>
              <w:marRight w:val="0"/>
              <w:marTop w:val="0"/>
              <w:marBottom w:val="0"/>
              <w:divBdr>
                <w:top w:val="none" w:sz="0" w:space="0" w:color="auto"/>
                <w:left w:val="none" w:sz="0" w:space="0" w:color="auto"/>
                <w:bottom w:val="none" w:sz="0" w:space="0" w:color="auto"/>
                <w:right w:val="none" w:sz="0" w:space="0" w:color="auto"/>
              </w:divBdr>
            </w:div>
            <w:div w:id="1822232204">
              <w:marLeft w:val="0"/>
              <w:marRight w:val="0"/>
              <w:marTop w:val="0"/>
              <w:marBottom w:val="0"/>
              <w:divBdr>
                <w:top w:val="none" w:sz="0" w:space="0" w:color="auto"/>
                <w:left w:val="none" w:sz="0" w:space="0" w:color="auto"/>
                <w:bottom w:val="none" w:sz="0" w:space="0" w:color="auto"/>
                <w:right w:val="none" w:sz="0" w:space="0" w:color="auto"/>
              </w:divBdr>
            </w:div>
          </w:divsChild>
        </w:div>
        <w:div w:id="846099672">
          <w:marLeft w:val="0"/>
          <w:marRight w:val="0"/>
          <w:marTop w:val="0"/>
          <w:marBottom w:val="0"/>
          <w:divBdr>
            <w:top w:val="none" w:sz="0" w:space="0" w:color="auto"/>
            <w:left w:val="none" w:sz="0" w:space="0" w:color="auto"/>
            <w:bottom w:val="none" w:sz="0" w:space="0" w:color="auto"/>
            <w:right w:val="none" w:sz="0" w:space="0" w:color="auto"/>
          </w:divBdr>
          <w:divsChild>
            <w:div w:id="1085107723">
              <w:marLeft w:val="0"/>
              <w:marRight w:val="0"/>
              <w:marTop w:val="0"/>
              <w:marBottom w:val="0"/>
              <w:divBdr>
                <w:top w:val="none" w:sz="0" w:space="0" w:color="auto"/>
                <w:left w:val="none" w:sz="0" w:space="0" w:color="auto"/>
                <w:bottom w:val="none" w:sz="0" w:space="0" w:color="auto"/>
                <w:right w:val="none" w:sz="0" w:space="0" w:color="auto"/>
              </w:divBdr>
            </w:div>
          </w:divsChild>
        </w:div>
        <w:div w:id="1070465876">
          <w:marLeft w:val="0"/>
          <w:marRight w:val="0"/>
          <w:marTop w:val="0"/>
          <w:marBottom w:val="0"/>
          <w:divBdr>
            <w:top w:val="none" w:sz="0" w:space="0" w:color="auto"/>
            <w:left w:val="none" w:sz="0" w:space="0" w:color="auto"/>
            <w:bottom w:val="none" w:sz="0" w:space="0" w:color="auto"/>
            <w:right w:val="none" w:sz="0" w:space="0" w:color="auto"/>
          </w:divBdr>
          <w:divsChild>
            <w:div w:id="144317814">
              <w:marLeft w:val="0"/>
              <w:marRight w:val="0"/>
              <w:marTop w:val="0"/>
              <w:marBottom w:val="0"/>
              <w:divBdr>
                <w:top w:val="none" w:sz="0" w:space="0" w:color="auto"/>
                <w:left w:val="none" w:sz="0" w:space="0" w:color="auto"/>
                <w:bottom w:val="none" w:sz="0" w:space="0" w:color="auto"/>
                <w:right w:val="none" w:sz="0" w:space="0" w:color="auto"/>
              </w:divBdr>
            </w:div>
            <w:div w:id="581068038">
              <w:marLeft w:val="0"/>
              <w:marRight w:val="0"/>
              <w:marTop w:val="0"/>
              <w:marBottom w:val="0"/>
              <w:divBdr>
                <w:top w:val="none" w:sz="0" w:space="0" w:color="auto"/>
                <w:left w:val="none" w:sz="0" w:space="0" w:color="auto"/>
                <w:bottom w:val="none" w:sz="0" w:space="0" w:color="auto"/>
                <w:right w:val="none" w:sz="0" w:space="0" w:color="auto"/>
              </w:divBdr>
            </w:div>
            <w:div w:id="1341925891">
              <w:marLeft w:val="0"/>
              <w:marRight w:val="0"/>
              <w:marTop w:val="0"/>
              <w:marBottom w:val="0"/>
              <w:divBdr>
                <w:top w:val="none" w:sz="0" w:space="0" w:color="auto"/>
                <w:left w:val="none" w:sz="0" w:space="0" w:color="auto"/>
                <w:bottom w:val="none" w:sz="0" w:space="0" w:color="auto"/>
                <w:right w:val="none" w:sz="0" w:space="0" w:color="auto"/>
              </w:divBdr>
            </w:div>
          </w:divsChild>
        </w:div>
        <w:div w:id="1282541059">
          <w:marLeft w:val="0"/>
          <w:marRight w:val="0"/>
          <w:marTop w:val="0"/>
          <w:marBottom w:val="0"/>
          <w:divBdr>
            <w:top w:val="none" w:sz="0" w:space="0" w:color="auto"/>
            <w:left w:val="none" w:sz="0" w:space="0" w:color="auto"/>
            <w:bottom w:val="none" w:sz="0" w:space="0" w:color="auto"/>
            <w:right w:val="none" w:sz="0" w:space="0" w:color="auto"/>
          </w:divBdr>
          <w:divsChild>
            <w:div w:id="1034116439">
              <w:marLeft w:val="0"/>
              <w:marRight w:val="0"/>
              <w:marTop w:val="0"/>
              <w:marBottom w:val="0"/>
              <w:divBdr>
                <w:top w:val="none" w:sz="0" w:space="0" w:color="auto"/>
                <w:left w:val="none" w:sz="0" w:space="0" w:color="auto"/>
                <w:bottom w:val="none" w:sz="0" w:space="0" w:color="auto"/>
                <w:right w:val="none" w:sz="0" w:space="0" w:color="auto"/>
              </w:divBdr>
            </w:div>
            <w:div w:id="2043431740">
              <w:marLeft w:val="0"/>
              <w:marRight w:val="0"/>
              <w:marTop w:val="0"/>
              <w:marBottom w:val="0"/>
              <w:divBdr>
                <w:top w:val="none" w:sz="0" w:space="0" w:color="auto"/>
                <w:left w:val="none" w:sz="0" w:space="0" w:color="auto"/>
                <w:bottom w:val="none" w:sz="0" w:space="0" w:color="auto"/>
                <w:right w:val="none" w:sz="0" w:space="0" w:color="auto"/>
              </w:divBdr>
            </w:div>
            <w:div w:id="2067726786">
              <w:marLeft w:val="0"/>
              <w:marRight w:val="0"/>
              <w:marTop w:val="0"/>
              <w:marBottom w:val="0"/>
              <w:divBdr>
                <w:top w:val="none" w:sz="0" w:space="0" w:color="auto"/>
                <w:left w:val="none" w:sz="0" w:space="0" w:color="auto"/>
                <w:bottom w:val="none" w:sz="0" w:space="0" w:color="auto"/>
                <w:right w:val="none" w:sz="0" w:space="0" w:color="auto"/>
              </w:divBdr>
            </w:div>
          </w:divsChild>
        </w:div>
        <w:div w:id="1336225773">
          <w:marLeft w:val="0"/>
          <w:marRight w:val="0"/>
          <w:marTop w:val="0"/>
          <w:marBottom w:val="0"/>
          <w:divBdr>
            <w:top w:val="none" w:sz="0" w:space="0" w:color="auto"/>
            <w:left w:val="none" w:sz="0" w:space="0" w:color="auto"/>
            <w:bottom w:val="none" w:sz="0" w:space="0" w:color="auto"/>
            <w:right w:val="none" w:sz="0" w:space="0" w:color="auto"/>
          </w:divBdr>
          <w:divsChild>
            <w:div w:id="770511311">
              <w:marLeft w:val="0"/>
              <w:marRight w:val="0"/>
              <w:marTop w:val="0"/>
              <w:marBottom w:val="0"/>
              <w:divBdr>
                <w:top w:val="none" w:sz="0" w:space="0" w:color="auto"/>
                <w:left w:val="none" w:sz="0" w:space="0" w:color="auto"/>
                <w:bottom w:val="none" w:sz="0" w:space="0" w:color="auto"/>
                <w:right w:val="none" w:sz="0" w:space="0" w:color="auto"/>
              </w:divBdr>
            </w:div>
            <w:div w:id="965548536">
              <w:marLeft w:val="0"/>
              <w:marRight w:val="0"/>
              <w:marTop w:val="0"/>
              <w:marBottom w:val="0"/>
              <w:divBdr>
                <w:top w:val="none" w:sz="0" w:space="0" w:color="auto"/>
                <w:left w:val="none" w:sz="0" w:space="0" w:color="auto"/>
                <w:bottom w:val="none" w:sz="0" w:space="0" w:color="auto"/>
                <w:right w:val="none" w:sz="0" w:space="0" w:color="auto"/>
              </w:divBdr>
            </w:div>
          </w:divsChild>
        </w:div>
        <w:div w:id="1564757734">
          <w:marLeft w:val="0"/>
          <w:marRight w:val="0"/>
          <w:marTop w:val="0"/>
          <w:marBottom w:val="0"/>
          <w:divBdr>
            <w:top w:val="none" w:sz="0" w:space="0" w:color="auto"/>
            <w:left w:val="none" w:sz="0" w:space="0" w:color="auto"/>
            <w:bottom w:val="none" w:sz="0" w:space="0" w:color="auto"/>
            <w:right w:val="none" w:sz="0" w:space="0" w:color="auto"/>
          </w:divBdr>
          <w:divsChild>
            <w:div w:id="1933124276">
              <w:marLeft w:val="0"/>
              <w:marRight w:val="0"/>
              <w:marTop w:val="0"/>
              <w:marBottom w:val="0"/>
              <w:divBdr>
                <w:top w:val="none" w:sz="0" w:space="0" w:color="auto"/>
                <w:left w:val="none" w:sz="0" w:space="0" w:color="auto"/>
                <w:bottom w:val="none" w:sz="0" w:space="0" w:color="auto"/>
                <w:right w:val="none" w:sz="0" w:space="0" w:color="auto"/>
              </w:divBdr>
            </w:div>
          </w:divsChild>
        </w:div>
        <w:div w:id="1640574978">
          <w:marLeft w:val="0"/>
          <w:marRight w:val="0"/>
          <w:marTop w:val="0"/>
          <w:marBottom w:val="0"/>
          <w:divBdr>
            <w:top w:val="none" w:sz="0" w:space="0" w:color="auto"/>
            <w:left w:val="none" w:sz="0" w:space="0" w:color="auto"/>
            <w:bottom w:val="none" w:sz="0" w:space="0" w:color="auto"/>
            <w:right w:val="none" w:sz="0" w:space="0" w:color="auto"/>
          </w:divBdr>
          <w:divsChild>
            <w:div w:id="1563633219">
              <w:marLeft w:val="0"/>
              <w:marRight w:val="0"/>
              <w:marTop w:val="0"/>
              <w:marBottom w:val="0"/>
              <w:divBdr>
                <w:top w:val="none" w:sz="0" w:space="0" w:color="auto"/>
                <w:left w:val="none" w:sz="0" w:space="0" w:color="auto"/>
                <w:bottom w:val="none" w:sz="0" w:space="0" w:color="auto"/>
                <w:right w:val="none" w:sz="0" w:space="0" w:color="auto"/>
              </w:divBdr>
            </w:div>
            <w:div w:id="1752694993">
              <w:marLeft w:val="0"/>
              <w:marRight w:val="0"/>
              <w:marTop w:val="0"/>
              <w:marBottom w:val="0"/>
              <w:divBdr>
                <w:top w:val="none" w:sz="0" w:space="0" w:color="auto"/>
                <w:left w:val="none" w:sz="0" w:space="0" w:color="auto"/>
                <w:bottom w:val="none" w:sz="0" w:space="0" w:color="auto"/>
                <w:right w:val="none" w:sz="0" w:space="0" w:color="auto"/>
              </w:divBdr>
            </w:div>
          </w:divsChild>
        </w:div>
        <w:div w:id="1728720944">
          <w:marLeft w:val="0"/>
          <w:marRight w:val="0"/>
          <w:marTop w:val="0"/>
          <w:marBottom w:val="0"/>
          <w:divBdr>
            <w:top w:val="none" w:sz="0" w:space="0" w:color="auto"/>
            <w:left w:val="none" w:sz="0" w:space="0" w:color="auto"/>
            <w:bottom w:val="none" w:sz="0" w:space="0" w:color="auto"/>
            <w:right w:val="none" w:sz="0" w:space="0" w:color="auto"/>
          </w:divBdr>
          <w:divsChild>
            <w:div w:id="1311835195">
              <w:marLeft w:val="0"/>
              <w:marRight w:val="0"/>
              <w:marTop w:val="0"/>
              <w:marBottom w:val="0"/>
              <w:divBdr>
                <w:top w:val="none" w:sz="0" w:space="0" w:color="auto"/>
                <w:left w:val="none" w:sz="0" w:space="0" w:color="auto"/>
                <w:bottom w:val="none" w:sz="0" w:space="0" w:color="auto"/>
                <w:right w:val="none" w:sz="0" w:space="0" w:color="auto"/>
              </w:divBdr>
            </w:div>
          </w:divsChild>
        </w:div>
        <w:div w:id="1835337405">
          <w:marLeft w:val="0"/>
          <w:marRight w:val="0"/>
          <w:marTop w:val="0"/>
          <w:marBottom w:val="0"/>
          <w:divBdr>
            <w:top w:val="none" w:sz="0" w:space="0" w:color="auto"/>
            <w:left w:val="none" w:sz="0" w:space="0" w:color="auto"/>
            <w:bottom w:val="none" w:sz="0" w:space="0" w:color="auto"/>
            <w:right w:val="none" w:sz="0" w:space="0" w:color="auto"/>
          </w:divBdr>
          <w:divsChild>
            <w:div w:id="1168717977">
              <w:marLeft w:val="0"/>
              <w:marRight w:val="0"/>
              <w:marTop w:val="0"/>
              <w:marBottom w:val="0"/>
              <w:divBdr>
                <w:top w:val="none" w:sz="0" w:space="0" w:color="auto"/>
                <w:left w:val="none" w:sz="0" w:space="0" w:color="auto"/>
                <w:bottom w:val="none" w:sz="0" w:space="0" w:color="auto"/>
                <w:right w:val="none" w:sz="0" w:space="0" w:color="auto"/>
              </w:divBdr>
            </w:div>
          </w:divsChild>
        </w:div>
        <w:div w:id="1968974629">
          <w:marLeft w:val="0"/>
          <w:marRight w:val="0"/>
          <w:marTop w:val="0"/>
          <w:marBottom w:val="0"/>
          <w:divBdr>
            <w:top w:val="none" w:sz="0" w:space="0" w:color="auto"/>
            <w:left w:val="none" w:sz="0" w:space="0" w:color="auto"/>
            <w:bottom w:val="none" w:sz="0" w:space="0" w:color="auto"/>
            <w:right w:val="none" w:sz="0" w:space="0" w:color="auto"/>
          </w:divBdr>
          <w:divsChild>
            <w:div w:id="138695662">
              <w:marLeft w:val="0"/>
              <w:marRight w:val="0"/>
              <w:marTop w:val="30"/>
              <w:marBottom w:val="30"/>
              <w:divBdr>
                <w:top w:val="none" w:sz="0" w:space="0" w:color="auto"/>
                <w:left w:val="none" w:sz="0" w:space="0" w:color="auto"/>
                <w:bottom w:val="none" w:sz="0" w:space="0" w:color="auto"/>
                <w:right w:val="none" w:sz="0" w:space="0" w:color="auto"/>
              </w:divBdr>
              <w:divsChild>
                <w:div w:id="144246612">
                  <w:marLeft w:val="0"/>
                  <w:marRight w:val="0"/>
                  <w:marTop w:val="0"/>
                  <w:marBottom w:val="0"/>
                  <w:divBdr>
                    <w:top w:val="none" w:sz="0" w:space="0" w:color="auto"/>
                    <w:left w:val="none" w:sz="0" w:space="0" w:color="auto"/>
                    <w:bottom w:val="none" w:sz="0" w:space="0" w:color="auto"/>
                    <w:right w:val="none" w:sz="0" w:space="0" w:color="auto"/>
                  </w:divBdr>
                  <w:divsChild>
                    <w:div w:id="1284384634">
                      <w:marLeft w:val="0"/>
                      <w:marRight w:val="0"/>
                      <w:marTop w:val="0"/>
                      <w:marBottom w:val="0"/>
                      <w:divBdr>
                        <w:top w:val="none" w:sz="0" w:space="0" w:color="auto"/>
                        <w:left w:val="none" w:sz="0" w:space="0" w:color="auto"/>
                        <w:bottom w:val="none" w:sz="0" w:space="0" w:color="auto"/>
                        <w:right w:val="none" w:sz="0" w:space="0" w:color="auto"/>
                      </w:divBdr>
                    </w:div>
                  </w:divsChild>
                </w:div>
                <w:div w:id="145097593">
                  <w:marLeft w:val="0"/>
                  <w:marRight w:val="0"/>
                  <w:marTop w:val="0"/>
                  <w:marBottom w:val="0"/>
                  <w:divBdr>
                    <w:top w:val="none" w:sz="0" w:space="0" w:color="auto"/>
                    <w:left w:val="none" w:sz="0" w:space="0" w:color="auto"/>
                    <w:bottom w:val="none" w:sz="0" w:space="0" w:color="auto"/>
                    <w:right w:val="none" w:sz="0" w:space="0" w:color="auto"/>
                  </w:divBdr>
                  <w:divsChild>
                    <w:div w:id="194202044">
                      <w:marLeft w:val="0"/>
                      <w:marRight w:val="0"/>
                      <w:marTop w:val="0"/>
                      <w:marBottom w:val="0"/>
                      <w:divBdr>
                        <w:top w:val="none" w:sz="0" w:space="0" w:color="auto"/>
                        <w:left w:val="none" w:sz="0" w:space="0" w:color="auto"/>
                        <w:bottom w:val="none" w:sz="0" w:space="0" w:color="auto"/>
                        <w:right w:val="none" w:sz="0" w:space="0" w:color="auto"/>
                      </w:divBdr>
                    </w:div>
                    <w:div w:id="232010398">
                      <w:marLeft w:val="0"/>
                      <w:marRight w:val="0"/>
                      <w:marTop w:val="0"/>
                      <w:marBottom w:val="0"/>
                      <w:divBdr>
                        <w:top w:val="none" w:sz="0" w:space="0" w:color="auto"/>
                        <w:left w:val="none" w:sz="0" w:space="0" w:color="auto"/>
                        <w:bottom w:val="none" w:sz="0" w:space="0" w:color="auto"/>
                        <w:right w:val="none" w:sz="0" w:space="0" w:color="auto"/>
                      </w:divBdr>
                    </w:div>
                    <w:div w:id="314996757">
                      <w:marLeft w:val="0"/>
                      <w:marRight w:val="0"/>
                      <w:marTop w:val="0"/>
                      <w:marBottom w:val="0"/>
                      <w:divBdr>
                        <w:top w:val="none" w:sz="0" w:space="0" w:color="auto"/>
                        <w:left w:val="none" w:sz="0" w:space="0" w:color="auto"/>
                        <w:bottom w:val="none" w:sz="0" w:space="0" w:color="auto"/>
                        <w:right w:val="none" w:sz="0" w:space="0" w:color="auto"/>
                      </w:divBdr>
                    </w:div>
                    <w:div w:id="614409479">
                      <w:marLeft w:val="0"/>
                      <w:marRight w:val="0"/>
                      <w:marTop w:val="0"/>
                      <w:marBottom w:val="0"/>
                      <w:divBdr>
                        <w:top w:val="none" w:sz="0" w:space="0" w:color="auto"/>
                        <w:left w:val="none" w:sz="0" w:space="0" w:color="auto"/>
                        <w:bottom w:val="none" w:sz="0" w:space="0" w:color="auto"/>
                        <w:right w:val="none" w:sz="0" w:space="0" w:color="auto"/>
                      </w:divBdr>
                    </w:div>
                    <w:div w:id="651370203">
                      <w:marLeft w:val="0"/>
                      <w:marRight w:val="0"/>
                      <w:marTop w:val="0"/>
                      <w:marBottom w:val="0"/>
                      <w:divBdr>
                        <w:top w:val="none" w:sz="0" w:space="0" w:color="auto"/>
                        <w:left w:val="none" w:sz="0" w:space="0" w:color="auto"/>
                        <w:bottom w:val="none" w:sz="0" w:space="0" w:color="auto"/>
                        <w:right w:val="none" w:sz="0" w:space="0" w:color="auto"/>
                      </w:divBdr>
                    </w:div>
                    <w:div w:id="753163643">
                      <w:marLeft w:val="0"/>
                      <w:marRight w:val="0"/>
                      <w:marTop w:val="0"/>
                      <w:marBottom w:val="0"/>
                      <w:divBdr>
                        <w:top w:val="none" w:sz="0" w:space="0" w:color="auto"/>
                        <w:left w:val="none" w:sz="0" w:space="0" w:color="auto"/>
                        <w:bottom w:val="none" w:sz="0" w:space="0" w:color="auto"/>
                        <w:right w:val="none" w:sz="0" w:space="0" w:color="auto"/>
                      </w:divBdr>
                    </w:div>
                    <w:div w:id="1537617803">
                      <w:marLeft w:val="0"/>
                      <w:marRight w:val="0"/>
                      <w:marTop w:val="0"/>
                      <w:marBottom w:val="0"/>
                      <w:divBdr>
                        <w:top w:val="none" w:sz="0" w:space="0" w:color="auto"/>
                        <w:left w:val="none" w:sz="0" w:space="0" w:color="auto"/>
                        <w:bottom w:val="none" w:sz="0" w:space="0" w:color="auto"/>
                        <w:right w:val="none" w:sz="0" w:space="0" w:color="auto"/>
                      </w:divBdr>
                    </w:div>
                    <w:div w:id="2052537684">
                      <w:marLeft w:val="0"/>
                      <w:marRight w:val="0"/>
                      <w:marTop w:val="0"/>
                      <w:marBottom w:val="0"/>
                      <w:divBdr>
                        <w:top w:val="none" w:sz="0" w:space="0" w:color="auto"/>
                        <w:left w:val="none" w:sz="0" w:space="0" w:color="auto"/>
                        <w:bottom w:val="none" w:sz="0" w:space="0" w:color="auto"/>
                        <w:right w:val="none" w:sz="0" w:space="0" w:color="auto"/>
                      </w:divBdr>
                    </w:div>
                  </w:divsChild>
                </w:div>
                <w:div w:id="187110652">
                  <w:marLeft w:val="0"/>
                  <w:marRight w:val="0"/>
                  <w:marTop w:val="0"/>
                  <w:marBottom w:val="0"/>
                  <w:divBdr>
                    <w:top w:val="none" w:sz="0" w:space="0" w:color="auto"/>
                    <w:left w:val="none" w:sz="0" w:space="0" w:color="auto"/>
                    <w:bottom w:val="none" w:sz="0" w:space="0" w:color="auto"/>
                    <w:right w:val="none" w:sz="0" w:space="0" w:color="auto"/>
                  </w:divBdr>
                  <w:divsChild>
                    <w:div w:id="1645042391">
                      <w:marLeft w:val="0"/>
                      <w:marRight w:val="0"/>
                      <w:marTop w:val="0"/>
                      <w:marBottom w:val="0"/>
                      <w:divBdr>
                        <w:top w:val="none" w:sz="0" w:space="0" w:color="auto"/>
                        <w:left w:val="none" w:sz="0" w:space="0" w:color="auto"/>
                        <w:bottom w:val="none" w:sz="0" w:space="0" w:color="auto"/>
                        <w:right w:val="none" w:sz="0" w:space="0" w:color="auto"/>
                      </w:divBdr>
                    </w:div>
                  </w:divsChild>
                </w:div>
                <w:div w:id="479619824">
                  <w:marLeft w:val="0"/>
                  <w:marRight w:val="0"/>
                  <w:marTop w:val="0"/>
                  <w:marBottom w:val="0"/>
                  <w:divBdr>
                    <w:top w:val="none" w:sz="0" w:space="0" w:color="auto"/>
                    <w:left w:val="none" w:sz="0" w:space="0" w:color="auto"/>
                    <w:bottom w:val="none" w:sz="0" w:space="0" w:color="auto"/>
                    <w:right w:val="none" w:sz="0" w:space="0" w:color="auto"/>
                  </w:divBdr>
                  <w:divsChild>
                    <w:div w:id="1886679389">
                      <w:marLeft w:val="0"/>
                      <w:marRight w:val="0"/>
                      <w:marTop w:val="0"/>
                      <w:marBottom w:val="0"/>
                      <w:divBdr>
                        <w:top w:val="none" w:sz="0" w:space="0" w:color="auto"/>
                        <w:left w:val="none" w:sz="0" w:space="0" w:color="auto"/>
                        <w:bottom w:val="none" w:sz="0" w:space="0" w:color="auto"/>
                        <w:right w:val="none" w:sz="0" w:space="0" w:color="auto"/>
                      </w:divBdr>
                    </w:div>
                  </w:divsChild>
                </w:div>
                <w:div w:id="794568779">
                  <w:marLeft w:val="0"/>
                  <w:marRight w:val="0"/>
                  <w:marTop w:val="0"/>
                  <w:marBottom w:val="0"/>
                  <w:divBdr>
                    <w:top w:val="none" w:sz="0" w:space="0" w:color="auto"/>
                    <w:left w:val="none" w:sz="0" w:space="0" w:color="auto"/>
                    <w:bottom w:val="none" w:sz="0" w:space="0" w:color="auto"/>
                    <w:right w:val="none" w:sz="0" w:space="0" w:color="auto"/>
                  </w:divBdr>
                  <w:divsChild>
                    <w:div w:id="1178735676">
                      <w:marLeft w:val="0"/>
                      <w:marRight w:val="0"/>
                      <w:marTop w:val="0"/>
                      <w:marBottom w:val="0"/>
                      <w:divBdr>
                        <w:top w:val="none" w:sz="0" w:space="0" w:color="auto"/>
                        <w:left w:val="none" w:sz="0" w:space="0" w:color="auto"/>
                        <w:bottom w:val="none" w:sz="0" w:space="0" w:color="auto"/>
                        <w:right w:val="none" w:sz="0" w:space="0" w:color="auto"/>
                      </w:divBdr>
                    </w:div>
                    <w:div w:id="1530752919">
                      <w:marLeft w:val="0"/>
                      <w:marRight w:val="0"/>
                      <w:marTop w:val="0"/>
                      <w:marBottom w:val="0"/>
                      <w:divBdr>
                        <w:top w:val="none" w:sz="0" w:space="0" w:color="auto"/>
                        <w:left w:val="none" w:sz="0" w:space="0" w:color="auto"/>
                        <w:bottom w:val="none" w:sz="0" w:space="0" w:color="auto"/>
                        <w:right w:val="none" w:sz="0" w:space="0" w:color="auto"/>
                      </w:divBdr>
                    </w:div>
                  </w:divsChild>
                </w:div>
                <w:div w:id="864908625">
                  <w:marLeft w:val="0"/>
                  <w:marRight w:val="0"/>
                  <w:marTop w:val="0"/>
                  <w:marBottom w:val="0"/>
                  <w:divBdr>
                    <w:top w:val="none" w:sz="0" w:space="0" w:color="auto"/>
                    <w:left w:val="none" w:sz="0" w:space="0" w:color="auto"/>
                    <w:bottom w:val="none" w:sz="0" w:space="0" w:color="auto"/>
                    <w:right w:val="none" w:sz="0" w:space="0" w:color="auto"/>
                  </w:divBdr>
                  <w:divsChild>
                    <w:div w:id="1617447299">
                      <w:marLeft w:val="0"/>
                      <w:marRight w:val="0"/>
                      <w:marTop w:val="0"/>
                      <w:marBottom w:val="0"/>
                      <w:divBdr>
                        <w:top w:val="none" w:sz="0" w:space="0" w:color="auto"/>
                        <w:left w:val="none" w:sz="0" w:space="0" w:color="auto"/>
                        <w:bottom w:val="none" w:sz="0" w:space="0" w:color="auto"/>
                        <w:right w:val="none" w:sz="0" w:space="0" w:color="auto"/>
                      </w:divBdr>
                    </w:div>
                  </w:divsChild>
                </w:div>
                <w:div w:id="1056205363">
                  <w:marLeft w:val="0"/>
                  <w:marRight w:val="0"/>
                  <w:marTop w:val="0"/>
                  <w:marBottom w:val="0"/>
                  <w:divBdr>
                    <w:top w:val="none" w:sz="0" w:space="0" w:color="auto"/>
                    <w:left w:val="none" w:sz="0" w:space="0" w:color="auto"/>
                    <w:bottom w:val="none" w:sz="0" w:space="0" w:color="auto"/>
                    <w:right w:val="none" w:sz="0" w:space="0" w:color="auto"/>
                  </w:divBdr>
                  <w:divsChild>
                    <w:div w:id="1186401936">
                      <w:marLeft w:val="0"/>
                      <w:marRight w:val="0"/>
                      <w:marTop w:val="0"/>
                      <w:marBottom w:val="0"/>
                      <w:divBdr>
                        <w:top w:val="none" w:sz="0" w:space="0" w:color="auto"/>
                        <w:left w:val="none" w:sz="0" w:space="0" w:color="auto"/>
                        <w:bottom w:val="none" w:sz="0" w:space="0" w:color="auto"/>
                        <w:right w:val="none" w:sz="0" w:space="0" w:color="auto"/>
                      </w:divBdr>
                    </w:div>
                  </w:divsChild>
                </w:div>
                <w:div w:id="1157763091">
                  <w:marLeft w:val="0"/>
                  <w:marRight w:val="0"/>
                  <w:marTop w:val="0"/>
                  <w:marBottom w:val="0"/>
                  <w:divBdr>
                    <w:top w:val="none" w:sz="0" w:space="0" w:color="auto"/>
                    <w:left w:val="none" w:sz="0" w:space="0" w:color="auto"/>
                    <w:bottom w:val="none" w:sz="0" w:space="0" w:color="auto"/>
                    <w:right w:val="none" w:sz="0" w:space="0" w:color="auto"/>
                  </w:divBdr>
                  <w:divsChild>
                    <w:div w:id="1540582673">
                      <w:marLeft w:val="0"/>
                      <w:marRight w:val="0"/>
                      <w:marTop w:val="0"/>
                      <w:marBottom w:val="0"/>
                      <w:divBdr>
                        <w:top w:val="none" w:sz="0" w:space="0" w:color="auto"/>
                        <w:left w:val="none" w:sz="0" w:space="0" w:color="auto"/>
                        <w:bottom w:val="none" w:sz="0" w:space="0" w:color="auto"/>
                        <w:right w:val="none" w:sz="0" w:space="0" w:color="auto"/>
                      </w:divBdr>
                    </w:div>
                  </w:divsChild>
                </w:div>
                <w:div w:id="1189102239">
                  <w:marLeft w:val="0"/>
                  <w:marRight w:val="0"/>
                  <w:marTop w:val="0"/>
                  <w:marBottom w:val="0"/>
                  <w:divBdr>
                    <w:top w:val="none" w:sz="0" w:space="0" w:color="auto"/>
                    <w:left w:val="none" w:sz="0" w:space="0" w:color="auto"/>
                    <w:bottom w:val="none" w:sz="0" w:space="0" w:color="auto"/>
                    <w:right w:val="none" w:sz="0" w:space="0" w:color="auto"/>
                  </w:divBdr>
                  <w:divsChild>
                    <w:div w:id="1758595815">
                      <w:marLeft w:val="0"/>
                      <w:marRight w:val="0"/>
                      <w:marTop w:val="0"/>
                      <w:marBottom w:val="0"/>
                      <w:divBdr>
                        <w:top w:val="none" w:sz="0" w:space="0" w:color="auto"/>
                        <w:left w:val="none" w:sz="0" w:space="0" w:color="auto"/>
                        <w:bottom w:val="none" w:sz="0" w:space="0" w:color="auto"/>
                        <w:right w:val="none" w:sz="0" w:space="0" w:color="auto"/>
                      </w:divBdr>
                    </w:div>
                  </w:divsChild>
                </w:div>
                <w:div w:id="1273171676">
                  <w:marLeft w:val="0"/>
                  <w:marRight w:val="0"/>
                  <w:marTop w:val="0"/>
                  <w:marBottom w:val="0"/>
                  <w:divBdr>
                    <w:top w:val="none" w:sz="0" w:space="0" w:color="auto"/>
                    <w:left w:val="none" w:sz="0" w:space="0" w:color="auto"/>
                    <w:bottom w:val="none" w:sz="0" w:space="0" w:color="auto"/>
                    <w:right w:val="none" w:sz="0" w:space="0" w:color="auto"/>
                  </w:divBdr>
                  <w:divsChild>
                    <w:div w:id="433018821">
                      <w:marLeft w:val="0"/>
                      <w:marRight w:val="0"/>
                      <w:marTop w:val="0"/>
                      <w:marBottom w:val="0"/>
                      <w:divBdr>
                        <w:top w:val="none" w:sz="0" w:space="0" w:color="auto"/>
                        <w:left w:val="none" w:sz="0" w:space="0" w:color="auto"/>
                        <w:bottom w:val="none" w:sz="0" w:space="0" w:color="auto"/>
                        <w:right w:val="none" w:sz="0" w:space="0" w:color="auto"/>
                      </w:divBdr>
                    </w:div>
                  </w:divsChild>
                </w:div>
                <w:div w:id="1680768457">
                  <w:marLeft w:val="0"/>
                  <w:marRight w:val="0"/>
                  <w:marTop w:val="0"/>
                  <w:marBottom w:val="0"/>
                  <w:divBdr>
                    <w:top w:val="none" w:sz="0" w:space="0" w:color="auto"/>
                    <w:left w:val="none" w:sz="0" w:space="0" w:color="auto"/>
                    <w:bottom w:val="none" w:sz="0" w:space="0" w:color="auto"/>
                    <w:right w:val="none" w:sz="0" w:space="0" w:color="auto"/>
                  </w:divBdr>
                  <w:divsChild>
                    <w:div w:id="5256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8614">
          <w:marLeft w:val="0"/>
          <w:marRight w:val="0"/>
          <w:marTop w:val="0"/>
          <w:marBottom w:val="0"/>
          <w:divBdr>
            <w:top w:val="none" w:sz="0" w:space="0" w:color="auto"/>
            <w:left w:val="none" w:sz="0" w:space="0" w:color="auto"/>
            <w:bottom w:val="none" w:sz="0" w:space="0" w:color="auto"/>
            <w:right w:val="none" w:sz="0" w:space="0" w:color="auto"/>
          </w:divBdr>
          <w:divsChild>
            <w:div w:id="707224850">
              <w:marLeft w:val="0"/>
              <w:marRight w:val="0"/>
              <w:marTop w:val="0"/>
              <w:marBottom w:val="0"/>
              <w:divBdr>
                <w:top w:val="none" w:sz="0" w:space="0" w:color="auto"/>
                <w:left w:val="none" w:sz="0" w:space="0" w:color="auto"/>
                <w:bottom w:val="none" w:sz="0" w:space="0" w:color="auto"/>
                <w:right w:val="none" w:sz="0" w:space="0" w:color="auto"/>
              </w:divBdr>
            </w:div>
          </w:divsChild>
        </w:div>
        <w:div w:id="2013144491">
          <w:marLeft w:val="0"/>
          <w:marRight w:val="0"/>
          <w:marTop w:val="0"/>
          <w:marBottom w:val="0"/>
          <w:divBdr>
            <w:top w:val="none" w:sz="0" w:space="0" w:color="auto"/>
            <w:left w:val="none" w:sz="0" w:space="0" w:color="auto"/>
            <w:bottom w:val="none" w:sz="0" w:space="0" w:color="auto"/>
            <w:right w:val="none" w:sz="0" w:space="0" w:color="auto"/>
          </w:divBdr>
          <w:divsChild>
            <w:div w:id="979456332">
              <w:marLeft w:val="0"/>
              <w:marRight w:val="0"/>
              <w:marTop w:val="0"/>
              <w:marBottom w:val="0"/>
              <w:divBdr>
                <w:top w:val="none" w:sz="0" w:space="0" w:color="auto"/>
                <w:left w:val="none" w:sz="0" w:space="0" w:color="auto"/>
                <w:bottom w:val="none" w:sz="0" w:space="0" w:color="auto"/>
                <w:right w:val="none" w:sz="0" w:space="0" w:color="auto"/>
              </w:divBdr>
            </w:div>
          </w:divsChild>
        </w:div>
        <w:div w:id="2037778628">
          <w:marLeft w:val="0"/>
          <w:marRight w:val="0"/>
          <w:marTop w:val="0"/>
          <w:marBottom w:val="0"/>
          <w:divBdr>
            <w:top w:val="none" w:sz="0" w:space="0" w:color="auto"/>
            <w:left w:val="none" w:sz="0" w:space="0" w:color="auto"/>
            <w:bottom w:val="none" w:sz="0" w:space="0" w:color="auto"/>
            <w:right w:val="none" w:sz="0" w:space="0" w:color="auto"/>
          </w:divBdr>
          <w:divsChild>
            <w:div w:id="11512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image" Target="media/image5.png"/><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image" Target="media/image3.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2.png"/><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1.png"/><Relationship Id="rId43" Type="http://schemas.openxmlformats.org/officeDocument/2006/relationships/footer" Target="footer14.xm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image" Target="media/image4.png"/><Relationship Id="rId46"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CA09CC9E-57FD-4EA2-8BC5-E531E613A6B3}">
    <t:Anchor>
      <t:Comment id="64263688"/>
    </t:Anchor>
    <t:History>
      <t:Event id="{88753B8C-D840-4D3D-8161-623BC260BE58}" time="2024-07-03T00:13:57.605Z">
        <t:Attribution userId="S::Geoff.Logan@dewr.gov.au::b6e37ad7-702c-4c2f-b47a-d6e2421020e8" userProvider="AD" userName="LOGAN,Geoff"/>
        <t:Anchor>
          <t:Comment id="64263688"/>
        </t:Anchor>
        <t:Create/>
      </t:Event>
      <t:Event id="{DB8D62AC-05C4-41CB-996A-B3E4D4541AFA}" time="2024-07-03T00:13:57.605Z">
        <t:Attribution userId="S::Geoff.Logan@dewr.gov.au::b6e37ad7-702c-4c2f-b47a-d6e2421020e8" userProvider="AD" userName="LOGAN,Geoff"/>
        <t:Anchor>
          <t:Comment id="64263688"/>
        </t:Anchor>
        <t:Assign userId="S::Nathan.Watt@dewr.gov.au::fc880c50-1518-4b41-8c56-d08ee6b9bf4a" userProvider="AD" userName="WATT,Nathan"/>
      </t:Event>
      <t:Event id="{F2EA7EE2-9B61-401D-8F7F-C10965679427}" time="2024-07-03T00:13:57.605Z">
        <t:Attribution userId="S::Geoff.Logan@dewr.gov.au::b6e37ad7-702c-4c2f-b47a-d6e2421020e8" userProvider="AD" userName="LOGAN,Geoff"/>
        <t:Anchor>
          <t:Comment id="64263688"/>
        </t:Anchor>
        <t:SetTitle title="@WATT,Nathan Hi, What’s your view on the date for this one? We’re debating January or June for the final 50pc fund utilisation..."/>
      </t:Event>
      <t:Event id="{D3DEA157-D6AE-41B5-892A-F7B9DACBDE17}" time="2024-07-03T01:21:07.865Z">
        <t:Attribution userId="S::Geoff.Logan@dewr.gov.au::b6e37ad7-702c-4c2f-b47a-d6e2421020e8" userProvider="AD" userName="LOGAN,Geoff"/>
        <t:Progress percentComplete="100"/>
      </t:Event>
      <t:Event id="{5DCFC97E-AB12-4666-8710-12837FAC968A}" time="2024-07-03T01:22:39.411Z">
        <t:Attribution userId="S::Geoff.Logan@dewr.gov.au::b6e37ad7-702c-4c2f-b47a-d6e2421020e8" userProvider="AD" userName="LOGAN,Geoff"/>
        <t:Progress percentComplete="0"/>
      </t:Event>
      <t:Event id="{7B9EE261-E4EC-448D-B92F-5A30A9394802}" time="2024-07-05T04:09:23.314Z">
        <t:Attribution userId="S::geoff.logan@dewr.gov.au::b6e37ad7-702c-4c2f-b47a-d6e2421020e8" userProvider="AD" userName="LOGAN,Geof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942A31BACC14FB983A9E8B5C8ED01" ma:contentTypeVersion="4" ma:contentTypeDescription="Create a new document." ma:contentTypeScope="" ma:versionID="3e89ec2e01a98587f84f53a7105ceb6f">
  <xsd:schema xmlns:xsd="http://www.w3.org/2001/XMLSchema" xmlns:xs="http://www.w3.org/2001/XMLSchema" xmlns:p="http://schemas.microsoft.com/office/2006/metadata/properties" xmlns:ns2="80982170-bdad-49ed-bdff-ab1f25da5ff6" targetNamespace="http://schemas.microsoft.com/office/2006/metadata/properties" ma:root="true" ma:fieldsID="6934b778a40ac9d49a5a52a28c2f2e15" ns2:_="">
    <xsd:import namespace="80982170-bdad-49ed-bdff-ab1f25da5f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82170-bdad-49ed-bdff-ab1f25da5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8FA4D-71CD-4C76-93A9-DDFC61427217}">
  <ds:schemaRefs>
    <ds:schemaRef ds:uri="http://schemas.microsoft.com/sharepoint/v3/contenttype/forms"/>
  </ds:schemaRefs>
</ds:datastoreItem>
</file>

<file path=customXml/itemProps2.xml><?xml version="1.0" encoding="utf-8"?>
<ds:datastoreItem xmlns:ds="http://schemas.openxmlformats.org/officeDocument/2006/customXml" ds:itemID="{FCCB9114-2647-473A-9C64-EF2FDEDF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82170-bdad-49ed-bdff-ab1f25da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2C251-F106-4F56-ABDE-7367CEA3C11E}">
  <ds:schemaRefs>
    <ds:schemaRef ds:uri="http://schemas.openxmlformats.org/officeDocument/2006/bibliography"/>
  </ds:schemaRefs>
</ds:datastoreItem>
</file>

<file path=customXml/itemProps4.xml><?xml version="1.0" encoding="utf-8"?>
<ds:datastoreItem xmlns:ds="http://schemas.openxmlformats.org/officeDocument/2006/customXml" ds:itemID="{1D43C1BC-6B03-4AE5-B9A7-E03AD8F28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7878</Words>
  <Characters>44277</Characters>
  <Application>Microsoft Office Word</Application>
  <DocSecurity>0</DocSecurity>
  <Lines>1475</Lines>
  <Paragraphs>1064</Paragraphs>
  <ScaleCrop>false</ScaleCrop>
  <HeadingPairs>
    <vt:vector size="2" baseType="variant">
      <vt:variant>
        <vt:lpstr>Title</vt:lpstr>
      </vt:variant>
      <vt:variant>
        <vt:i4>1</vt:i4>
      </vt:variant>
    </vt:vector>
  </HeadingPairs>
  <TitlesOfParts>
    <vt:vector size="1" baseType="lpstr">
      <vt:lpstr>FFA Schedule – EDUCATION AND SKILLS</vt:lpstr>
    </vt:vector>
  </TitlesOfParts>
  <Company>Australian Government</Company>
  <LinksUpToDate>false</LinksUpToDate>
  <CharactersWithSpaces>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FFA Schedule – EDUCATION AND SKILLS</dc:title>
  <dc:subject/>
  <dc:creator>Le, Alan</dc:creator>
  <cp:keywords/>
  <cp:lastModifiedBy>Pennifold, Lauren</cp:lastModifiedBy>
  <cp:revision>3</cp:revision>
  <cp:lastPrinted>2024-08-30T06:08:00Z</cp:lastPrinted>
  <dcterms:created xsi:type="dcterms:W3CDTF">2024-09-20T02:22:00Z</dcterms:created>
  <dcterms:modified xsi:type="dcterms:W3CDTF">2024-09-20T02:23:00Z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5ec89cd4,4b161064,7513e64d,70fcbe12,f0988e6,21b65f58,6283adc3,b5fbe15,3f0fe535,353ee590,4499e68d,6a08cc8b,460161df,31895cda,45266783,7b74a398,1ae9d8ab,6a2c52c0,158b8351,11e95239,62423ca6,2606fd7,107903f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363848e6,15df623a,1567965c,6b4f6ef1,3a81d664,594bd121,5d141ffe,6e350cb2,35b45981,4277ed30,6c57e49e,20854bef,584c8419,178a05e2,7363fde6,16b44564,1444bc46,73c6798c,1dd470b0,64e99043,5fe889f3,708ccf92,5949b5f8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0x0101007FC942A31BACC14FB983A9E8B5C8ED01</vt:lpwstr>
  </property>
  <property fmtid="{D5CDD505-2E9C-101B-9397-08002B2CF9AE}" pid="9" name="MediaServiceImageTags">
    <vt:lpwstr/>
  </property>
  <property fmtid="{D5CDD505-2E9C-101B-9397-08002B2CF9AE}" pid="10" name="Order">
    <vt:r8>1698500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ApprovedYes/No">
    <vt:bool>true</vt:bool>
  </property>
  <property fmtid="{D5CDD505-2E9C-101B-9397-08002B2CF9AE}" pid="17" name="TriggerFlowInfo">
    <vt:lpwstr/>
  </property>
  <property fmtid="{D5CDD505-2E9C-101B-9397-08002B2CF9AE}" pid="18" name="MSIP_Label_79d889eb-932f-4752-8739-64d25806ef64_Enabled">
    <vt:lpwstr>true</vt:lpwstr>
  </property>
  <property fmtid="{D5CDD505-2E9C-101B-9397-08002B2CF9AE}" pid="19" name="MSIP_Label_79d889eb-932f-4752-8739-64d25806ef64_SetDate">
    <vt:lpwstr>2024-08-30T08:10:27Z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46725aff-c529-4299-9281-ba5adac5804e</vt:lpwstr>
  </property>
  <property fmtid="{D5CDD505-2E9C-101B-9397-08002B2CF9AE}" pid="24" name="MSIP_Label_79d889eb-932f-4752-8739-64d25806ef64_ContentBits">
    <vt:lpwstr>0</vt:lpwstr>
  </property>
  <property fmtid="{D5CDD505-2E9C-101B-9397-08002B2CF9AE}" pid="25" name="ClassificationContentMarkingHeaderShapeIds-1">
    <vt:lpwstr>a7929db,62a9135f,3481dd22,4597dae6,497f6897,5d8cce0d,252b9003,14ec1530,7fbb0ec2,487821a1,5ab50850,650061c6</vt:lpwstr>
  </property>
  <property fmtid="{D5CDD505-2E9C-101B-9397-08002B2CF9AE}" pid="26" name="ClassificationContentMarkingFooterShapeIds-1">
    <vt:lpwstr>3b06eed2,2fa08ae3,6e59b1a,12d98451,5f96e978,4985d109,651df664,49e7ae64,51627b2f,388426fc,6929c4a,570988b3</vt:lpwstr>
  </property>
  <property fmtid="{D5CDD505-2E9C-101B-9397-08002B2CF9AE}" pid="27" name="MSIP_Label_6e3dc468-5731-4ec9-b671-cf2147a52e3a_Enabled">
    <vt:lpwstr>true</vt:lpwstr>
  </property>
  <property fmtid="{D5CDD505-2E9C-101B-9397-08002B2CF9AE}" pid="28" name="MSIP_Label_6e3dc468-5731-4ec9-b671-cf2147a52e3a_SetDate">
    <vt:lpwstr>2024-09-20T02:22:59Z</vt:lpwstr>
  </property>
  <property fmtid="{D5CDD505-2E9C-101B-9397-08002B2CF9AE}" pid="29" name="MSIP_Label_6e3dc468-5731-4ec9-b671-cf2147a52e3a_Method">
    <vt:lpwstr>Privileged</vt:lpwstr>
  </property>
  <property fmtid="{D5CDD505-2E9C-101B-9397-08002B2CF9AE}" pid="30" name="MSIP_Label_6e3dc468-5731-4ec9-b671-cf2147a52e3a_Name">
    <vt:lpwstr>Official</vt:lpwstr>
  </property>
  <property fmtid="{D5CDD505-2E9C-101B-9397-08002B2CF9AE}" pid="31" name="MSIP_Label_6e3dc468-5731-4ec9-b671-cf2147a52e3a_SiteId">
    <vt:lpwstr>214f1646-2021-47cc-8397-e3d3a7ba7d9d</vt:lpwstr>
  </property>
  <property fmtid="{D5CDD505-2E9C-101B-9397-08002B2CF9AE}" pid="32" name="MSIP_Label_6e3dc468-5731-4ec9-b671-cf2147a52e3a_ActionId">
    <vt:lpwstr>da183ebc-1ed2-4413-a81a-388f01d84d22</vt:lpwstr>
  </property>
  <property fmtid="{D5CDD505-2E9C-101B-9397-08002B2CF9AE}" pid="33" name="MSIP_Label_6e3dc468-5731-4ec9-b671-cf2147a52e3a_ContentBits">
    <vt:lpwstr>3</vt:lpwstr>
  </property>
</Properties>
</file>