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AFD1" w14:textId="163F1D82" w:rsidR="001B34ED" w:rsidRPr="001B34ED" w:rsidRDefault="001B34ED" w:rsidP="001B34ED">
      <w:pPr>
        <w:pStyle w:val="Heading91"/>
        <w:jc w:val="right"/>
        <w:rPr>
          <w:rFonts w:ascii="Corbel" w:hAnsi="Corbel"/>
          <w:i w:val="0"/>
          <w:color w:val="000000"/>
          <w:sz w:val="28"/>
          <w:szCs w:val="28"/>
          <w:lang w:eastAsia="en-AU"/>
        </w:rPr>
      </w:pPr>
      <w:r>
        <w:rPr>
          <w:rFonts w:ascii="Corbel" w:eastAsia="Times New Roman" w:hAnsi="Corbel"/>
          <w:color w:val="3D4B67"/>
          <w:sz w:val="40"/>
          <w:szCs w:val="40"/>
          <w:lang w:eastAsia="ja-JP"/>
        </w:rPr>
        <w:tab/>
      </w:r>
      <w:r>
        <w:rPr>
          <w:rFonts w:ascii="Corbel" w:eastAsia="Times New Roman" w:hAnsi="Corbel"/>
          <w:color w:val="3D4B67"/>
          <w:sz w:val="40"/>
          <w:szCs w:val="40"/>
          <w:lang w:eastAsia="ja-JP"/>
        </w:rPr>
        <w:tab/>
      </w:r>
      <w:r>
        <w:rPr>
          <w:rFonts w:ascii="Corbel" w:eastAsia="Times New Roman" w:hAnsi="Corbel"/>
          <w:color w:val="3D4B67"/>
          <w:sz w:val="40"/>
          <w:szCs w:val="40"/>
          <w:lang w:eastAsia="ja-JP"/>
        </w:rPr>
        <w:tab/>
      </w:r>
      <w:r>
        <w:rPr>
          <w:rFonts w:ascii="Corbel" w:eastAsia="Times New Roman" w:hAnsi="Corbel"/>
          <w:color w:val="3D4B67"/>
          <w:sz w:val="40"/>
          <w:szCs w:val="40"/>
          <w:lang w:eastAsia="ja-JP"/>
        </w:rPr>
        <w:tab/>
      </w:r>
      <w:r>
        <w:rPr>
          <w:rFonts w:ascii="Corbel" w:eastAsia="Times New Roman" w:hAnsi="Corbel"/>
          <w:color w:val="3D4B67"/>
          <w:sz w:val="40"/>
          <w:szCs w:val="40"/>
          <w:lang w:eastAsia="ja-JP"/>
        </w:rPr>
        <w:tab/>
      </w:r>
      <w:r>
        <w:rPr>
          <w:rFonts w:ascii="Corbel" w:eastAsia="Times New Roman" w:hAnsi="Corbel"/>
          <w:color w:val="3D4B67"/>
          <w:sz w:val="40"/>
          <w:szCs w:val="40"/>
          <w:lang w:eastAsia="ja-JP"/>
        </w:rPr>
        <w:tab/>
      </w:r>
      <w:r w:rsidRPr="001B34ED">
        <w:rPr>
          <w:i w:val="0"/>
          <w:sz w:val="28"/>
          <w:szCs w:val="28"/>
        </w:rPr>
        <w:t>Schedule</w:t>
      </w:r>
    </w:p>
    <w:p w14:paraId="47391427" w14:textId="0E7C35A4" w:rsidR="001B34ED" w:rsidRPr="001B34ED" w:rsidRDefault="001B34ED" w:rsidP="001B34ED">
      <w:pPr>
        <w:spacing w:after="0" w:line="240" w:lineRule="auto"/>
        <w:rPr>
          <w:rFonts w:ascii="Corbel" w:eastAsia="Times New Roman" w:hAnsi="Corbel" w:cs="Times New Roman"/>
          <w:color w:val="3D4B67"/>
          <w:kern w:val="0"/>
          <w:sz w:val="40"/>
          <w:szCs w:val="40"/>
          <w:lang w:eastAsia="ja-JP"/>
          <w14:ligatures w14:val="none"/>
        </w:rPr>
      </w:pPr>
      <w:r w:rsidRPr="001B34ED">
        <w:rPr>
          <w:rFonts w:ascii="Corbel" w:eastAsia="Times New Roman" w:hAnsi="Corbel" w:cs="Times New Roman"/>
          <w:color w:val="3D4B67"/>
          <w:kern w:val="0"/>
          <w:sz w:val="40"/>
          <w:szCs w:val="40"/>
          <w:lang w:eastAsia="ja-JP"/>
          <w14:ligatures w14:val="none"/>
        </w:rPr>
        <w:t>Capacity Investment Scheme – New South Wales</w:t>
      </w:r>
    </w:p>
    <w:p w14:paraId="73C6FB8D" w14:textId="77777777" w:rsidR="001B34ED" w:rsidRPr="001B34ED" w:rsidRDefault="001B34ED" w:rsidP="001B34ED">
      <w:pPr>
        <w:spacing w:after="300" w:line="240" w:lineRule="auto"/>
        <w:rPr>
          <w:rFonts w:ascii="Consolas" w:eastAsia="Times New Roman" w:hAnsi="Consolas" w:cs="Times New Roman"/>
          <w:b/>
          <w:caps/>
          <w:color w:val="C7823E"/>
          <w:spacing w:val="50"/>
          <w:kern w:val="0"/>
          <w:sz w:val="24"/>
          <w:lang w:eastAsia="ja-JP"/>
          <w14:ligatures w14:val="none"/>
        </w:rPr>
      </w:pPr>
      <w:r w:rsidRPr="001B34ED">
        <w:rPr>
          <w:rFonts w:ascii="Consolas" w:eastAsia="Times New Roman" w:hAnsi="Consolas" w:cs="Times New Roman"/>
          <w:b/>
          <w:caps/>
          <w:color w:val="C7823E"/>
          <w:spacing w:val="50"/>
          <w:kern w:val="0"/>
          <w:sz w:val="24"/>
          <w:lang w:eastAsia="ja-JP"/>
          <w14:ligatures w14:val="none"/>
        </w:rPr>
        <w:t>FEDERATION FUNDING AGREEMENT – ENVIRONMENT</w:t>
      </w:r>
    </w:p>
    <w:tbl>
      <w:tblPr>
        <w:tblW w:w="991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8222"/>
      </w:tblGrid>
      <w:tr w:rsidR="001B34ED" w:rsidRPr="001B34ED" w14:paraId="7CA5E5E5" w14:textId="77777777" w:rsidTr="1285DB88">
        <w:tc>
          <w:tcPr>
            <w:tcW w:w="9913" w:type="dxa"/>
            <w:gridSpan w:val="2"/>
            <w:shd w:val="clear" w:color="auto" w:fill="DEEAF6" w:themeFill="accent5" w:themeFillTint="33"/>
          </w:tcPr>
          <w:p w14:paraId="6C405FBE" w14:textId="77777777" w:rsidR="001B34ED" w:rsidRPr="001B34ED" w:rsidRDefault="001B34ED" w:rsidP="001B34ED">
            <w:pPr>
              <w:spacing w:before="80" w:after="80" w:line="240" w:lineRule="auto"/>
              <w:outlineLvl w:val="1"/>
              <w:rPr>
                <w:rFonts w:ascii="Corbel" w:eastAsia="Times New Roman" w:hAnsi="Corbel" w:cs="Arial"/>
                <w:b/>
                <w:iCs/>
                <w:kern w:val="0"/>
                <w:sz w:val="26"/>
                <w:szCs w:val="26"/>
                <w:lang w:val="en-US" w:eastAsia="en-AU"/>
                <w14:ligatures w14:val="none"/>
              </w:rPr>
            </w:pPr>
            <w:r w:rsidRPr="001B34ED">
              <w:rPr>
                <w:rFonts w:ascii="Corbel" w:eastAsia="Times New Roman" w:hAnsi="Corbel" w:cs="Arial"/>
                <w:b/>
                <w:iCs/>
                <w:kern w:val="0"/>
                <w:sz w:val="26"/>
                <w:szCs w:val="26"/>
                <w:lang w:val="en-US" w:eastAsia="en-AU"/>
                <w14:ligatures w14:val="none"/>
              </w:rPr>
              <w:t>Formalities and operation of schedule</w:t>
            </w:r>
          </w:p>
        </w:tc>
      </w:tr>
      <w:tr w:rsidR="001B34ED" w:rsidRPr="001B34ED" w14:paraId="7AEA962E" w14:textId="77777777" w:rsidTr="00AA0090">
        <w:tc>
          <w:tcPr>
            <w:tcW w:w="1691" w:type="dxa"/>
            <w:shd w:val="clear" w:color="auto" w:fill="auto"/>
          </w:tcPr>
          <w:p w14:paraId="0371755C"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Parties</w:t>
            </w:r>
          </w:p>
        </w:tc>
        <w:tc>
          <w:tcPr>
            <w:tcW w:w="8222" w:type="dxa"/>
            <w:shd w:val="clear" w:color="auto" w:fill="auto"/>
          </w:tcPr>
          <w:p w14:paraId="32B004F1"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Commonwealth</w:t>
            </w:r>
          </w:p>
          <w:p w14:paraId="25BA6612"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New South Wales </w:t>
            </w:r>
          </w:p>
        </w:tc>
      </w:tr>
      <w:tr w:rsidR="001B34ED" w:rsidRPr="001B34ED" w14:paraId="16A53BE2" w14:textId="77777777" w:rsidTr="00AA0090">
        <w:tc>
          <w:tcPr>
            <w:tcW w:w="1691" w:type="dxa"/>
            <w:shd w:val="clear" w:color="auto" w:fill="auto"/>
          </w:tcPr>
          <w:p w14:paraId="14905428"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Duration</w:t>
            </w:r>
          </w:p>
        </w:tc>
        <w:tc>
          <w:tcPr>
            <w:tcW w:w="8222" w:type="dxa"/>
            <w:shd w:val="clear" w:color="auto" w:fill="auto"/>
          </w:tcPr>
          <w:p w14:paraId="7FF9364E"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This Schedule is expected to expire on 31 December 2039 or 18 months after the last contracted end date for a firming LTESA for a Commonwealth-funded project, whichever is later.</w:t>
            </w:r>
          </w:p>
        </w:tc>
      </w:tr>
      <w:tr w:rsidR="001B34ED" w:rsidRPr="001B34ED" w14:paraId="0BA68330" w14:textId="77777777" w:rsidTr="00AA0090">
        <w:tc>
          <w:tcPr>
            <w:tcW w:w="1691" w:type="dxa"/>
            <w:shd w:val="clear" w:color="auto" w:fill="auto"/>
          </w:tcPr>
          <w:p w14:paraId="5BF71628"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Purpose</w:t>
            </w:r>
          </w:p>
        </w:tc>
        <w:tc>
          <w:tcPr>
            <w:tcW w:w="8222" w:type="dxa"/>
            <w:shd w:val="clear" w:color="auto" w:fill="auto"/>
          </w:tcPr>
          <w:p w14:paraId="3119DA31"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1.  This Schedule will support the delivery of the Commonwealth’s expansion of the NSW Electricity Infrastructure Roadmap 2023 Tender Round 2 Firming Infrastructure by up to an additional 550 MW.</w:t>
            </w:r>
          </w:p>
          <w:p w14:paraId="47D46596" w14:textId="77777777" w:rsidR="001B34ED" w:rsidRPr="001B34ED" w:rsidRDefault="001B34ED" w:rsidP="001B34ED">
            <w:pPr>
              <w:spacing w:before="80" w:after="80" w:line="240" w:lineRule="auto"/>
              <w:ind w:left="-43"/>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2.  The objectives of the Commonwealth’s partnership with NSW for the NSW Electricity Infrastructure Roadmap are:</w:t>
            </w:r>
          </w:p>
          <w:p w14:paraId="3A4A18E3"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(a) improving reliability outcomes in NSW by bringing on additional clean dispatchable capacity sooner;</w:t>
            </w:r>
          </w:p>
          <w:p w14:paraId="47A99DCC"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(b) ensuring Commonwealth funding for projects represents value for money; and</w:t>
            </w:r>
          </w:p>
          <w:p w14:paraId="51177313" w14:textId="77777777" w:rsidR="001B34ED" w:rsidRPr="001B34ED" w:rsidRDefault="001B34ED" w:rsidP="001B34ED">
            <w:pPr>
              <w:spacing w:before="80" w:after="80" w:line="240" w:lineRule="auto"/>
              <w:outlineLvl w:val="1"/>
              <w:rPr>
                <w:rFonts w:ascii="Corbel" w:eastAsia="Times New Roman" w:hAnsi="Corbel" w:cs="Arial"/>
                <w:iCs/>
                <w:color w:val="2E74B5"/>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 xml:space="preserve">(c) ensuring support from </w:t>
            </w:r>
            <w:r w:rsidRPr="001B34ED">
              <w:rPr>
                <w:rFonts w:ascii="Corbel" w:eastAsia="Times New Roman" w:hAnsi="Corbel" w:cs="Arial"/>
                <w:iCs/>
                <w:kern w:val="0"/>
                <w:sz w:val="26"/>
                <w:szCs w:val="26"/>
                <w:lang w:val="en-US" w:eastAsia="en-AU"/>
                <w14:ligatures w14:val="none"/>
              </w:rPr>
              <w:t>the Commonwealth is consistent with the objectives and scope of the Capacity Investment Scheme (CIS).</w:t>
            </w:r>
          </w:p>
        </w:tc>
      </w:tr>
      <w:tr w:rsidR="001B34ED" w:rsidRPr="001B34ED" w14:paraId="2E814481" w14:textId="77777777" w:rsidTr="00AA0090">
        <w:tc>
          <w:tcPr>
            <w:tcW w:w="1691" w:type="dxa"/>
            <w:shd w:val="clear" w:color="auto" w:fill="auto"/>
          </w:tcPr>
          <w:p w14:paraId="0E036F67"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Background</w:t>
            </w:r>
          </w:p>
        </w:tc>
        <w:tc>
          <w:tcPr>
            <w:tcW w:w="8222" w:type="dxa"/>
            <w:shd w:val="clear" w:color="auto" w:fill="auto"/>
          </w:tcPr>
          <w:p w14:paraId="34D58747"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In this Schedule: </w:t>
            </w:r>
          </w:p>
          <w:p w14:paraId="7EB385DB"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‘Commonwealth-funded project’ means a project that is subject to an executed firming LTESA with the SFV under the EII Act, and is to solely receive Commonwealth funding under this Schedule.</w:t>
            </w:r>
          </w:p>
          <w:p w14:paraId="4823254F"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‘Consumer Trustee’ has the meaning given to that term under the EII Act, which at the date of signing this agreement is AEMO Services Ltd,</w:t>
            </w:r>
            <w:r w:rsidRPr="001B34ED">
              <w:rPr>
                <w:rFonts w:ascii="Calibri" w:eastAsia="Calibri" w:hAnsi="Calibri" w:cs="Arial"/>
                <w:kern w:val="0"/>
                <w:lang w:val="en-US"/>
                <w14:ligatures w14:val="none"/>
              </w:rPr>
              <w:t xml:space="preserve"> </w:t>
            </w:r>
            <w:r w:rsidRPr="001B34ED">
              <w:rPr>
                <w:rFonts w:ascii="Corbel" w:eastAsia="Times New Roman" w:hAnsi="Corbel" w:cs="Arial"/>
                <w:iCs/>
                <w:kern w:val="0"/>
                <w:sz w:val="26"/>
                <w:szCs w:val="26"/>
                <w:lang w:val="en-US" w:eastAsia="en-AU"/>
                <w14:ligatures w14:val="none"/>
              </w:rPr>
              <w:t>ACN 651 198 364.</w:t>
            </w:r>
          </w:p>
          <w:p w14:paraId="075B2031"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‘EII Act’ means the </w:t>
            </w:r>
            <w:r w:rsidRPr="001B34ED">
              <w:rPr>
                <w:rFonts w:ascii="Corbel" w:eastAsia="Times New Roman" w:hAnsi="Corbel" w:cs="Arial"/>
                <w:i/>
                <w:iCs/>
                <w:kern w:val="0"/>
                <w:sz w:val="26"/>
                <w:szCs w:val="26"/>
                <w:lang w:val="en-US" w:eastAsia="en-AU"/>
                <w14:ligatures w14:val="none"/>
              </w:rPr>
              <w:t xml:space="preserve">Electricity Infrastructure Investment Act 2020 </w:t>
            </w:r>
            <w:r w:rsidRPr="001B34ED">
              <w:rPr>
                <w:rFonts w:ascii="Corbel" w:eastAsia="Times New Roman" w:hAnsi="Corbel" w:cs="Arial"/>
                <w:iCs/>
                <w:kern w:val="0"/>
                <w:sz w:val="26"/>
                <w:szCs w:val="26"/>
                <w:lang w:val="en-US" w:eastAsia="en-AU"/>
                <w14:ligatures w14:val="none"/>
              </w:rPr>
              <w:t>(NSW) and any regulations made under that Act, as amended from time to time.</w:t>
            </w:r>
          </w:p>
          <w:p w14:paraId="4DEEBF22"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‘Electricity Infrastructure Fund (EIF)’ has the meaning given under the EII Act.</w:t>
            </w:r>
          </w:p>
          <w:p w14:paraId="5B275231"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‘Financial Trustee’ has the meaning given under the EII Act.</w:t>
            </w:r>
          </w:p>
          <w:p w14:paraId="0E890FA6"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‘Long Term Energy Service Agreement (LTESA)’ means an agreement entered between the SFV and a person (project) in accordance with the EII Act.</w:t>
            </w:r>
          </w:p>
          <w:p w14:paraId="3B2A11B8"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‘LTES Operator’ has the meaning given to that term under the EII Act.</w:t>
            </w:r>
          </w:p>
          <w:p w14:paraId="57F6A572"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lastRenderedPageBreak/>
              <w:t>‘Other Agreements’ includes the Tripartite Deed and Project Development Agreement and any other agreement between a Commonwealth-funded project and the SFV, which may include third parties.</w:t>
            </w:r>
          </w:p>
          <w:p w14:paraId="2C35EBF2"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‘Regulator’ has the meaning given in the EII Act.</w:t>
            </w:r>
          </w:p>
          <w:p w14:paraId="2BA95B1D" w14:textId="77777777" w:rsidR="001B34ED" w:rsidRPr="001B34ED" w:rsidRDefault="001B34ED" w:rsidP="001B34ED">
            <w:pPr>
              <w:spacing w:before="80" w:after="80" w:line="240" w:lineRule="auto"/>
              <w:outlineLvl w:val="1"/>
              <w:rPr>
                <w:rFonts w:ascii="Corbel" w:eastAsia="Times New Roman" w:hAnsi="Corbel" w:cs="Arial"/>
                <w:kern w:val="0"/>
                <w:sz w:val="26"/>
                <w:szCs w:val="26"/>
                <w:lang w:eastAsia="en-AU"/>
                <w14:ligatures w14:val="none"/>
              </w:rPr>
            </w:pPr>
            <w:r w:rsidRPr="1285DB88">
              <w:rPr>
                <w:rFonts w:ascii="Corbel" w:eastAsia="Times New Roman" w:hAnsi="Corbel" w:cs="Arial"/>
                <w:kern w:val="0"/>
                <w:sz w:val="26"/>
                <w:szCs w:val="26"/>
                <w:lang w:eastAsia="en-AU"/>
                <w14:ligatures w14:val="none"/>
              </w:rPr>
              <w:t>‘Risk Management Contract’ means the NSW Federation Funding Arrangements Agreement for Tender Round 2 entered into between NSW and the SFV</w:t>
            </w:r>
            <w:r w:rsidRPr="1285DB88" w:rsidDel="001A2847">
              <w:rPr>
                <w:rFonts w:ascii="Corbel" w:eastAsia="Times New Roman" w:hAnsi="Corbel" w:cs="Arial"/>
                <w:kern w:val="0"/>
                <w:sz w:val="26"/>
                <w:szCs w:val="26"/>
                <w:lang w:eastAsia="en-AU"/>
                <w14:ligatures w14:val="none"/>
              </w:rPr>
              <w:t>.</w:t>
            </w:r>
            <w:r w:rsidRPr="1285DB88">
              <w:rPr>
                <w:rFonts w:ascii="Corbel" w:eastAsia="Times New Roman" w:hAnsi="Corbel" w:cs="Arial"/>
                <w:kern w:val="0"/>
                <w:sz w:val="26"/>
                <w:szCs w:val="26"/>
                <w:lang w:eastAsia="en-AU"/>
                <w14:ligatures w14:val="none"/>
              </w:rPr>
              <w:t xml:space="preserve">   </w:t>
            </w:r>
          </w:p>
          <w:p w14:paraId="1B1923DB" w14:textId="77777777" w:rsidR="001B34ED" w:rsidRPr="001B34ED" w:rsidRDefault="001B34ED" w:rsidP="001B34ED">
            <w:pPr>
              <w:spacing w:before="80" w:after="12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‘Scheme Financial Vehicle (SFV)’</w:t>
            </w:r>
            <w:r w:rsidRPr="001B34ED">
              <w:rPr>
                <w:rFonts w:ascii="Calibri" w:eastAsia="Calibri" w:hAnsi="Calibri" w:cs="Arial"/>
                <w:kern w:val="0"/>
                <w:lang w:val="en-US"/>
                <w14:ligatures w14:val="none"/>
              </w:rPr>
              <w:t xml:space="preserve"> </w:t>
            </w:r>
            <w:r w:rsidRPr="001B34ED">
              <w:rPr>
                <w:rFonts w:ascii="Corbel" w:eastAsia="Times New Roman" w:hAnsi="Corbel" w:cs="Arial"/>
                <w:iCs/>
                <w:kern w:val="0"/>
                <w:sz w:val="26"/>
                <w:szCs w:val="26"/>
                <w:lang w:val="en-US" w:eastAsia="en-AU"/>
                <w14:ligatures w14:val="none"/>
              </w:rPr>
              <w:t xml:space="preserve">has the meaning given in the EII Act, which at the date of signing this agreement is Scheme Financial Vehicle Pty Ltd ACN 662 496 479. </w:t>
            </w:r>
          </w:p>
        </w:tc>
      </w:tr>
      <w:tr w:rsidR="001B34ED" w:rsidRPr="001B34ED" w14:paraId="492F650D" w14:textId="77777777" w:rsidTr="00AA0090">
        <w:trPr>
          <w:trHeight w:val="4514"/>
        </w:trPr>
        <w:tc>
          <w:tcPr>
            <w:tcW w:w="1691" w:type="dxa"/>
            <w:shd w:val="clear" w:color="auto" w:fill="auto"/>
          </w:tcPr>
          <w:p w14:paraId="302DC854"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lastRenderedPageBreak/>
              <w:t>Financial Contributions</w:t>
            </w:r>
          </w:p>
        </w:tc>
        <w:tc>
          <w:tcPr>
            <w:tcW w:w="8222" w:type="dxa"/>
            <w:shd w:val="clear" w:color="auto" w:fill="auto"/>
          </w:tcPr>
          <w:p w14:paraId="676B1295" w14:textId="595B4FA7" w:rsidR="001B34ED" w:rsidRPr="001B34ED" w:rsidRDefault="001B34ED" w:rsidP="001B34ED">
            <w:pPr>
              <w:spacing w:before="120" w:beforeAutospacing="1" w:after="120" w:afterAutospacing="1" w:line="240" w:lineRule="auto"/>
              <w:rPr>
                <w:rFonts w:ascii="Corbel" w:eastAsia="Times New Roman" w:hAnsi="Corbel" w:cs="Segoe UI"/>
                <w:noProof/>
                <w:kern w:val="0"/>
                <w:sz w:val="26"/>
                <w:szCs w:val="26"/>
                <w:lang w:val="en-US" w:eastAsia="en-AU"/>
                <w14:ligatures w14:val="none"/>
              </w:rPr>
            </w:pPr>
            <w:r w:rsidRPr="001B34ED">
              <w:rPr>
                <w:rFonts w:ascii="Corbel" w:eastAsia="Times New Roman" w:hAnsi="Corbel" w:cs="Segoe UI"/>
                <w:noProof/>
                <w:kern w:val="0"/>
                <w:sz w:val="26"/>
                <w:szCs w:val="26"/>
                <w:lang w:eastAsia="en-AU"/>
                <w14:ligatures w14:val="none"/>
              </w:rPr>
              <w:t xml:space="preserve">1.  The Commonwealth will provide a total financial </w:t>
            </w:r>
            <w:r w:rsidRPr="001B34ED">
              <w:rPr>
                <w:rFonts w:ascii="Corbel" w:eastAsia="Times New Roman" w:hAnsi="Corbel" w:cs="Segoe UI"/>
                <w:noProof/>
                <w:kern w:val="0"/>
                <w:sz w:val="26"/>
                <w:szCs w:val="26"/>
                <w:lang w:val="en-US" w:eastAsia="en-AU"/>
                <w14:ligatures w14:val="none"/>
              </w:rPr>
              <w:t>contribution to NSW of up to $</w:t>
            </w:r>
            <w:r w:rsidR="002D74B9" w:rsidRPr="002D74B9">
              <w:rPr>
                <w:rFonts w:ascii="Corbel" w:eastAsia="Times New Roman" w:hAnsi="Corbel" w:cs="Segoe UI"/>
                <w:noProof/>
                <w:kern w:val="0"/>
                <w:sz w:val="26"/>
                <w:szCs w:val="26"/>
                <w:highlight w:val="black"/>
                <w:lang w:val="en-US" w:eastAsia="en-AU"/>
                <w14:ligatures w14:val="none"/>
              </w:rPr>
              <w:t>xxx.xxx</w:t>
            </w:r>
            <w:r w:rsidR="002C2179" w:rsidRPr="001B34ED">
              <w:rPr>
                <w:rFonts w:ascii="Corbel" w:eastAsia="Times New Roman" w:hAnsi="Corbel" w:cs="Segoe UI"/>
                <w:noProof/>
                <w:kern w:val="0"/>
                <w:sz w:val="26"/>
                <w:szCs w:val="26"/>
                <w:lang w:val="en-US" w:eastAsia="en-AU"/>
                <w14:ligatures w14:val="none"/>
              </w:rPr>
              <w:t xml:space="preserve"> </w:t>
            </w:r>
            <w:r w:rsidRPr="001B34ED">
              <w:rPr>
                <w:rFonts w:ascii="Corbel" w:eastAsia="Times New Roman" w:hAnsi="Corbel" w:cs="Segoe UI"/>
                <w:noProof/>
                <w:kern w:val="0"/>
                <w:sz w:val="26"/>
                <w:szCs w:val="26"/>
                <w:lang w:val="en-US" w:eastAsia="en-AU"/>
                <w14:ligatures w14:val="none"/>
              </w:rPr>
              <w:t xml:space="preserve">million in respect of this Schedule. This will provide funding for </w:t>
            </w:r>
            <w:r w:rsidRPr="001B34ED">
              <w:rPr>
                <w:rFonts w:ascii="Corbel" w:eastAsia="Times New Roman" w:hAnsi="Corbel" w:cs="Segoe UI"/>
                <w:iCs/>
                <w:noProof/>
                <w:kern w:val="0"/>
                <w:sz w:val="26"/>
                <w:szCs w:val="26"/>
                <w:lang w:eastAsia="en-AU"/>
                <w14:ligatures w14:val="none"/>
              </w:rPr>
              <w:t xml:space="preserve">up to 550 MW for </w:t>
            </w:r>
            <w:r w:rsidRPr="001B34ED">
              <w:rPr>
                <w:rFonts w:ascii="Corbel" w:eastAsia="Times New Roman" w:hAnsi="Corbel" w:cs="Segoe UI"/>
                <w:noProof/>
                <w:kern w:val="0"/>
                <w:sz w:val="26"/>
                <w:szCs w:val="26"/>
                <w:lang w:val="en-US" w:eastAsia="en-AU"/>
                <w14:ligatures w14:val="none"/>
              </w:rPr>
              <w:t>Commonwealth-funded projects resulting from the NSW Electricity Infrastructure Roadmap 2023 Tender Round 2 Firming Infrastructure</w:t>
            </w:r>
            <w:r w:rsidRPr="001B34ED">
              <w:rPr>
                <w:rFonts w:ascii="Corbel" w:eastAsia="Times New Roman" w:hAnsi="Corbel" w:cs="Segoe UI"/>
                <w:iCs/>
                <w:noProof/>
                <w:kern w:val="0"/>
                <w:sz w:val="26"/>
                <w:szCs w:val="26"/>
                <w:lang w:eastAsia="en-AU"/>
                <w14:ligatures w14:val="none"/>
              </w:rPr>
              <w:t>, and administration costs in connection with these projects, on the terms as provided in this Schedule.</w:t>
            </w:r>
            <w:r w:rsidRPr="001B34ED">
              <w:rPr>
                <w:rFonts w:ascii="Corbel" w:eastAsia="Times New Roman" w:hAnsi="Corbel" w:cs="Segoe UI"/>
                <w:iCs/>
                <w:noProof/>
                <w:kern w:val="0"/>
                <w:sz w:val="24"/>
                <w:szCs w:val="24"/>
                <w:lang w:eastAsia="en-AU"/>
                <w14:ligatures w14:val="none"/>
              </w:rPr>
              <w:t xml:space="preserve">  </w:t>
            </w:r>
          </w:p>
          <w:p w14:paraId="11B4D6B1" w14:textId="77777777" w:rsidR="001B34ED" w:rsidRDefault="001B34ED" w:rsidP="001B34ED">
            <w:pPr>
              <w:spacing w:before="120" w:after="120" w:line="240" w:lineRule="auto"/>
              <w:rPr>
                <w:rFonts w:ascii="Calibri" w:eastAsia="Times New Roman" w:hAnsi="Calibri" w:cs="Calibri"/>
                <w:b/>
                <w:bCs/>
                <w:color w:val="44546A"/>
                <w:kern w:val="0"/>
                <w:sz w:val="23"/>
                <w:szCs w:val="23"/>
                <w:lang w:eastAsia="en-AU"/>
                <w14:ligatures w14:val="none"/>
              </w:rPr>
            </w:pPr>
            <w:r w:rsidRPr="001B34ED">
              <w:rPr>
                <w:rFonts w:ascii="Calibri" w:eastAsia="Times New Roman" w:hAnsi="Calibri" w:cs="Calibri"/>
                <w:b/>
                <w:bCs/>
                <w:color w:val="44546A"/>
                <w:kern w:val="0"/>
                <w:sz w:val="23"/>
                <w:szCs w:val="23"/>
                <w:lang w:eastAsia="en-AU"/>
                <w14:ligatures w14:val="none"/>
              </w:rPr>
              <w:t>Table 1</w:t>
            </w:r>
          </w:p>
          <w:tbl>
            <w:tblPr>
              <w:tblStyle w:val="LightShading-Accent11"/>
              <w:tblW w:w="7722" w:type="dxa"/>
              <w:tblLayout w:type="fixed"/>
              <w:tblLook w:val="0660" w:firstRow="1" w:lastRow="1" w:firstColumn="0" w:lastColumn="0" w:noHBand="1" w:noVBand="1"/>
            </w:tblPr>
            <w:tblGrid>
              <w:gridCol w:w="4472"/>
              <w:gridCol w:w="2314"/>
              <w:gridCol w:w="936"/>
            </w:tblGrid>
            <w:tr w:rsidR="00597BE2" w:rsidRPr="001B34ED" w14:paraId="19EA3479" w14:textId="77777777" w:rsidTr="00867DC2">
              <w:trPr>
                <w:cnfStyle w:val="100000000000" w:firstRow="1" w:lastRow="0" w:firstColumn="0" w:lastColumn="0" w:oddVBand="0" w:evenVBand="0" w:oddHBand="0" w:evenHBand="0" w:firstRowFirstColumn="0" w:firstRowLastColumn="0" w:lastRowFirstColumn="0" w:lastRowLastColumn="0"/>
                <w:trHeight w:hRule="exact" w:val="1091"/>
              </w:trPr>
              <w:tc>
                <w:tcPr>
                  <w:tcW w:w="2896" w:type="pct"/>
                  <w:noWrap/>
                </w:tcPr>
                <w:p w14:paraId="049EA4CC" w14:textId="77777777" w:rsidR="00597BE2" w:rsidRPr="001B34ED" w:rsidRDefault="00597BE2" w:rsidP="00597BE2">
                  <w:pPr>
                    <w:widowControl w:val="0"/>
                    <w:rPr>
                      <w:rFonts w:ascii="Calibri" w:hAnsi="Calibri" w:cs="Arial"/>
                      <w:color w:val="44546A"/>
                    </w:rPr>
                  </w:pPr>
                  <w:bookmarkStart w:id="0" w:name="_Hlk187840664"/>
                  <w:r w:rsidRPr="001B34ED">
                    <w:rPr>
                      <w:rFonts w:ascii="Calibri" w:hAnsi="Calibri" w:cs="Arial"/>
                      <w:color w:val="44546A"/>
                    </w:rPr>
                    <w:t>(Financial Year)</w:t>
                  </w:r>
                </w:p>
              </w:tc>
              <w:tc>
                <w:tcPr>
                  <w:tcW w:w="1498" w:type="pct"/>
                </w:tcPr>
                <w:p w14:paraId="084FE168" w14:textId="77777777" w:rsidR="004D5E15" w:rsidRDefault="00597BE2" w:rsidP="00597BE2">
                  <w:pPr>
                    <w:widowControl w:val="0"/>
                    <w:jc w:val="center"/>
                    <w:rPr>
                      <w:rFonts w:ascii="Calibri" w:hAnsi="Calibri" w:cs="Arial"/>
                      <w:b w:val="0"/>
                      <w:bCs w:val="0"/>
                      <w:color w:val="44546A"/>
                    </w:rPr>
                  </w:pPr>
                  <w:r w:rsidRPr="001B34ED">
                    <w:rPr>
                      <w:rFonts w:ascii="Calibri" w:hAnsi="Calibri" w:cs="Arial"/>
                      <w:color w:val="44546A"/>
                    </w:rPr>
                    <w:t>Maximum potential National Partnership Payments to NSW</w:t>
                  </w:r>
                </w:p>
                <w:p w14:paraId="5524E6D9" w14:textId="1B904265" w:rsidR="00597BE2" w:rsidRPr="001B34ED" w:rsidRDefault="004D5E15" w:rsidP="00597BE2">
                  <w:pPr>
                    <w:widowControl w:val="0"/>
                    <w:jc w:val="center"/>
                    <w:rPr>
                      <w:rFonts w:ascii="Calibri" w:hAnsi="Calibri" w:cs="Arial"/>
                      <w:color w:val="44546A"/>
                    </w:rPr>
                  </w:pPr>
                  <w:r>
                    <w:rPr>
                      <w:rFonts w:ascii="Calibri" w:hAnsi="Calibri" w:cs="Arial"/>
                      <w:color w:val="44546A"/>
                    </w:rPr>
                    <w:t xml:space="preserve"> ($ million)</w:t>
                  </w:r>
                </w:p>
              </w:tc>
              <w:tc>
                <w:tcPr>
                  <w:tcW w:w="606" w:type="pct"/>
                </w:tcPr>
                <w:p w14:paraId="03B8EA47" w14:textId="77777777" w:rsidR="00597BE2" w:rsidRPr="001B34ED" w:rsidRDefault="00597BE2" w:rsidP="00597BE2">
                  <w:pPr>
                    <w:widowControl w:val="0"/>
                    <w:ind w:left="720"/>
                    <w:jc w:val="center"/>
                    <w:rPr>
                      <w:rFonts w:ascii="Calibri" w:hAnsi="Calibri" w:cs="Arial"/>
                      <w:color w:val="44546A"/>
                    </w:rPr>
                  </w:pPr>
                  <w:r w:rsidRPr="001B34ED">
                    <w:rPr>
                      <w:rFonts w:ascii="Calibri" w:hAnsi="Calibri" w:cs="Arial"/>
                      <w:color w:val="44546A"/>
                    </w:rPr>
                    <w:t xml:space="preserve"> </w:t>
                  </w:r>
                </w:p>
                <w:p w14:paraId="6800584B" w14:textId="77777777" w:rsidR="00597BE2" w:rsidRPr="001B34ED" w:rsidRDefault="00597BE2" w:rsidP="00597BE2">
                  <w:pPr>
                    <w:widowControl w:val="0"/>
                    <w:rPr>
                      <w:rFonts w:ascii="Calibri" w:hAnsi="Calibri" w:cs="Arial"/>
                      <w:color w:val="44546A"/>
                    </w:rPr>
                  </w:pPr>
                </w:p>
                <w:p w14:paraId="70481F6B" w14:textId="77777777" w:rsidR="00597BE2" w:rsidRPr="001B34ED" w:rsidRDefault="00597BE2" w:rsidP="00597BE2">
                  <w:pPr>
                    <w:widowControl w:val="0"/>
                    <w:rPr>
                      <w:rFonts w:ascii="Calibri" w:hAnsi="Calibri" w:cs="Arial"/>
                      <w:color w:val="44546A"/>
                    </w:rPr>
                  </w:pPr>
                </w:p>
              </w:tc>
            </w:tr>
            <w:tr w:rsidR="00597BE2" w:rsidRPr="001B34ED" w14:paraId="392F0DFA" w14:textId="77777777" w:rsidTr="00867DC2">
              <w:trPr>
                <w:trHeight w:val="397"/>
              </w:trPr>
              <w:tc>
                <w:tcPr>
                  <w:tcW w:w="2896" w:type="pct"/>
                  <w:noWrap/>
                </w:tcPr>
                <w:p w14:paraId="48EBCF50" w14:textId="1391DD4D" w:rsidR="00597BE2" w:rsidRPr="001B34ED" w:rsidRDefault="00597BE2" w:rsidP="00913FB1">
                  <w:pPr>
                    <w:widowControl w:val="0"/>
                    <w:contextualSpacing/>
                    <w:rPr>
                      <w:rFonts w:ascii="Calibri" w:hAnsi="Calibri" w:cs="Arial"/>
                      <w:b/>
                      <w:bCs/>
                      <w:color w:val="44546A"/>
                    </w:rPr>
                  </w:pPr>
                  <w:r w:rsidRPr="001B34ED">
                    <w:rPr>
                      <w:rFonts w:ascii="Calibri" w:hAnsi="Calibri" w:cs="Arial"/>
                      <w:b/>
                      <w:bCs/>
                      <w:color w:val="44546A"/>
                    </w:rPr>
                    <w:t xml:space="preserve">2023-24 </w:t>
                  </w:r>
                </w:p>
              </w:tc>
              <w:tc>
                <w:tcPr>
                  <w:tcW w:w="1498" w:type="pct"/>
                </w:tcPr>
                <w:p w14:paraId="197D033C" w14:textId="1C5AF7F1" w:rsidR="00597BE2"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6BF1E019" w14:textId="77777777" w:rsidR="00597BE2" w:rsidRPr="001B34ED" w:rsidRDefault="00597BE2" w:rsidP="00913FB1">
                  <w:pPr>
                    <w:tabs>
                      <w:tab w:val="decimal" w:pos="360"/>
                    </w:tabs>
                    <w:ind w:left="360"/>
                    <w:contextualSpacing/>
                    <w:rPr>
                      <w:rFonts w:ascii="Calibri" w:hAnsi="Calibri" w:cs="Times New Roman"/>
                      <w:b/>
                      <w:bCs/>
                      <w:color w:val="44546A"/>
                    </w:rPr>
                  </w:pPr>
                </w:p>
              </w:tc>
            </w:tr>
            <w:tr w:rsidR="00597BE2" w:rsidRPr="001B34ED" w14:paraId="2FE0E20F" w14:textId="77777777" w:rsidTr="00867DC2">
              <w:trPr>
                <w:trHeight w:val="397"/>
              </w:trPr>
              <w:tc>
                <w:tcPr>
                  <w:tcW w:w="2896" w:type="pct"/>
                  <w:noWrap/>
                </w:tcPr>
                <w:p w14:paraId="5D380310" w14:textId="69CD1A25" w:rsidR="00597BE2" w:rsidRPr="001B34ED" w:rsidRDefault="00597BE2" w:rsidP="00913FB1">
                  <w:pPr>
                    <w:widowControl w:val="0"/>
                    <w:contextualSpacing/>
                    <w:rPr>
                      <w:rFonts w:ascii="Calibri" w:hAnsi="Calibri" w:cs="Arial"/>
                      <w:b/>
                      <w:bCs/>
                      <w:color w:val="44546A"/>
                    </w:rPr>
                  </w:pPr>
                  <w:r w:rsidRPr="001B34ED">
                    <w:rPr>
                      <w:rFonts w:ascii="Calibri" w:hAnsi="Calibri" w:cs="Arial"/>
                      <w:b/>
                      <w:bCs/>
                      <w:color w:val="44546A"/>
                    </w:rPr>
                    <w:t xml:space="preserve">2024-25 </w:t>
                  </w:r>
                </w:p>
              </w:tc>
              <w:tc>
                <w:tcPr>
                  <w:tcW w:w="1498" w:type="pct"/>
                </w:tcPr>
                <w:p w14:paraId="48DA7572" w14:textId="68E68C40" w:rsidR="00597BE2"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7FD8812F" w14:textId="77777777" w:rsidR="00597BE2" w:rsidRPr="001B34ED" w:rsidRDefault="00597BE2" w:rsidP="00913FB1">
                  <w:pPr>
                    <w:tabs>
                      <w:tab w:val="decimal" w:pos="360"/>
                    </w:tabs>
                    <w:contextualSpacing/>
                    <w:rPr>
                      <w:rFonts w:ascii="Calibri" w:hAnsi="Calibri" w:cs="Times New Roman"/>
                      <w:color w:val="44546A"/>
                    </w:rPr>
                  </w:pPr>
                </w:p>
              </w:tc>
            </w:tr>
            <w:tr w:rsidR="00597BE2" w:rsidRPr="001B34ED" w14:paraId="62A0AE09" w14:textId="77777777" w:rsidTr="00867DC2">
              <w:trPr>
                <w:trHeight w:val="397"/>
              </w:trPr>
              <w:tc>
                <w:tcPr>
                  <w:tcW w:w="2896" w:type="pct"/>
                  <w:noWrap/>
                </w:tcPr>
                <w:p w14:paraId="614D2832" w14:textId="30449A6D" w:rsidR="00597BE2" w:rsidRPr="001B34ED" w:rsidRDefault="00597BE2" w:rsidP="00913FB1">
                  <w:pPr>
                    <w:widowControl w:val="0"/>
                    <w:contextualSpacing/>
                    <w:rPr>
                      <w:rFonts w:ascii="Calibri" w:hAnsi="Calibri" w:cs="Arial"/>
                      <w:b/>
                      <w:bCs/>
                      <w:color w:val="44546A"/>
                    </w:rPr>
                  </w:pPr>
                  <w:r w:rsidRPr="001B34ED">
                    <w:rPr>
                      <w:rFonts w:ascii="Calibri" w:hAnsi="Calibri" w:cs="Arial"/>
                      <w:b/>
                      <w:bCs/>
                      <w:color w:val="44546A"/>
                    </w:rPr>
                    <w:t>2025-26</w:t>
                  </w:r>
                </w:p>
              </w:tc>
              <w:tc>
                <w:tcPr>
                  <w:tcW w:w="1498" w:type="pct"/>
                </w:tcPr>
                <w:p w14:paraId="680C02B1" w14:textId="6F9F59D3" w:rsidR="00597BE2"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2FD03C29" w14:textId="77777777" w:rsidR="00597BE2" w:rsidRPr="001B34ED" w:rsidRDefault="00597BE2" w:rsidP="00913FB1">
                  <w:pPr>
                    <w:tabs>
                      <w:tab w:val="decimal" w:pos="360"/>
                    </w:tabs>
                    <w:contextualSpacing/>
                    <w:rPr>
                      <w:rFonts w:ascii="Calibri" w:hAnsi="Calibri" w:cs="Times New Roman"/>
                      <w:color w:val="44546A"/>
                    </w:rPr>
                  </w:pPr>
                </w:p>
              </w:tc>
            </w:tr>
            <w:tr w:rsidR="00AE6244" w:rsidRPr="001B34ED" w14:paraId="713C420A" w14:textId="77777777" w:rsidTr="00867DC2">
              <w:trPr>
                <w:trHeight w:val="397"/>
              </w:trPr>
              <w:tc>
                <w:tcPr>
                  <w:tcW w:w="2896" w:type="pct"/>
                  <w:noWrap/>
                </w:tcPr>
                <w:p w14:paraId="1674CEC2" w14:textId="19546DBB" w:rsidR="00AE6244" w:rsidRPr="001B34ED" w:rsidRDefault="00AE6244" w:rsidP="00913FB1">
                  <w:pPr>
                    <w:widowControl w:val="0"/>
                    <w:contextualSpacing/>
                    <w:rPr>
                      <w:rFonts w:ascii="Calibri" w:hAnsi="Calibri" w:cs="Arial"/>
                      <w:color w:val="44546A"/>
                    </w:rPr>
                  </w:pPr>
                  <w:r w:rsidRPr="001B34ED">
                    <w:rPr>
                      <w:rFonts w:ascii="Calibri" w:hAnsi="Calibri" w:cs="Arial"/>
                      <w:b/>
                      <w:bCs/>
                      <w:color w:val="44546A"/>
                    </w:rPr>
                    <w:t>2026-27</w:t>
                  </w:r>
                </w:p>
              </w:tc>
              <w:tc>
                <w:tcPr>
                  <w:tcW w:w="1498" w:type="pct"/>
                </w:tcPr>
                <w:p w14:paraId="7A20A84E" w14:textId="4F45E70B" w:rsidR="00AE6244"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51E5A01C" w14:textId="77777777" w:rsidR="00AE6244" w:rsidRPr="001B34ED" w:rsidRDefault="00AE6244" w:rsidP="00913FB1">
                  <w:pPr>
                    <w:tabs>
                      <w:tab w:val="decimal" w:pos="360"/>
                    </w:tabs>
                    <w:contextualSpacing/>
                    <w:rPr>
                      <w:rFonts w:ascii="Calibri" w:hAnsi="Calibri" w:cs="Times New Roman"/>
                      <w:color w:val="44546A"/>
                    </w:rPr>
                  </w:pPr>
                </w:p>
              </w:tc>
            </w:tr>
            <w:tr w:rsidR="00477507" w:rsidRPr="001B34ED" w14:paraId="4C4E5FAE" w14:textId="77777777" w:rsidTr="00867DC2">
              <w:trPr>
                <w:trHeight w:val="397"/>
              </w:trPr>
              <w:tc>
                <w:tcPr>
                  <w:tcW w:w="2896" w:type="pct"/>
                  <w:noWrap/>
                </w:tcPr>
                <w:p w14:paraId="2BC122DF" w14:textId="40FF419B" w:rsidR="00477507" w:rsidRPr="001B34ED" w:rsidRDefault="00477507" w:rsidP="00913FB1">
                  <w:pPr>
                    <w:widowControl w:val="0"/>
                    <w:contextualSpacing/>
                    <w:rPr>
                      <w:rFonts w:ascii="Calibri" w:hAnsi="Calibri" w:cs="Arial"/>
                      <w:b/>
                      <w:bCs/>
                      <w:color w:val="44546A"/>
                    </w:rPr>
                  </w:pPr>
                  <w:r w:rsidRPr="001B34ED">
                    <w:rPr>
                      <w:rFonts w:ascii="Calibri" w:hAnsi="Calibri" w:cs="Arial"/>
                      <w:b/>
                      <w:bCs/>
                      <w:color w:val="44546A"/>
                    </w:rPr>
                    <w:t>202</w:t>
                  </w:r>
                  <w:r>
                    <w:rPr>
                      <w:rFonts w:ascii="Calibri" w:hAnsi="Calibri" w:cs="Arial"/>
                      <w:b/>
                      <w:bCs/>
                      <w:color w:val="44546A"/>
                    </w:rPr>
                    <w:t>7</w:t>
                  </w:r>
                  <w:r w:rsidRPr="001B34ED">
                    <w:rPr>
                      <w:rFonts w:ascii="Calibri" w:hAnsi="Calibri" w:cs="Arial"/>
                      <w:b/>
                      <w:bCs/>
                      <w:color w:val="44546A"/>
                    </w:rPr>
                    <w:t>-28</w:t>
                  </w:r>
                </w:p>
              </w:tc>
              <w:tc>
                <w:tcPr>
                  <w:tcW w:w="1498" w:type="pct"/>
                </w:tcPr>
                <w:p w14:paraId="2B63866D" w14:textId="47BD6058" w:rsidR="00477507"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2428CD08" w14:textId="77777777" w:rsidR="00477507" w:rsidRPr="001B34ED" w:rsidRDefault="00477507" w:rsidP="00913FB1">
                  <w:pPr>
                    <w:tabs>
                      <w:tab w:val="decimal" w:pos="360"/>
                    </w:tabs>
                    <w:contextualSpacing/>
                    <w:rPr>
                      <w:rFonts w:ascii="Calibri" w:hAnsi="Calibri" w:cs="Times New Roman"/>
                      <w:color w:val="44546A"/>
                    </w:rPr>
                  </w:pPr>
                </w:p>
              </w:tc>
            </w:tr>
            <w:tr w:rsidR="00AE6244" w:rsidRPr="001B34ED" w14:paraId="3E9D19E0" w14:textId="77777777" w:rsidTr="00867DC2">
              <w:trPr>
                <w:trHeight w:val="397"/>
              </w:trPr>
              <w:tc>
                <w:tcPr>
                  <w:tcW w:w="2896" w:type="pct"/>
                  <w:noWrap/>
                </w:tcPr>
                <w:p w14:paraId="15593F10" w14:textId="35AC6D11"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202</w:t>
                  </w:r>
                  <w:r>
                    <w:rPr>
                      <w:rFonts w:ascii="Calibri" w:hAnsi="Calibri" w:cs="Arial"/>
                      <w:b/>
                      <w:bCs/>
                      <w:color w:val="44546A"/>
                    </w:rPr>
                    <w:t>8</w:t>
                  </w:r>
                  <w:r w:rsidRPr="001B34ED">
                    <w:rPr>
                      <w:rFonts w:ascii="Calibri" w:hAnsi="Calibri" w:cs="Arial"/>
                      <w:b/>
                      <w:bCs/>
                      <w:color w:val="44546A"/>
                    </w:rPr>
                    <w:t>-2</w:t>
                  </w:r>
                  <w:r w:rsidR="00477507">
                    <w:rPr>
                      <w:rFonts w:ascii="Calibri" w:hAnsi="Calibri" w:cs="Arial"/>
                      <w:b/>
                      <w:bCs/>
                      <w:color w:val="44546A"/>
                    </w:rPr>
                    <w:t>9</w:t>
                  </w:r>
                </w:p>
              </w:tc>
              <w:tc>
                <w:tcPr>
                  <w:tcW w:w="1498" w:type="pct"/>
                </w:tcPr>
                <w:p w14:paraId="1BD50AC0" w14:textId="4725F785" w:rsidR="00AE6244" w:rsidRPr="002D74B9" w:rsidRDefault="002D74B9" w:rsidP="002D74B9">
                  <w:pPr>
                    <w:tabs>
                      <w:tab w:val="decimal" w:pos="360"/>
                    </w:tabs>
                    <w:ind w:left="360"/>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570A3B98" w14:textId="77777777" w:rsidR="00AE6244" w:rsidRPr="001B34ED" w:rsidRDefault="00AE6244" w:rsidP="00913FB1">
                  <w:pPr>
                    <w:tabs>
                      <w:tab w:val="decimal" w:pos="360"/>
                    </w:tabs>
                    <w:contextualSpacing/>
                    <w:rPr>
                      <w:rFonts w:ascii="Calibri" w:hAnsi="Calibri" w:cs="Times New Roman"/>
                      <w:color w:val="44546A"/>
                    </w:rPr>
                  </w:pPr>
                </w:p>
              </w:tc>
            </w:tr>
            <w:tr w:rsidR="00597BE2" w:rsidRPr="001B34ED" w14:paraId="62580D57" w14:textId="77777777" w:rsidTr="00867DC2">
              <w:trPr>
                <w:trHeight w:val="397"/>
              </w:trPr>
              <w:tc>
                <w:tcPr>
                  <w:tcW w:w="2896" w:type="pct"/>
                  <w:noWrap/>
                </w:tcPr>
                <w:p w14:paraId="45E1B539" w14:textId="46090644" w:rsidR="00597BE2" w:rsidRPr="00595C4B" w:rsidRDefault="00AE6244" w:rsidP="00913FB1">
                  <w:pPr>
                    <w:widowControl w:val="0"/>
                    <w:contextualSpacing/>
                    <w:rPr>
                      <w:rFonts w:ascii="Calibri" w:hAnsi="Calibri" w:cs="Arial"/>
                      <w:b/>
                      <w:bCs/>
                      <w:color w:val="44546A"/>
                    </w:rPr>
                  </w:pPr>
                  <w:r w:rsidRPr="001B34ED">
                    <w:rPr>
                      <w:rFonts w:ascii="Calibri" w:hAnsi="Calibri" w:cs="Arial"/>
                      <w:b/>
                      <w:bCs/>
                      <w:color w:val="44546A"/>
                    </w:rPr>
                    <w:t>202</w:t>
                  </w:r>
                  <w:r>
                    <w:rPr>
                      <w:rFonts w:ascii="Calibri" w:hAnsi="Calibri" w:cs="Arial"/>
                      <w:b/>
                      <w:bCs/>
                      <w:color w:val="44546A"/>
                    </w:rPr>
                    <w:t>9</w:t>
                  </w:r>
                  <w:r w:rsidRPr="001B34ED">
                    <w:rPr>
                      <w:rFonts w:ascii="Calibri" w:hAnsi="Calibri" w:cs="Arial"/>
                      <w:b/>
                      <w:bCs/>
                      <w:color w:val="44546A"/>
                    </w:rPr>
                    <w:t>-</w:t>
                  </w:r>
                  <w:r w:rsidR="00477507">
                    <w:rPr>
                      <w:rFonts w:ascii="Calibri" w:hAnsi="Calibri" w:cs="Arial"/>
                      <w:b/>
                      <w:bCs/>
                      <w:color w:val="44546A"/>
                    </w:rPr>
                    <w:t>30</w:t>
                  </w:r>
                </w:p>
              </w:tc>
              <w:tc>
                <w:tcPr>
                  <w:tcW w:w="1498" w:type="pct"/>
                </w:tcPr>
                <w:p w14:paraId="2A0D43BE" w14:textId="5698A5E9" w:rsidR="00597BE2"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59EC8931" w14:textId="77777777" w:rsidR="00597BE2" w:rsidRPr="001B34ED" w:rsidRDefault="00597BE2" w:rsidP="00913FB1">
                  <w:pPr>
                    <w:tabs>
                      <w:tab w:val="decimal" w:pos="360"/>
                    </w:tabs>
                    <w:contextualSpacing/>
                    <w:rPr>
                      <w:rFonts w:ascii="Calibri" w:hAnsi="Calibri" w:cs="Times New Roman"/>
                      <w:color w:val="44546A"/>
                    </w:rPr>
                  </w:pPr>
                </w:p>
              </w:tc>
            </w:tr>
            <w:tr w:rsidR="00AE6244" w:rsidRPr="001B34ED" w14:paraId="0B9D1729" w14:textId="77777777" w:rsidTr="00867DC2">
              <w:trPr>
                <w:trHeight w:val="397"/>
              </w:trPr>
              <w:tc>
                <w:tcPr>
                  <w:tcW w:w="2896" w:type="pct"/>
                  <w:noWrap/>
                </w:tcPr>
                <w:p w14:paraId="0522618C" w14:textId="7B8D0EC4"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30</w:t>
                  </w:r>
                  <w:r w:rsidRPr="001B34ED">
                    <w:rPr>
                      <w:rFonts w:ascii="Calibri" w:hAnsi="Calibri" w:cs="Arial"/>
                      <w:b/>
                      <w:bCs/>
                      <w:color w:val="44546A"/>
                    </w:rPr>
                    <w:t>-</w:t>
                  </w:r>
                  <w:r w:rsidR="00477507">
                    <w:rPr>
                      <w:rFonts w:ascii="Calibri" w:hAnsi="Calibri" w:cs="Arial"/>
                      <w:b/>
                      <w:bCs/>
                      <w:color w:val="44546A"/>
                    </w:rPr>
                    <w:t>31</w:t>
                  </w:r>
                </w:p>
              </w:tc>
              <w:tc>
                <w:tcPr>
                  <w:tcW w:w="1498" w:type="pct"/>
                </w:tcPr>
                <w:p w14:paraId="1304FD52" w14:textId="5FEE08AE"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4176F4E0" w14:textId="77777777" w:rsidR="00AE6244" w:rsidRPr="001B34ED" w:rsidRDefault="00AE6244" w:rsidP="00913FB1">
                  <w:pPr>
                    <w:tabs>
                      <w:tab w:val="decimal" w:pos="360"/>
                    </w:tabs>
                    <w:contextualSpacing/>
                    <w:rPr>
                      <w:rFonts w:ascii="Calibri" w:hAnsi="Calibri" w:cs="Times New Roman"/>
                      <w:color w:val="44546A"/>
                    </w:rPr>
                  </w:pPr>
                </w:p>
              </w:tc>
            </w:tr>
            <w:tr w:rsidR="00AE6244" w:rsidRPr="001B34ED" w14:paraId="0F82D78B" w14:textId="77777777" w:rsidTr="00867DC2">
              <w:trPr>
                <w:trHeight w:val="397"/>
              </w:trPr>
              <w:tc>
                <w:tcPr>
                  <w:tcW w:w="2896" w:type="pct"/>
                  <w:noWrap/>
                </w:tcPr>
                <w:p w14:paraId="295DC50E" w14:textId="26AD8B11"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31</w:t>
                  </w:r>
                  <w:r w:rsidRPr="001B34ED">
                    <w:rPr>
                      <w:rFonts w:ascii="Calibri" w:hAnsi="Calibri" w:cs="Arial"/>
                      <w:b/>
                      <w:bCs/>
                      <w:color w:val="44546A"/>
                    </w:rPr>
                    <w:t>-</w:t>
                  </w:r>
                  <w:r w:rsidR="00477507">
                    <w:rPr>
                      <w:rFonts w:ascii="Calibri" w:hAnsi="Calibri" w:cs="Arial"/>
                      <w:b/>
                      <w:bCs/>
                      <w:color w:val="44546A"/>
                    </w:rPr>
                    <w:t>32</w:t>
                  </w:r>
                </w:p>
              </w:tc>
              <w:tc>
                <w:tcPr>
                  <w:tcW w:w="1498" w:type="pct"/>
                </w:tcPr>
                <w:p w14:paraId="0D5D6D9A" w14:textId="465DD7B0"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5442534F" w14:textId="77777777" w:rsidR="00AE6244" w:rsidRPr="001B34ED" w:rsidRDefault="00AE6244" w:rsidP="00913FB1">
                  <w:pPr>
                    <w:tabs>
                      <w:tab w:val="decimal" w:pos="360"/>
                    </w:tabs>
                    <w:contextualSpacing/>
                    <w:rPr>
                      <w:rFonts w:ascii="Calibri" w:hAnsi="Calibri" w:cs="Times New Roman"/>
                      <w:color w:val="44546A"/>
                    </w:rPr>
                  </w:pPr>
                </w:p>
              </w:tc>
            </w:tr>
            <w:tr w:rsidR="00AE6244" w:rsidRPr="001B34ED" w14:paraId="151ECC5D" w14:textId="77777777" w:rsidTr="00867DC2">
              <w:trPr>
                <w:trHeight w:val="397"/>
              </w:trPr>
              <w:tc>
                <w:tcPr>
                  <w:tcW w:w="2896" w:type="pct"/>
                  <w:noWrap/>
                </w:tcPr>
                <w:p w14:paraId="29939ACE" w14:textId="641279C6"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32</w:t>
                  </w:r>
                  <w:r w:rsidRPr="001B34ED">
                    <w:rPr>
                      <w:rFonts w:ascii="Calibri" w:hAnsi="Calibri" w:cs="Arial"/>
                      <w:b/>
                      <w:bCs/>
                      <w:color w:val="44546A"/>
                    </w:rPr>
                    <w:t>-</w:t>
                  </w:r>
                  <w:r w:rsidR="00477507">
                    <w:rPr>
                      <w:rFonts w:ascii="Calibri" w:hAnsi="Calibri" w:cs="Arial"/>
                      <w:b/>
                      <w:bCs/>
                      <w:color w:val="44546A"/>
                    </w:rPr>
                    <w:t>33</w:t>
                  </w:r>
                </w:p>
              </w:tc>
              <w:tc>
                <w:tcPr>
                  <w:tcW w:w="1498" w:type="pct"/>
                </w:tcPr>
                <w:p w14:paraId="1EA6AA3A" w14:textId="38FEC259"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7ADD414B" w14:textId="77777777" w:rsidR="00AE6244" w:rsidRPr="001B34ED" w:rsidRDefault="00AE6244" w:rsidP="00913FB1">
                  <w:pPr>
                    <w:tabs>
                      <w:tab w:val="decimal" w:pos="360"/>
                    </w:tabs>
                    <w:contextualSpacing/>
                    <w:rPr>
                      <w:rFonts w:ascii="Calibri" w:hAnsi="Calibri" w:cs="Times New Roman"/>
                      <w:color w:val="44546A"/>
                    </w:rPr>
                  </w:pPr>
                </w:p>
              </w:tc>
            </w:tr>
            <w:tr w:rsidR="00AE6244" w:rsidRPr="001B34ED" w14:paraId="00A41E2B" w14:textId="77777777" w:rsidTr="00867DC2">
              <w:trPr>
                <w:trHeight w:val="397"/>
              </w:trPr>
              <w:tc>
                <w:tcPr>
                  <w:tcW w:w="2896" w:type="pct"/>
                  <w:noWrap/>
                </w:tcPr>
                <w:p w14:paraId="13ED586A" w14:textId="6535A156"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33</w:t>
                  </w:r>
                  <w:r w:rsidRPr="001B34ED">
                    <w:rPr>
                      <w:rFonts w:ascii="Calibri" w:hAnsi="Calibri" w:cs="Arial"/>
                      <w:b/>
                      <w:bCs/>
                      <w:color w:val="44546A"/>
                    </w:rPr>
                    <w:t>-</w:t>
                  </w:r>
                  <w:r w:rsidR="00477507">
                    <w:rPr>
                      <w:rFonts w:ascii="Calibri" w:hAnsi="Calibri" w:cs="Arial"/>
                      <w:b/>
                      <w:bCs/>
                      <w:color w:val="44546A"/>
                    </w:rPr>
                    <w:t>34</w:t>
                  </w:r>
                </w:p>
              </w:tc>
              <w:tc>
                <w:tcPr>
                  <w:tcW w:w="1498" w:type="pct"/>
                </w:tcPr>
                <w:p w14:paraId="13659B66" w14:textId="4E6ABE6B"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3C075712" w14:textId="77777777" w:rsidR="00AE6244" w:rsidRPr="001B34ED" w:rsidRDefault="00AE6244" w:rsidP="00913FB1">
                  <w:pPr>
                    <w:tabs>
                      <w:tab w:val="decimal" w:pos="360"/>
                    </w:tabs>
                    <w:contextualSpacing/>
                    <w:rPr>
                      <w:rFonts w:ascii="Calibri" w:hAnsi="Calibri" w:cs="Times New Roman"/>
                      <w:color w:val="44546A"/>
                    </w:rPr>
                  </w:pPr>
                </w:p>
              </w:tc>
            </w:tr>
            <w:tr w:rsidR="00AE6244" w:rsidRPr="001B34ED" w14:paraId="39423DB0" w14:textId="77777777" w:rsidTr="00867DC2">
              <w:trPr>
                <w:trHeight w:val="397"/>
              </w:trPr>
              <w:tc>
                <w:tcPr>
                  <w:tcW w:w="2896" w:type="pct"/>
                  <w:noWrap/>
                </w:tcPr>
                <w:p w14:paraId="3325F5D1" w14:textId="3178FD3C"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34</w:t>
                  </w:r>
                  <w:r w:rsidRPr="001B34ED">
                    <w:rPr>
                      <w:rFonts w:ascii="Calibri" w:hAnsi="Calibri" w:cs="Arial"/>
                      <w:b/>
                      <w:bCs/>
                      <w:color w:val="44546A"/>
                    </w:rPr>
                    <w:t>-</w:t>
                  </w:r>
                  <w:r w:rsidR="00477507">
                    <w:rPr>
                      <w:rFonts w:ascii="Calibri" w:hAnsi="Calibri" w:cs="Arial"/>
                      <w:b/>
                      <w:bCs/>
                      <w:color w:val="44546A"/>
                    </w:rPr>
                    <w:t>35</w:t>
                  </w:r>
                </w:p>
              </w:tc>
              <w:tc>
                <w:tcPr>
                  <w:tcW w:w="1498" w:type="pct"/>
                </w:tcPr>
                <w:p w14:paraId="5254347C" w14:textId="50E4085B"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r w:rsidRPr="002D74B9">
                    <w:rPr>
                      <w:rFonts w:ascii="Calibri" w:hAnsi="Calibri" w:cs="Times New Roman"/>
                      <w:b/>
                      <w:bCs/>
                      <w:color w:val="auto"/>
                      <w:highlight w:val="black"/>
                    </w:rPr>
                    <w:t xml:space="preserve"> </w:t>
                  </w:r>
                </w:p>
              </w:tc>
              <w:tc>
                <w:tcPr>
                  <w:tcW w:w="606" w:type="pct"/>
                </w:tcPr>
                <w:p w14:paraId="036E4B0F" w14:textId="77777777" w:rsidR="00AE6244" w:rsidRPr="001B34ED" w:rsidRDefault="00AE6244" w:rsidP="00913FB1">
                  <w:pPr>
                    <w:tabs>
                      <w:tab w:val="decimal" w:pos="360"/>
                    </w:tabs>
                    <w:contextualSpacing/>
                    <w:rPr>
                      <w:rFonts w:ascii="Calibri" w:hAnsi="Calibri" w:cs="Times New Roman"/>
                      <w:color w:val="44546A"/>
                    </w:rPr>
                  </w:pPr>
                </w:p>
              </w:tc>
            </w:tr>
            <w:tr w:rsidR="00AE6244" w:rsidRPr="001B34ED" w14:paraId="7E39811D" w14:textId="77777777" w:rsidTr="00867DC2">
              <w:trPr>
                <w:trHeight w:val="397"/>
              </w:trPr>
              <w:tc>
                <w:tcPr>
                  <w:tcW w:w="2896" w:type="pct"/>
                  <w:noWrap/>
                </w:tcPr>
                <w:p w14:paraId="3D456E77" w14:textId="7F675718" w:rsidR="00AE6244" w:rsidRPr="001B34ED" w:rsidRDefault="00AE6244" w:rsidP="00913FB1">
                  <w:pPr>
                    <w:widowControl w:val="0"/>
                    <w:contextualSpacing/>
                    <w:rPr>
                      <w:rFonts w:ascii="Calibri" w:hAnsi="Calibri" w:cs="Arial"/>
                      <w:b/>
                      <w:bCs/>
                      <w:color w:val="44546A"/>
                    </w:rPr>
                  </w:pPr>
                  <w:r w:rsidRPr="001B34ED">
                    <w:rPr>
                      <w:rFonts w:ascii="Calibri" w:hAnsi="Calibri" w:cs="Arial"/>
                      <w:b/>
                      <w:bCs/>
                      <w:color w:val="44546A"/>
                    </w:rPr>
                    <w:t>20</w:t>
                  </w:r>
                  <w:r>
                    <w:rPr>
                      <w:rFonts w:ascii="Calibri" w:hAnsi="Calibri" w:cs="Arial"/>
                      <w:b/>
                      <w:bCs/>
                      <w:color w:val="44546A"/>
                    </w:rPr>
                    <w:t>35</w:t>
                  </w:r>
                  <w:r w:rsidRPr="001B34ED">
                    <w:rPr>
                      <w:rFonts w:ascii="Calibri" w:hAnsi="Calibri" w:cs="Arial"/>
                      <w:b/>
                      <w:bCs/>
                      <w:color w:val="44546A"/>
                    </w:rPr>
                    <w:t>-</w:t>
                  </w:r>
                  <w:r w:rsidR="00477507">
                    <w:rPr>
                      <w:rFonts w:ascii="Calibri" w:hAnsi="Calibri" w:cs="Arial"/>
                      <w:b/>
                      <w:bCs/>
                      <w:color w:val="44546A"/>
                    </w:rPr>
                    <w:t>36</w:t>
                  </w:r>
                </w:p>
              </w:tc>
              <w:tc>
                <w:tcPr>
                  <w:tcW w:w="1498" w:type="pct"/>
                </w:tcPr>
                <w:p w14:paraId="2BABA9CB" w14:textId="48A66645" w:rsidR="00AE6244" w:rsidRPr="002D74B9" w:rsidRDefault="002D74B9" w:rsidP="002D74B9">
                  <w:pPr>
                    <w:tabs>
                      <w:tab w:val="decimal" w:pos="360"/>
                    </w:tabs>
                    <w:contextualSpacing/>
                    <w:jc w:val="center"/>
                    <w:rPr>
                      <w:rFonts w:ascii="Calibri" w:hAnsi="Calibri" w:cs="Times New Roman"/>
                      <w:b/>
                      <w:bCs/>
                      <w:color w:val="auto"/>
                      <w:highlight w:val="black"/>
                    </w:rPr>
                  </w:pPr>
                  <w:r w:rsidRPr="002D74B9">
                    <w:rPr>
                      <w:rFonts w:ascii="Calibri" w:hAnsi="Calibri" w:cs="Times New Roman"/>
                      <w:b/>
                      <w:bCs/>
                      <w:color w:val="auto"/>
                      <w:highlight w:val="black"/>
                    </w:rPr>
                    <w:t>x.xxx</w:t>
                  </w:r>
                </w:p>
              </w:tc>
              <w:tc>
                <w:tcPr>
                  <w:tcW w:w="606" w:type="pct"/>
                </w:tcPr>
                <w:p w14:paraId="739D8D10" w14:textId="77777777" w:rsidR="00AE6244" w:rsidRPr="001B34ED" w:rsidRDefault="00AE6244" w:rsidP="00913FB1">
                  <w:pPr>
                    <w:tabs>
                      <w:tab w:val="decimal" w:pos="360"/>
                    </w:tabs>
                    <w:contextualSpacing/>
                    <w:rPr>
                      <w:rFonts w:ascii="Calibri" w:hAnsi="Calibri" w:cs="Times New Roman"/>
                      <w:color w:val="44546A"/>
                    </w:rPr>
                  </w:pPr>
                </w:p>
              </w:tc>
            </w:tr>
            <w:tr w:rsidR="00597BE2" w:rsidRPr="001B34ED" w14:paraId="256955E3" w14:textId="77777777" w:rsidTr="00867DC2">
              <w:trPr>
                <w:trHeight w:val="397"/>
              </w:trPr>
              <w:tc>
                <w:tcPr>
                  <w:tcW w:w="2896" w:type="pct"/>
                  <w:noWrap/>
                </w:tcPr>
                <w:p w14:paraId="5D4A6011" w14:textId="0B2DA1C9" w:rsidR="00597BE2" w:rsidRPr="00913FB1" w:rsidRDefault="00597BE2" w:rsidP="00913FB1">
                  <w:pPr>
                    <w:widowControl w:val="0"/>
                    <w:contextualSpacing/>
                    <w:rPr>
                      <w:rFonts w:ascii="Calibri" w:hAnsi="Calibri" w:cs="Arial"/>
                      <w:b/>
                      <w:bCs/>
                      <w:color w:val="44546A"/>
                    </w:rPr>
                  </w:pPr>
                </w:p>
              </w:tc>
              <w:tc>
                <w:tcPr>
                  <w:tcW w:w="1498" w:type="pct"/>
                </w:tcPr>
                <w:p w14:paraId="095457ED" w14:textId="782A55E1" w:rsidR="00597BE2" w:rsidRPr="002D74B9" w:rsidRDefault="00597BE2" w:rsidP="00913FB1">
                  <w:pPr>
                    <w:tabs>
                      <w:tab w:val="decimal" w:pos="360"/>
                    </w:tabs>
                    <w:contextualSpacing/>
                    <w:rPr>
                      <w:rFonts w:ascii="Calibri" w:hAnsi="Calibri" w:cs="Times New Roman"/>
                      <w:b/>
                      <w:bCs/>
                      <w:color w:val="auto"/>
                      <w:highlight w:val="black"/>
                    </w:rPr>
                  </w:pPr>
                </w:p>
              </w:tc>
              <w:tc>
                <w:tcPr>
                  <w:tcW w:w="606" w:type="pct"/>
                </w:tcPr>
                <w:p w14:paraId="03BDDA38" w14:textId="77777777" w:rsidR="00597BE2" w:rsidRPr="001B34ED" w:rsidRDefault="00597BE2" w:rsidP="00913FB1">
                  <w:pPr>
                    <w:tabs>
                      <w:tab w:val="decimal" w:pos="360"/>
                    </w:tabs>
                    <w:contextualSpacing/>
                    <w:rPr>
                      <w:rFonts w:ascii="Calibri" w:hAnsi="Calibri" w:cs="Times New Roman"/>
                      <w:color w:val="44546A"/>
                    </w:rPr>
                  </w:pPr>
                </w:p>
              </w:tc>
            </w:tr>
            <w:tr w:rsidR="00130645" w:rsidRPr="001B34ED" w14:paraId="066483A1" w14:textId="77777777" w:rsidTr="00867DC2">
              <w:trPr>
                <w:cnfStyle w:val="010000000000" w:firstRow="0" w:lastRow="1" w:firstColumn="0" w:lastColumn="0" w:oddVBand="0" w:evenVBand="0" w:oddHBand="0" w:evenHBand="0" w:firstRowFirstColumn="0" w:firstRowLastColumn="0" w:lastRowFirstColumn="0" w:lastRowLastColumn="0"/>
                <w:trHeight w:hRule="exact" w:val="252"/>
              </w:trPr>
              <w:tc>
                <w:tcPr>
                  <w:tcW w:w="2896" w:type="pct"/>
                  <w:noWrap/>
                </w:tcPr>
                <w:p w14:paraId="55109A23" w14:textId="42FFE6AD" w:rsidR="00130645" w:rsidRPr="001B34ED" w:rsidRDefault="00130645" w:rsidP="00130645">
                  <w:pPr>
                    <w:widowControl w:val="0"/>
                    <w:rPr>
                      <w:rFonts w:ascii="Calibri" w:hAnsi="Calibri" w:cs="Arial"/>
                    </w:rPr>
                  </w:pPr>
                  <w:r w:rsidRPr="001B34ED">
                    <w:rPr>
                      <w:rFonts w:ascii="Calibri" w:hAnsi="Calibri" w:cs="Arial"/>
                      <w:color w:val="44546A"/>
                    </w:rPr>
                    <w:t xml:space="preserve">Total  </w:t>
                  </w:r>
                </w:p>
              </w:tc>
              <w:tc>
                <w:tcPr>
                  <w:tcW w:w="1498" w:type="pct"/>
                </w:tcPr>
                <w:p w14:paraId="78F62526" w14:textId="122445EA" w:rsidR="00130645" w:rsidRPr="002D74B9" w:rsidRDefault="002D74B9" w:rsidP="002D74B9">
                  <w:pPr>
                    <w:tabs>
                      <w:tab w:val="decimal" w:pos="360"/>
                    </w:tabs>
                    <w:spacing w:after="200" w:line="276" w:lineRule="auto"/>
                    <w:jc w:val="center"/>
                    <w:rPr>
                      <w:rFonts w:ascii="Calibri" w:hAnsi="Calibri" w:cs="Times New Roman"/>
                      <w:color w:val="auto"/>
                      <w:highlight w:val="black"/>
                    </w:rPr>
                  </w:pPr>
                  <w:r w:rsidRPr="002D74B9">
                    <w:rPr>
                      <w:rFonts w:ascii="Calibri" w:hAnsi="Calibri" w:cs="Times New Roman"/>
                      <w:b w:val="0"/>
                      <w:bCs w:val="0"/>
                      <w:color w:val="auto"/>
                      <w:highlight w:val="black"/>
                    </w:rPr>
                    <w:t>x.xxx</w:t>
                  </w:r>
                </w:p>
              </w:tc>
              <w:tc>
                <w:tcPr>
                  <w:tcW w:w="606" w:type="pct"/>
                </w:tcPr>
                <w:p w14:paraId="15FC2D5A" w14:textId="77777777" w:rsidR="00130645" w:rsidRPr="001B34ED" w:rsidRDefault="00130645" w:rsidP="00130645">
                  <w:pPr>
                    <w:tabs>
                      <w:tab w:val="decimal" w:pos="360"/>
                    </w:tabs>
                    <w:spacing w:after="200" w:line="276" w:lineRule="auto"/>
                    <w:rPr>
                      <w:rFonts w:ascii="Calibri" w:hAnsi="Calibri" w:cs="Times New Roman"/>
                    </w:rPr>
                  </w:pPr>
                </w:p>
              </w:tc>
            </w:tr>
            <w:bookmarkEnd w:id="0"/>
          </w:tbl>
          <w:p w14:paraId="265344E8" w14:textId="77777777" w:rsidR="00597BE2" w:rsidRPr="001B34ED" w:rsidRDefault="00597BE2" w:rsidP="001B34ED">
            <w:pPr>
              <w:spacing w:before="120" w:after="120" w:line="240" w:lineRule="auto"/>
              <w:rPr>
                <w:rFonts w:ascii="Calibri" w:eastAsia="Times New Roman" w:hAnsi="Calibri" w:cs="Calibri"/>
                <w:b/>
                <w:bCs/>
                <w:noProof/>
                <w:kern w:val="0"/>
                <w:sz w:val="23"/>
                <w:szCs w:val="23"/>
                <w:lang w:val="en-US" w:eastAsia="en-AU"/>
                <w14:ligatures w14:val="none"/>
              </w:rPr>
            </w:pPr>
          </w:p>
          <w:p w14:paraId="06AB94F5"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Times New Roman" w:eastAsia="Times New Roman" w:hAnsi="Times New Roman" w:cs="Times New Roman"/>
                <w:noProof/>
                <w:kern w:val="0"/>
                <w:sz w:val="24"/>
                <w:szCs w:val="24"/>
                <w:lang w:eastAsia="en-AU"/>
                <w14:ligatures w14:val="none"/>
              </w:rPr>
              <w:lastRenderedPageBreak/>
              <mc:AlternateContent>
                <mc:Choice Requires="wps">
                  <w:drawing>
                    <wp:anchor distT="45720" distB="45720" distL="114300" distR="114300" simplePos="0" relativeHeight="251658240" behindDoc="0" locked="0" layoutInCell="1" allowOverlap="1" wp14:anchorId="1113C492" wp14:editId="3E68C78B">
                      <wp:simplePos x="0" y="0"/>
                      <wp:positionH relativeFrom="column">
                        <wp:posOffset>4775688</wp:posOffset>
                      </wp:positionH>
                      <wp:positionV relativeFrom="paragraph">
                        <wp:posOffset>1059327</wp:posOffset>
                      </wp:positionV>
                      <wp:extent cx="182880" cy="702945"/>
                      <wp:effectExtent l="0" t="0" r="7620" b="1905"/>
                      <wp:wrapSquare wrapText="bothSides"/>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702945"/>
                              </a:xfrm>
                              <a:prstGeom prst="rect">
                                <a:avLst/>
                              </a:prstGeom>
                              <a:solidFill>
                                <a:srgbClr val="FFFFFF"/>
                              </a:solidFill>
                              <a:ln w="9525">
                                <a:noFill/>
                                <a:miter lim="800000"/>
                                <a:headEnd/>
                                <a:tailEnd/>
                              </a:ln>
                            </wps:spPr>
                            <wps:txbx>
                              <w:txbxContent>
                                <w:p w14:paraId="23D98E9A" w14:textId="77777777" w:rsidR="001B34ED" w:rsidRPr="00101AB3" w:rsidRDefault="001B34ED" w:rsidP="001B34ED">
                                  <w:pPr>
                                    <w:rPr>
                                      <w:sz w:val="18"/>
                                      <w:szCs w:val="18"/>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3C492" id="_x0000_t202" coordsize="21600,21600" o:spt="202" path="m,l,21600r21600,l21600,xe">
                      <v:stroke joinstyle="miter"/>
                      <v:path gradientshapeok="t" o:connecttype="rect"/>
                    </v:shapetype>
                    <v:shape id="Text Box 422" o:spid="_x0000_s1026" type="#_x0000_t202" style="position:absolute;margin-left:376.05pt;margin-top:83.4pt;width:14.4pt;height:5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" stroked="f">
                      <v:textbox>
                        <w:txbxContent>
                          <w:p w14:paraId="23D98E9A" w14:textId="77777777" w:rsidR="001B34ED" w:rsidRPr="00101AB3" w:rsidRDefault="001B34ED" w:rsidP="001B34ED">
                            <w:pPr>
                              <w:rPr>
                                <w:sz w:val="18"/>
                                <w:szCs w:val="18"/>
                              </w:rPr>
                            </w:pPr>
                            <w:r>
                              <w:rPr>
                                <w:sz w:val="18"/>
                                <w:szCs w:val="18"/>
                              </w:rPr>
                              <w:t xml:space="preserve"> </w:t>
                            </w:r>
                          </w:p>
                        </w:txbxContent>
                      </v:textbox>
                      <w10:wrap type="square"/>
                    </v:shape>
                  </w:pict>
                </mc:Fallback>
              </mc:AlternateContent>
            </w:r>
            <w:r w:rsidRPr="001B34ED">
              <w:rPr>
                <w:rFonts w:ascii="Corbel" w:eastAsia="Times New Roman" w:hAnsi="Corbel" w:cs="Segoe UI"/>
                <w:kern w:val="0"/>
                <w:sz w:val="26"/>
                <w:szCs w:val="26"/>
                <w:lang w:eastAsia="en-AU"/>
                <w14:ligatures w14:val="none"/>
              </w:rPr>
              <w:t xml:space="preserve">2. The Commonwealth’s financial contribution to NSW is not for publication. This will ensure the tender processes are competitive and provide governments value for money. After the conclusion of each financial year, the Commonwealth’s total financial contribution for that financial year will be progressively published in Appendix B. </w:t>
            </w:r>
          </w:p>
          <w:p w14:paraId="7F7E3FC9"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 xml:space="preserve">The Parties agree that in all other circumstances information relating to the Commonwealth’s financial contribution to NSW will only be disclosed by the Parties and by the SFV to other parties where required by law, or for </w:t>
            </w:r>
            <w:r w:rsidRPr="001B34ED">
              <w:rPr>
                <w:rFonts w:ascii="Corbel" w:eastAsia="Times New Roman" w:hAnsi="Corbel" w:cs="Segoe UI"/>
                <w:iCs/>
                <w:kern w:val="0"/>
                <w:sz w:val="26"/>
                <w:szCs w:val="26"/>
                <w:lang w:eastAsia="en-AU"/>
                <w14:ligatures w14:val="none"/>
              </w:rPr>
              <w:t>regulators</w:t>
            </w:r>
            <w:r w:rsidRPr="001B34ED">
              <w:rPr>
                <w:rFonts w:ascii="Corbel" w:eastAsia="Times New Roman" w:hAnsi="Corbel" w:cs="Segoe UI"/>
                <w:kern w:val="0"/>
                <w:sz w:val="26"/>
                <w:szCs w:val="26"/>
                <w:lang w:eastAsia="en-AU"/>
                <w14:ligatures w14:val="none"/>
              </w:rPr>
              <w:t xml:space="preserve">, accountants, auditors, or publishing of annual accounts. </w:t>
            </w:r>
          </w:p>
          <w:p w14:paraId="2961F87C"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3.  The Commonwealth will commit funding at the agreed level and will release funding at the agreed level in the timeframe reflected by the milestones at Table 2.</w:t>
            </w:r>
          </w:p>
          <w:p w14:paraId="2E866744"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4.  The Commonwealth’s financial contribution for each financial year is capped at the amount reflected in Table 1.</w:t>
            </w:r>
          </w:p>
          <w:p w14:paraId="75347AB6"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 xml:space="preserve">5.  Unspent funds from previous financial years can be carried forward to future financial years, subject to agreement from the Commonwealth, where this is required because a Commonwealth-funded project has been delayed relative to the assumptions that underpin the funding profile. However, the Commonwealth’s contribution in all circumstances may only be used </w:t>
            </w:r>
            <w:r w:rsidRPr="001B34ED">
              <w:rPr>
                <w:rFonts w:ascii="Corbel" w:eastAsia="Times New Roman" w:hAnsi="Corbel" w:cs="Segoe UI"/>
                <w:iCs/>
                <w:kern w:val="0"/>
                <w:sz w:val="26"/>
                <w:szCs w:val="26"/>
                <w:lang w:val="en-US" w:eastAsia="en-AU"/>
                <w14:ligatures w14:val="none"/>
              </w:rPr>
              <w:t xml:space="preserve">for </w:t>
            </w:r>
            <w:r w:rsidRPr="001B34ED">
              <w:rPr>
                <w:rFonts w:ascii="Corbel" w:eastAsia="Times New Roman" w:hAnsi="Corbel" w:cs="Segoe UI"/>
                <w:kern w:val="0"/>
                <w:sz w:val="26"/>
                <w:szCs w:val="26"/>
                <w:lang w:val="en-US" w:eastAsia="en-AU"/>
                <w14:ligatures w14:val="none"/>
              </w:rPr>
              <w:t>Commonwealth-funded projects resulting from the NSW Electricity Infrastructure Roadmap 2023 Tender Round 2 Firming Infrastructure</w:t>
            </w:r>
            <w:r w:rsidRPr="001B34ED">
              <w:rPr>
                <w:rFonts w:ascii="Corbel" w:eastAsia="Times New Roman" w:hAnsi="Corbel" w:cs="Segoe UI"/>
                <w:iCs/>
                <w:kern w:val="0"/>
                <w:sz w:val="26"/>
                <w:szCs w:val="26"/>
                <w:lang w:val="en-US" w:eastAsia="en-AU"/>
                <w14:ligatures w14:val="none"/>
              </w:rPr>
              <w:t xml:space="preserve">. </w:t>
            </w:r>
          </w:p>
          <w:p w14:paraId="79547E3E" w14:textId="77777777" w:rsidR="001B34ED" w:rsidRPr="001B34ED" w:rsidRDefault="001B34ED" w:rsidP="001B34ED">
            <w:pPr>
              <w:spacing w:after="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6.  Commonwealth financial contributions are to be used to meet costs relating to:</w:t>
            </w:r>
          </w:p>
          <w:p w14:paraId="397C008B" w14:textId="77777777" w:rsidR="001B34ED" w:rsidRPr="001B34ED" w:rsidRDefault="001B34ED" w:rsidP="001B34ED">
            <w:pPr>
              <w:spacing w:after="120" w:line="240" w:lineRule="auto"/>
              <w:ind w:left="720"/>
              <w:rPr>
                <w:rFonts w:ascii="Corbel" w:eastAsia="Calibri" w:hAnsi="Corbel" w:cs="Segoe UI"/>
                <w:kern w:val="0"/>
                <w:sz w:val="26"/>
                <w:szCs w:val="26"/>
                <w:lang w:val="en-US"/>
                <w14:ligatures w14:val="none"/>
              </w:rPr>
            </w:pPr>
            <w:r w:rsidRPr="001B34ED">
              <w:rPr>
                <w:rFonts w:ascii="Corbel" w:eastAsia="Times New Roman" w:hAnsi="Corbel" w:cs="Segoe UI"/>
                <w:kern w:val="0"/>
                <w:sz w:val="26"/>
                <w:szCs w:val="26"/>
                <w:lang w:eastAsia="en-AU"/>
                <w14:ligatures w14:val="none"/>
              </w:rPr>
              <w:t>a. payments under LTESAs for Commonwealth-funded projects; and</w:t>
            </w:r>
          </w:p>
          <w:p w14:paraId="652D9D40" w14:textId="77777777" w:rsidR="001B34ED" w:rsidRPr="001B34ED" w:rsidRDefault="001B34ED" w:rsidP="001B34ED">
            <w:pPr>
              <w:spacing w:before="120" w:after="120" w:line="240" w:lineRule="auto"/>
              <w:ind w:left="720"/>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b. administration costs of the SFV or Consumer Trustee in relation to Commonwealth-funded projects.</w:t>
            </w:r>
          </w:p>
          <w:p w14:paraId="21F68867" w14:textId="77777777" w:rsidR="001B34ED" w:rsidRPr="001B34ED" w:rsidRDefault="001B34ED" w:rsidP="001B34ED">
            <w:pPr>
              <w:spacing w:before="120" w:after="120" w:line="240" w:lineRule="auto"/>
              <w:rPr>
                <w:rFonts w:ascii="Corbel" w:eastAsia="Times New Roman" w:hAnsi="Corbel" w:cs="Segoe UI"/>
                <w:kern w:val="0"/>
                <w:sz w:val="26"/>
                <w:szCs w:val="26"/>
                <w:lang w:eastAsia="en-AU"/>
                <w14:ligatures w14:val="none"/>
              </w:rPr>
            </w:pPr>
            <w:r w:rsidRPr="001B34ED">
              <w:rPr>
                <w:rFonts w:ascii="Corbel" w:eastAsia="Times New Roman" w:hAnsi="Corbel" w:cs="Segoe UI"/>
                <w:kern w:val="0"/>
                <w:sz w:val="26"/>
                <w:szCs w:val="26"/>
                <w:lang w:eastAsia="en-AU"/>
                <w14:ligatures w14:val="none"/>
              </w:rPr>
              <w:t xml:space="preserve">7.  The Commonwealth’s share of the administration costs incurred by the Consumer Trustee and SFV in relation to Commonwealth-funded projects are included as part of the Commonwealth’s financial contribution under Table 1. </w:t>
            </w:r>
          </w:p>
          <w:p w14:paraId="09DB9D54" w14:textId="79463187" w:rsidR="001B34ED" w:rsidRPr="001B34ED" w:rsidRDefault="001B34ED" w:rsidP="001B34ED">
            <w:pPr>
              <w:spacing w:before="120" w:after="240" w:line="240" w:lineRule="auto"/>
              <w:rPr>
                <w:rFonts w:ascii="Corbel" w:eastAsia="Times New Roman" w:hAnsi="Corbel" w:cs="Segoe UI"/>
                <w:color w:val="FF0000"/>
                <w:kern w:val="0"/>
                <w:sz w:val="26"/>
                <w:szCs w:val="26"/>
                <w:lang w:eastAsia="en-AU"/>
                <w14:ligatures w14:val="none"/>
              </w:rPr>
            </w:pPr>
            <w:r w:rsidRPr="001B34ED">
              <w:rPr>
                <w:rFonts w:ascii="Corbel" w:eastAsia="Times New Roman" w:hAnsi="Corbel" w:cs="Segoe UI"/>
                <w:kern w:val="0"/>
                <w:sz w:val="26"/>
                <w:szCs w:val="26"/>
                <w:lang w:eastAsia="en-AU"/>
                <w14:ligatures w14:val="none"/>
              </w:rPr>
              <w:t xml:space="preserve">8.  The profile of Commonwealth financial contribution set out in Table 1 will be reviewed and amended as required in the first quarter of calendar year 2024 and after the final milestone of the Project Development Agreements for all Commonwealth-funded projects is reached. Amendments to the profile will be subject to the agreement of both Parties and consultation with the SFV.  For the avoidance of doubt, the Parties agree that these reviews will not result an increase of the overall </w:t>
            </w:r>
            <w:r w:rsidRPr="001B34ED">
              <w:rPr>
                <w:rFonts w:ascii="Corbel" w:eastAsia="Times New Roman" w:hAnsi="Corbel" w:cs="Segoe UI"/>
                <w:kern w:val="0"/>
                <w:sz w:val="26"/>
                <w:szCs w:val="26"/>
                <w:lang w:eastAsia="en-AU"/>
                <w14:ligatures w14:val="none"/>
              </w:rPr>
              <w:lastRenderedPageBreak/>
              <w:t xml:space="preserve">Commonwealth financial contribution, but instead enable more precise amounts provided for in Table 1, with any change to the profile of the </w:t>
            </w:r>
            <w:r w:rsidRPr="001B34ED">
              <w:rPr>
                <w:rFonts w:ascii="Corbel" w:eastAsia="Times New Roman" w:hAnsi="Corbel" w:cs="Segoe UI"/>
                <w:kern w:val="0"/>
                <w:sz w:val="26"/>
                <w:szCs w:val="26"/>
                <w:lang w:val="en-US" w:eastAsia="en-AU"/>
                <w14:ligatures w14:val="none"/>
              </w:rPr>
              <w:t xml:space="preserve">Commonwealth financial contribution </w:t>
            </w:r>
            <w:r w:rsidRPr="001B34ED">
              <w:rPr>
                <w:rFonts w:ascii="Corbel" w:eastAsia="Times New Roman" w:hAnsi="Corbel" w:cs="Segoe UI"/>
                <w:kern w:val="0"/>
                <w:sz w:val="26"/>
                <w:szCs w:val="26"/>
                <w:lang w:eastAsia="en-AU"/>
                <w14:ligatures w14:val="none"/>
              </w:rPr>
              <w:t xml:space="preserve">requiring the Commonwealth’s agreement in accordance with the Budget Process Operational Rules. </w:t>
            </w:r>
          </w:p>
        </w:tc>
      </w:tr>
      <w:tr w:rsidR="001B34ED" w:rsidRPr="001B34ED" w14:paraId="38758FA0" w14:textId="77777777" w:rsidTr="00AA0090">
        <w:tc>
          <w:tcPr>
            <w:tcW w:w="1691" w:type="dxa"/>
            <w:shd w:val="clear" w:color="auto" w:fill="auto"/>
          </w:tcPr>
          <w:p w14:paraId="3A446CC7"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lastRenderedPageBreak/>
              <w:t>Additional Terms</w:t>
            </w:r>
          </w:p>
          <w:p w14:paraId="6E0DEBF3"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p>
        </w:tc>
        <w:tc>
          <w:tcPr>
            <w:tcW w:w="8222" w:type="dxa"/>
            <w:shd w:val="clear" w:color="auto" w:fill="auto"/>
          </w:tcPr>
          <w:p w14:paraId="2721CB6E" w14:textId="77777777" w:rsidR="001B34ED" w:rsidRPr="001B34ED" w:rsidRDefault="001B34ED" w:rsidP="001B34ED">
            <w:pPr>
              <w:widowControl w:val="0"/>
              <w:spacing w:after="120" w:line="240" w:lineRule="auto"/>
              <w:rPr>
                <w:rFonts w:ascii="Corbel" w:eastAsia="Times New Roman" w:hAnsi="Corbel" w:cs="Arial"/>
                <w:b/>
                <w:bCs/>
                <w:iCs/>
                <w:kern w:val="0"/>
                <w:sz w:val="26"/>
                <w:szCs w:val="26"/>
                <w:lang w:val="en-US" w:eastAsia="en-AU"/>
                <w14:ligatures w14:val="none"/>
              </w:rPr>
            </w:pPr>
            <w:r w:rsidRPr="001B34ED">
              <w:rPr>
                <w:rFonts w:ascii="Corbel" w:eastAsia="Times New Roman" w:hAnsi="Corbel" w:cs="Arial"/>
                <w:b/>
                <w:bCs/>
                <w:iCs/>
                <w:kern w:val="0"/>
                <w:sz w:val="26"/>
                <w:szCs w:val="26"/>
                <w:lang w:val="en-US" w:eastAsia="en-AU"/>
                <w14:ligatures w14:val="none"/>
              </w:rPr>
              <w:t>Conditions of Funding</w:t>
            </w:r>
          </w:p>
          <w:p w14:paraId="56860211"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1.  Technologies supported by Commonwealth-funded projects will be according to the firming tender guidelines and regulatory framework of the EII Act.  </w:t>
            </w:r>
          </w:p>
          <w:p w14:paraId="6E0A2E79"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2.  Commonwealth-funded projects will </w:t>
            </w:r>
            <w:r w:rsidRPr="001B34ED">
              <w:rPr>
                <w:rFonts w:ascii="Calibri" w:eastAsia="Calibri" w:hAnsi="Calibri" w:cs="Arial"/>
                <w:kern w:val="0"/>
                <w:sz w:val="26"/>
                <w:szCs w:val="26"/>
                <w:lang w:val="en-US"/>
                <w14:ligatures w14:val="none"/>
              </w:rPr>
              <w:t xml:space="preserve">be either grid connected battery energy storage systems or renewable generation technologies that would be eligible for Large-Scale Generation Certificates. </w:t>
            </w:r>
            <w:r w:rsidRPr="001B34ED">
              <w:rPr>
                <w:rFonts w:ascii="Corbel" w:eastAsia="Times New Roman" w:hAnsi="Corbel" w:cs="Arial"/>
                <w:iCs/>
                <w:kern w:val="0"/>
                <w:sz w:val="26"/>
                <w:szCs w:val="26"/>
                <w:highlight w:val="cyan"/>
                <w:lang w:val="en-US" w:eastAsia="en-AU"/>
                <w14:ligatures w14:val="none"/>
              </w:rPr>
              <w:t xml:space="preserve"> </w:t>
            </w:r>
          </w:p>
          <w:p w14:paraId="17A5D22B"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3.  Commonwealth funding may not be used to support fossil gas or demand response projects. </w:t>
            </w:r>
          </w:p>
          <w:p w14:paraId="4F7C78FD"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4.  Commonwealth-funded projects must be firming infrastructure that is scheduled by AEMO in the central dispatch process under the </w:t>
            </w:r>
            <w:r w:rsidRPr="001B34ED">
              <w:rPr>
                <w:rFonts w:ascii="Corbel" w:eastAsia="Times New Roman" w:hAnsi="Corbel" w:cs="Arial"/>
                <w:i/>
                <w:kern w:val="0"/>
                <w:sz w:val="26"/>
                <w:szCs w:val="26"/>
                <w:lang w:val="en-US" w:eastAsia="en-AU"/>
                <w14:ligatures w14:val="none"/>
              </w:rPr>
              <w:t>National Electricity Rules</w:t>
            </w:r>
            <w:r w:rsidRPr="001B34ED">
              <w:rPr>
                <w:rFonts w:ascii="Corbel" w:eastAsia="Times New Roman" w:hAnsi="Corbel" w:cs="Arial"/>
                <w:iCs/>
                <w:kern w:val="0"/>
                <w:sz w:val="26"/>
                <w:szCs w:val="26"/>
                <w:lang w:val="en-US" w:eastAsia="en-AU"/>
                <w14:ligatures w14:val="none"/>
              </w:rPr>
              <w:t xml:space="preserve">, unless otherwise agreed by the Commonwealth. </w:t>
            </w:r>
          </w:p>
          <w:p w14:paraId="753A52AE"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5.  Unless otherwise provided in this Schedule, Commonwealth funding is conditional upon the selection of Commonwealth-funded projects by the Consumer Trustee.</w:t>
            </w:r>
          </w:p>
          <w:p w14:paraId="5982D612"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6.  The Parties agree that Commonwealth-funded projects will be selected in accordance with the firming tender guidelines and regulatory framework of the EII Act, as they apply. This includes the principle that the selection of Commonwealth-funded projects by the Consumer Trustee will be on the same basis and assessment process as other projects, including merit criteria such as value for money, subject in all cases to the application of the conditions in Clauses (1) – (4) above.</w:t>
            </w:r>
          </w:p>
          <w:p w14:paraId="0B5B49EF" w14:textId="77777777" w:rsidR="001B34ED" w:rsidRPr="001B34ED" w:rsidRDefault="001B34ED" w:rsidP="001B34ED">
            <w:pPr>
              <w:widowControl w:val="0"/>
              <w:spacing w:after="120" w:line="240" w:lineRule="auto"/>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7. The Parties understand that any LTESA, Project Development Agreement, and Tripartite Deed entered into in relation to a Commonwealth-funded project will be made on substantially the same terms as those agreements published on the Consumer Trustee’s website </w:t>
            </w:r>
            <w:r w:rsidRPr="001B34ED">
              <w:rPr>
                <w:rFonts w:ascii="Corbel" w:eastAsia="Times New Roman" w:hAnsi="Corbel" w:cs="Arial"/>
                <w:iCs/>
                <w:kern w:val="0"/>
                <w:sz w:val="26"/>
                <w:szCs w:val="26"/>
                <w:lang w:val="en-US" w:eastAsia="en-AU"/>
                <w14:ligatures w14:val="none"/>
              </w:rPr>
              <w:lastRenderedPageBreak/>
              <w:t>on 15 May 2023.</w:t>
            </w:r>
          </w:p>
          <w:p w14:paraId="482FFDB0"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Risk Management Contract</w:t>
            </w:r>
          </w:p>
          <w:p w14:paraId="742414B0" w14:textId="77777777"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8.  NSW will enter into a Risk Management Contract with the SFV and provide the Commonwealth with an executed copy. NSW will diligently administer the Risk Management Contract and will consult with the Commonwealth prior to any variation to, or termination of, the Risk Management Contract. </w:t>
            </w:r>
          </w:p>
          <w:p w14:paraId="273A9648" w14:textId="77777777" w:rsidR="001B34ED" w:rsidRPr="001B34ED" w:rsidRDefault="001B34ED" w:rsidP="001B34ED">
            <w:pPr>
              <w:spacing w:after="12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 xml:space="preserve">9. The obligation of the Commonwealth to provide any further financial contribution specified under Table 1 will cease upon termination of the Risk Management Contract and this Schedule will terminate, without Clause 32 applying.   </w:t>
            </w:r>
          </w:p>
          <w:p w14:paraId="0DA402D4"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 xml:space="preserve">Funds </w:t>
            </w:r>
          </w:p>
          <w:p w14:paraId="680D3B1B" w14:textId="77777777"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10.</w:t>
            </w:r>
            <w:r w:rsidRPr="001B34ED">
              <w:rPr>
                <w:rFonts w:ascii="Corbel" w:eastAsia="Times New Roman" w:hAnsi="Corbel" w:cs="Arial"/>
                <w:b/>
                <w:bCs/>
                <w:kern w:val="0"/>
                <w:sz w:val="26"/>
                <w:szCs w:val="26"/>
                <w:lang w:val="en-US" w:eastAsia="en-AU"/>
                <w14:ligatures w14:val="none"/>
              </w:rPr>
              <w:t xml:space="preserve">  </w:t>
            </w:r>
            <w:r w:rsidRPr="001B34ED">
              <w:rPr>
                <w:rFonts w:ascii="Corbel" w:eastAsia="Times New Roman" w:hAnsi="Corbel" w:cs="Arial"/>
                <w:kern w:val="0"/>
                <w:sz w:val="26"/>
                <w:szCs w:val="26"/>
                <w:lang w:val="en-US" w:eastAsia="en-AU"/>
                <w14:ligatures w14:val="none"/>
              </w:rPr>
              <w:t xml:space="preserve">NSW will require that all Commonwealth funds provided under this Schedule are deposited in the EIF and used only in relation to Commonwealth-funded projects. </w:t>
            </w:r>
          </w:p>
          <w:p w14:paraId="5EA16E92" w14:textId="77777777"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11. NSW will require that Commonwealth funds are separately accounted for in the EIF and that movements of Commonwealth funds in and out of the fund are effectively traced.</w:t>
            </w:r>
          </w:p>
          <w:p w14:paraId="721BC93A" w14:textId="77777777" w:rsidR="001B34ED" w:rsidRPr="001B34ED" w:rsidRDefault="001B34ED" w:rsidP="001B34ED">
            <w:pPr>
              <w:spacing w:after="12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12. The Parties agree that all payments in and out of the EIF are required to be made in accordance with the relevant law, including provisions of the EII Act.</w:t>
            </w:r>
            <w:r w:rsidRPr="001B34ED">
              <w:rPr>
                <w:rFonts w:ascii="Corbel" w:eastAsia="Times New Roman" w:hAnsi="Corbel" w:cs="Arial"/>
                <w:iCs/>
                <w:kern w:val="0"/>
                <w:sz w:val="26"/>
                <w:szCs w:val="26"/>
                <w:lang w:val="en-US" w:eastAsia="en-AU"/>
                <w14:ligatures w14:val="none"/>
              </w:rPr>
              <w:t xml:space="preserve"> </w:t>
            </w:r>
            <w:r w:rsidRPr="001B34ED">
              <w:rPr>
                <w:rFonts w:ascii="Corbel" w:eastAsia="Times New Roman" w:hAnsi="Corbel" w:cs="Arial"/>
                <w:kern w:val="0"/>
                <w:sz w:val="26"/>
                <w:szCs w:val="26"/>
                <w:lang w:val="en-US" w:eastAsia="en-AU"/>
                <w14:ligatures w14:val="none"/>
              </w:rPr>
              <w:t xml:space="preserve">      </w:t>
            </w:r>
          </w:p>
          <w:p w14:paraId="2F03AF61"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Projects</w:t>
            </w:r>
          </w:p>
          <w:p w14:paraId="3B6BF913" w14:textId="77777777"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13.  The Parties agree that the assessment, recommendations and decisions regarding projects to receive Commonwealth funding will remain at all times with the Consumer Trustee or other entity responsible, acting independently.</w:t>
            </w:r>
          </w:p>
          <w:p w14:paraId="383F29C4" w14:textId="77777777" w:rsidR="001B34ED" w:rsidRPr="001B34ED" w:rsidRDefault="001B34ED" w:rsidP="001B34ED">
            <w:pPr>
              <w:spacing w:after="12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14.  NSW will require the SFV to provide the Commonwealth with the </w:t>
            </w:r>
            <w:r w:rsidRPr="001B34ED">
              <w:rPr>
                <w:rFonts w:ascii="Corbel" w:eastAsia="Times New Roman" w:hAnsi="Corbel" w:cs="Arial"/>
                <w:iCs/>
                <w:kern w:val="0"/>
                <w:sz w:val="26"/>
                <w:szCs w:val="26"/>
                <w:lang w:val="en-US" w:eastAsia="en-AU"/>
                <w14:ligatures w14:val="none"/>
              </w:rPr>
              <w:t xml:space="preserve">executed LTESAs and Other Agreements made in relation to Commonwealth-funded projects in accordance with milestone 1 of Table 2 (as specified) and otherwise in a timely manner.    </w:t>
            </w:r>
          </w:p>
          <w:p w14:paraId="6A321234"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Legislation and administration</w:t>
            </w:r>
          </w:p>
          <w:p w14:paraId="1DF1321B" w14:textId="77777777" w:rsidR="001B34ED" w:rsidRPr="001B34ED" w:rsidRDefault="001B34ED" w:rsidP="001B34ED">
            <w:pPr>
              <w:spacing w:after="12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15.  NSW will consult the Commonwealth, in a timely manner, regarding any proposed change to the EII Act, or other relevant NSW legislation, or any NSW administrative arrangement which may affect the Commonwealth-funded projects.  </w:t>
            </w:r>
            <w:r w:rsidRPr="001B34ED">
              <w:rPr>
                <w:rFonts w:ascii="Corbel" w:eastAsia="Times New Roman" w:hAnsi="Corbel" w:cs="Arial"/>
                <w:iCs/>
                <w:kern w:val="0"/>
                <w:sz w:val="26"/>
                <w:szCs w:val="26"/>
                <w:lang w:val="en-US" w:eastAsia="en-AU"/>
                <w14:ligatures w14:val="none"/>
              </w:rPr>
              <w:t>This will include informing the Commonwealth if there is likely to be a change to the entity appointed as, or a change in control of, the Financial Trustee or SFV.</w:t>
            </w:r>
          </w:p>
          <w:p w14:paraId="1D7F53AB" w14:textId="77777777" w:rsidR="00F20EE0" w:rsidRDefault="00F20EE0" w:rsidP="001B34ED">
            <w:pPr>
              <w:spacing w:before="80" w:after="80" w:line="240" w:lineRule="auto"/>
              <w:outlineLvl w:val="1"/>
              <w:rPr>
                <w:rFonts w:ascii="Corbel" w:eastAsia="Times New Roman" w:hAnsi="Corbel" w:cs="Arial"/>
                <w:b/>
                <w:bCs/>
                <w:kern w:val="0"/>
                <w:sz w:val="26"/>
                <w:szCs w:val="26"/>
                <w:lang w:val="en-US" w:eastAsia="en-AU"/>
                <w14:ligatures w14:val="none"/>
              </w:rPr>
            </w:pPr>
          </w:p>
          <w:p w14:paraId="5E7F011E" w14:textId="77777777" w:rsidR="00227A7F" w:rsidRDefault="00227A7F" w:rsidP="001B34ED">
            <w:pPr>
              <w:spacing w:before="80" w:after="80" w:line="240" w:lineRule="auto"/>
              <w:outlineLvl w:val="1"/>
              <w:rPr>
                <w:rFonts w:ascii="Corbel" w:eastAsia="Times New Roman" w:hAnsi="Corbel" w:cs="Arial"/>
                <w:b/>
                <w:bCs/>
                <w:kern w:val="0"/>
                <w:sz w:val="26"/>
                <w:szCs w:val="26"/>
                <w:lang w:val="en-US" w:eastAsia="en-AU"/>
                <w14:ligatures w14:val="none"/>
              </w:rPr>
            </w:pPr>
          </w:p>
          <w:p w14:paraId="491BE7C9" w14:textId="55A10666"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lastRenderedPageBreak/>
              <w:t>Payment Timing and Criteria</w:t>
            </w:r>
          </w:p>
          <w:p w14:paraId="4E97E9C7" w14:textId="77777777" w:rsidR="001B34ED" w:rsidRPr="001B34ED" w:rsidRDefault="001B34ED" w:rsidP="001B34ED">
            <w:pPr>
              <w:spacing w:after="12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16.  On receipt of the reports specified for a particular milestone at Table 2, the Commonwealth will make the corresponding payment specified for that particular milestone.</w:t>
            </w:r>
          </w:p>
          <w:p w14:paraId="34F05661"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Adjustments to funding</w:t>
            </w:r>
          </w:p>
          <w:p w14:paraId="032E8DFA"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eastAsia="en-AU"/>
                <w14:ligatures w14:val="none"/>
              </w:rPr>
            </w:pPr>
            <w:r w:rsidRPr="001B34ED">
              <w:rPr>
                <w:rFonts w:ascii="Corbel" w:eastAsia="Times New Roman" w:hAnsi="Corbel" w:cs="Arial"/>
                <w:color w:val="000000"/>
                <w:kern w:val="0"/>
                <w:sz w:val="26"/>
                <w:szCs w:val="26"/>
                <w:lang w:val="en-US" w:eastAsia="en-AU"/>
                <w14:ligatures w14:val="none"/>
              </w:rPr>
              <w:t>17</w:t>
            </w:r>
            <w:r w:rsidRPr="001B34ED">
              <w:rPr>
                <w:rFonts w:ascii="Corbel" w:eastAsia="Times New Roman" w:hAnsi="Corbel" w:cs="Arial"/>
                <w:iCs/>
                <w:color w:val="000000"/>
                <w:kern w:val="0"/>
                <w:sz w:val="26"/>
                <w:szCs w:val="26"/>
                <w:lang w:eastAsia="en-AU"/>
                <w14:ligatures w14:val="none"/>
              </w:rPr>
              <w:t>.  Where the agreed funding provided by the Commonwealth for a particular financial year has exceeded the actual underwriting amount required for Commonwealth-funded projects for that particular financial year, including as a result of cashflows received by the SFV from LTES Operators under the terms of the LTESA for a Commonwealth-funded project, the Commonwealth will reduce the amount of funding provided to NSW in a subsequent year by the difference in those amounts, as provided for in the milestone payments at Table 2.</w:t>
            </w:r>
          </w:p>
          <w:p w14:paraId="2C094EEB" w14:textId="2AD83C54" w:rsidR="001B34ED" w:rsidRDefault="001B34ED" w:rsidP="001B34ED">
            <w:pPr>
              <w:spacing w:after="120" w:line="240" w:lineRule="auto"/>
              <w:outlineLvl w:val="1"/>
              <w:rPr>
                <w:rFonts w:ascii="Corbel" w:eastAsia="Times New Roman" w:hAnsi="Corbel" w:cs="Arial"/>
                <w:iCs/>
                <w:color w:val="000000"/>
                <w:kern w:val="0"/>
                <w:sz w:val="26"/>
                <w:szCs w:val="26"/>
                <w:lang w:eastAsia="en-AU"/>
                <w14:ligatures w14:val="none"/>
              </w:rPr>
            </w:pPr>
            <w:r w:rsidRPr="001B34ED">
              <w:rPr>
                <w:rFonts w:ascii="Corbel" w:eastAsia="Times New Roman" w:hAnsi="Corbel" w:cs="Arial"/>
                <w:iCs/>
                <w:color w:val="000000"/>
                <w:kern w:val="0"/>
                <w:sz w:val="26"/>
                <w:szCs w:val="26"/>
                <w:lang w:eastAsia="en-AU"/>
                <w14:ligatures w14:val="none"/>
              </w:rPr>
              <w:t>18.  A final reconciliation of the advance payments made by the Commonwealth and the actual costs incurred by the SFV over the course of this agreement will be undertaken in FY 2036-2037 or 18 months after the last LTESA for a Commonwealth-funded project ends, whichever is later.  Following this reconciliation, a reconciliation adjustment payment will be made between the Parties, if applicable, in accordance with Clause</w:t>
            </w:r>
            <w:r w:rsidR="0022037C">
              <w:rPr>
                <w:rFonts w:ascii="Corbel" w:eastAsia="Times New Roman" w:hAnsi="Corbel" w:cs="Arial"/>
                <w:iCs/>
                <w:color w:val="000000"/>
                <w:kern w:val="0"/>
                <w:sz w:val="26"/>
                <w:szCs w:val="26"/>
                <w:lang w:eastAsia="en-AU"/>
                <w14:ligatures w14:val="none"/>
              </w:rPr>
              <w:t> </w:t>
            </w:r>
            <w:r w:rsidRPr="001B34ED">
              <w:rPr>
                <w:rFonts w:ascii="Corbel" w:eastAsia="Times New Roman" w:hAnsi="Corbel" w:cs="Arial"/>
                <w:iCs/>
                <w:color w:val="000000"/>
                <w:kern w:val="0"/>
                <w:sz w:val="26"/>
                <w:szCs w:val="26"/>
                <w:lang w:eastAsia="en-AU"/>
                <w14:ligatures w14:val="none"/>
              </w:rPr>
              <w:t xml:space="preserve">19.  </w:t>
            </w:r>
          </w:p>
          <w:p w14:paraId="4C8F4CFC" w14:textId="77777777" w:rsidR="00C54834" w:rsidRPr="001B34ED" w:rsidRDefault="00C54834" w:rsidP="001B34ED">
            <w:pPr>
              <w:spacing w:after="120" w:line="240" w:lineRule="auto"/>
              <w:outlineLvl w:val="1"/>
              <w:rPr>
                <w:rFonts w:ascii="Corbel" w:eastAsia="Times New Roman" w:hAnsi="Corbel" w:cs="Arial"/>
                <w:iCs/>
                <w:color w:val="000000"/>
                <w:kern w:val="0"/>
                <w:sz w:val="26"/>
                <w:szCs w:val="26"/>
                <w:lang w:eastAsia="en-AU"/>
                <w14:ligatures w14:val="none"/>
              </w:rPr>
            </w:pPr>
          </w:p>
          <w:p w14:paraId="7C254F75" w14:textId="77777777" w:rsidR="001B34ED" w:rsidRPr="001B34ED" w:rsidRDefault="001B34ED" w:rsidP="001B34ED">
            <w:pPr>
              <w:spacing w:before="80" w:after="80" w:line="240" w:lineRule="auto"/>
              <w:outlineLvl w:val="1"/>
              <w:rPr>
                <w:rFonts w:ascii="Corbel" w:eastAsia="Times New Roman" w:hAnsi="Corbel" w:cs="Arial"/>
                <w:b/>
                <w:bCs/>
                <w:iCs/>
                <w:color w:val="000000"/>
                <w:kern w:val="0"/>
                <w:sz w:val="26"/>
                <w:szCs w:val="26"/>
                <w:lang w:eastAsia="en-AU"/>
                <w14:ligatures w14:val="none"/>
              </w:rPr>
            </w:pPr>
            <w:r w:rsidRPr="001B34ED">
              <w:rPr>
                <w:rFonts w:ascii="Corbel" w:eastAsia="Times New Roman" w:hAnsi="Corbel" w:cs="Arial"/>
                <w:b/>
                <w:bCs/>
                <w:iCs/>
                <w:color w:val="000000"/>
                <w:kern w:val="0"/>
                <w:sz w:val="26"/>
                <w:szCs w:val="26"/>
                <w:lang w:eastAsia="en-AU"/>
                <w14:ligatures w14:val="none"/>
              </w:rPr>
              <w:t xml:space="preserve">Residual funds </w:t>
            </w:r>
          </w:p>
          <w:p w14:paraId="3E66344A" w14:textId="77777777" w:rsidR="001B34ED" w:rsidRPr="001B34ED" w:rsidRDefault="001B34ED" w:rsidP="001B34ED">
            <w:pPr>
              <w:spacing w:after="120" w:line="240" w:lineRule="auto"/>
              <w:outlineLvl w:val="1"/>
              <w:rPr>
                <w:rFonts w:ascii="Corbel" w:eastAsia="Times New Roman" w:hAnsi="Corbel" w:cs="Arial"/>
                <w:iCs/>
                <w:kern w:val="0"/>
                <w:sz w:val="26"/>
                <w:szCs w:val="26"/>
                <w:lang w:eastAsia="en-AU"/>
                <w14:ligatures w14:val="none"/>
              </w:rPr>
            </w:pPr>
            <w:r w:rsidRPr="001B34ED">
              <w:rPr>
                <w:rFonts w:ascii="Corbel" w:eastAsia="Times New Roman" w:hAnsi="Corbel" w:cs="Arial"/>
                <w:iCs/>
                <w:kern w:val="0"/>
                <w:sz w:val="26"/>
                <w:szCs w:val="26"/>
                <w:lang w:eastAsia="en-AU"/>
                <w14:ligatures w14:val="none"/>
              </w:rPr>
              <w:t xml:space="preserve">19.  Despite clause 31 of the FFA – Environment, NSW will return any unspent Commonwealth funds at the end of this Schedule (consistent with the process at milestone 3) to the Commonwealth within a reasonable time but not exceeding six months, unless otherwise agreed by the Commonwealth. </w:t>
            </w:r>
          </w:p>
          <w:p w14:paraId="71F0CD3A" w14:textId="77777777" w:rsidR="001B34ED" w:rsidRPr="001B34ED" w:rsidRDefault="001B34ED" w:rsidP="001B34ED">
            <w:pPr>
              <w:spacing w:before="80" w:after="80" w:line="240" w:lineRule="auto"/>
              <w:outlineLvl w:val="1"/>
              <w:rPr>
                <w:rFonts w:ascii="Corbel" w:eastAsia="Times New Roman" w:hAnsi="Corbel" w:cs="Arial"/>
                <w:b/>
                <w:bCs/>
                <w:iCs/>
                <w:color w:val="000000"/>
                <w:kern w:val="0"/>
                <w:sz w:val="26"/>
                <w:szCs w:val="26"/>
                <w:lang w:val="en-US" w:eastAsia="en-AU"/>
                <w14:ligatures w14:val="none"/>
              </w:rPr>
            </w:pPr>
            <w:r w:rsidRPr="001B34ED">
              <w:rPr>
                <w:rFonts w:ascii="Corbel" w:eastAsia="Times New Roman" w:hAnsi="Corbel" w:cs="Arial"/>
                <w:b/>
                <w:bCs/>
                <w:iCs/>
                <w:color w:val="000000"/>
                <w:kern w:val="0"/>
                <w:sz w:val="26"/>
                <w:szCs w:val="26"/>
                <w:lang w:val="en-US" w:eastAsia="en-AU"/>
                <w14:ligatures w14:val="none"/>
              </w:rPr>
              <w:t xml:space="preserve">Reporting </w:t>
            </w:r>
          </w:p>
          <w:p w14:paraId="3DFE1BD0"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20. In relation to Appendix A Clause 2, NSW will ensure, and in the case of Appendix A Clauses 1, 3, 4 and 5, NSW will require, that reporting requirements specified are complied with.</w:t>
            </w:r>
          </w:p>
          <w:p w14:paraId="587DCA36"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GB" w:eastAsia="en-AU"/>
                <w14:ligatures w14:val="none"/>
              </w:rPr>
            </w:pPr>
            <w:r w:rsidRPr="001B34ED">
              <w:rPr>
                <w:rFonts w:ascii="Corbel" w:eastAsia="Times New Roman" w:hAnsi="Corbel" w:cs="Arial"/>
                <w:iCs/>
                <w:color w:val="000000"/>
                <w:kern w:val="0"/>
                <w:sz w:val="26"/>
                <w:szCs w:val="26"/>
                <w:lang w:val="en-GB" w:eastAsia="en-AU"/>
                <w14:ligatures w14:val="none"/>
              </w:rPr>
              <w:t>In the event NSW becomes aware that any information needed to provide the reports specified in Appendix A or otherwise required under this Schedule is not available or is not expected to be available for provision in the required timeframe, NSW will advise the Commonwealth as soon as practicable and use its best endeavours to remedy.</w:t>
            </w:r>
          </w:p>
          <w:p w14:paraId="6CC356AD"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GB" w:eastAsia="en-AU"/>
                <w14:ligatures w14:val="none"/>
              </w:rPr>
            </w:pPr>
            <w:r w:rsidRPr="001B34ED">
              <w:rPr>
                <w:rFonts w:ascii="Corbel" w:eastAsia="Times New Roman" w:hAnsi="Corbel" w:cs="Arial"/>
                <w:iCs/>
                <w:color w:val="000000"/>
                <w:kern w:val="0"/>
                <w:sz w:val="26"/>
                <w:szCs w:val="26"/>
                <w:lang w:val="en-GB" w:eastAsia="en-AU"/>
                <w14:ligatures w14:val="none"/>
              </w:rPr>
              <w:t xml:space="preserve">Within three months of the execution of all the LTESAs for the Commonwealth-funded projects, NSW will provide the Commonwealth with a report on the outcomes of the Tender Round 2 Firming Infrastructure. The report will include details on projects that submitted a </w:t>
            </w:r>
            <w:r w:rsidRPr="001B34ED">
              <w:rPr>
                <w:rFonts w:ascii="Corbel" w:eastAsia="Times New Roman" w:hAnsi="Corbel" w:cs="Arial"/>
                <w:iCs/>
                <w:color w:val="000000"/>
                <w:kern w:val="0"/>
                <w:sz w:val="26"/>
                <w:szCs w:val="26"/>
                <w:lang w:val="en-GB" w:eastAsia="en-AU"/>
                <w14:ligatures w14:val="none"/>
              </w:rPr>
              <w:lastRenderedPageBreak/>
              <w:t xml:space="preserve">financial value bid, value for money considerations and decision making regarding the allocation of Commonwealth funds to projects.   </w:t>
            </w:r>
          </w:p>
          <w:p w14:paraId="1CE11B9E" w14:textId="77777777" w:rsidR="001B34ED" w:rsidRPr="001B34ED" w:rsidRDefault="001B34ED" w:rsidP="001B34ED">
            <w:pPr>
              <w:spacing w:after="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21. NSW will inform the Commonwealth, or require the SFV to inform the Commonwealth, of any known material risks or issues as they arise which may affect Commonwealth-funded projects, including but not limited to:</w:t>
            </w:r>
          </w:p>
          <w:p w14:paraId="02ED3E1D" w14:textId="77777777" w:rsidR="001B34ED" w:rsidRPr="001B34ED" w:rsidRDefault="001B34ED" w:rsidP="001B34ED">
            <w:pPr>
              <w:spacing w:after="0" w:line="240" w:lineRule="auto"/>
              <w:ind w:left="720"/>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(a) construction delays;</w:t>
            </w:r>
          </w:p>
          <w:p w14:paraId="62749D79" w14:textId="77777777" w:rsidR="001B34ED" w:rsidRPr="001B34ED" w:rsidRDefault="001B34ED" w:rsidP="001B34ED">
            <w:pPr>
              <w:spacing w:after="0" w:line="240" w:lineRule="auto"/>
              <w:ind w:left="720"/>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(b) changes to project costs;</w:t>
            </w:r>
          </w:p>
          <w:p w14:paraId="2ECA1AFB" w14:textId="77777777" w:rsidR="001B34ED" w:rsidRPr="001B34ED" w:rsidRDefault="001B34ED" w:rsidP="001B34ED">
            <w:pPr>
              <w:spacing w:after="0" w:line="240" w:lineRule="auto"/>
              <w:ind w:left="720"/>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(c) potential changes in control of a Commonwealth-funded project;</w:t>
            </w:r>
          </w:p>
          <w:p w14:paraId="1A79C882" w14:textId="77777777" w:rsidR="001B34ED" w:rsidRPr="001B34ED" w:rsidRDefault="001B34ED" w:rsidP="001B34ED">
            <w:pPr>
              <w:spacing w:after="0" w:line="240" w:lineRule="auto"/>
              <w:ind w:left="720"/>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(d) potential termination of an LTESA or Other Agreement, for whatever reason; and</w:t>
            </w:r>
          </w:p>
          <w:p w14:paraId="4D0DD4FA" w14:textId="77777777" w:rsidR="001B34ED" w:rsidRPr="001B34ED" w:rsidRDefault="001B34ED" w:rsidP="001B34ED">
            <w:pPr>
              <w:spacing w:after="0" w:line="240" w:lineRule="auto"/>
              <w:ind w:left="720"/>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(e) social license issues.</w:t>
            </w:r>
          </w:p>
          <w:p w14:paraId="26B06C0A" w14:textId="77777777" w:rsidR="001B34ED" w:rsidRPr="001B34ED" w:rsidRDefault="001B34ED" w:rsidP="001B34ED">
            <w:pPr>
              <w:spacing w:before="80" w:after="80" w:line="240" w:lineRule="auto"/>
              <w:outlineLvl w:val="1"/>
              <w:rPr>
                <w:rFonts w:ascii="Corbel" w:eastAsia="Times New Roman" w:hAnsi="Corbel" w:cs="Arial"/>
                <w:b/>
                <w:bCs/>
                <w:iCs/>
                <w:color w:val="000000"/>
                <w:kern w:val="0"/>
                <w:sz w:val="26"/>
                <w:szCs w:val="26"/>
                <w:lang w:val="en-US" w:eastAsia="en-AU"/>
                <w14:ligatures w14:val="none"/>
              </w:rPr>
            </w:pPr>
            <w:r w:rsidRPr="001B34ED">
              <w:rPr>
                <w:rFonts w:ascii="Corbel" w:eastAsia="Times New Roman" w:hAnsi="Corbel" w:cs="Arial"/>
                <w:b/>
                <w:bCs/>
                <w:iCs/>
                <w:color w:val="000000"/>
                <w:kern w:val="0"/>
                <w:sz w:val="26"/>
                <w:szCs w:val="26"/>
                <w:lang w:val="en-US" w:eastAsia="en-AU"/>
                <w14:ligatures w14:val="none"/>
              </w:rPr>
              <w:t xml:space="preserve">Review and Management </w:t>
            </w:r>
          </w:p>
          <w:p w14:paraId="592D80B7" w14:textId="77777777" w:rsidR="001B34ED" w:rsidRPr="001B34ED" w:rsidRDefault="001B34ED" w:rsidP="001B34ED">
            <w:pPr>
              <w:spacing w:after="12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 xml:space="preserve">22. The Parties will meet with the SFV on a quarterly basis, commencing in the fourth quarter of calendar year 2023, to discuss the status of Commonwealth-funded projects and identify any issues or risks which are likely to arise. </w:t>
            </w:r>
          </w:p>
          <w:p w14:paraId="41AFD874" w14:textId="77777777" w:rsidR="001B34ED" w:rsidRPr="001B34ED" w:rsidRDefault="001B34ED" w:rsidP="001B34ED">
            <w:pPr>
              <w:spacing w:before="80" w:after="80" w:line="240" w:lineRule="auto"/>
              <w:outlineLvl w:val="1"/>
              <w:rPr>
                <w:rFonts w:ascii="Corbel" w:eastAsia="Times New Roman" w:hAnsi="Corbel" w:cs="Arial"/>
                <w:b/>
                <w:bCs/>
                <w:iCs/>
                <w:color w:val="000000"/>
                <w:kern w:val="0"/>
                <w:sz w:val="26"/>
                <w:szCs w:val="26"/>
                <w:lang w:val="en-US" w:eastAsia="en-AU"/>
                <w14:ligatures w14:val="none"/>
              </w:rPr>
            </w:pPr>
            <w:r w:rsidRPr="001B34ED">
              <w:rPr>
                <w:rFonts w:ascii="Corbel" w:eastAsia="Times New Roman" w:hAnsi="Corbel" w:cs="Arial"/>
                <w:b/>
                <w:bCs/>
                <w:iCs/>
                <w:color w:val="000000"/>
                <w:kern w:val="0"/>
                <w:sz w:val="26"/>
                <w:szCs w:val="26"/>
                <w:lang w:val="en-US" w:eastAsia="en-AU"/>
                <w14:ligatures w14:val="none"/>
              </w:rPr>
              <w:t xml:space="preserve">Promotional material and publicity </w:t>
            </w:r>
          </w:p>
          <w:p w14:paraId="120FAA2B"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 xml:space="preserve">23. The Parties agree that the roles of both Parties will be acknowledged and recognised appropriately in relation to any events, announcements, promotional material or publicity relating to activities under this Schedule. The Parties will endeavor to notify the LTES Operator of a Commonwealth-funded project in advance of any media release that directly relates to its Commonwealth-funded project. </w:t>
            </w:r>
          </w:p>
          <w:p w14:paraId="7DFFE6CB"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Calibri" w:hAnsi="Corbel" w:cs="Arial"/>
                <w:iCs/>
                <w:color w:val="000000"/>
                <w:kern w:val="0"/>
                <w:sz w:val="26"/>
                <w:szCs w:val="26"/>
                <w:lang w:val="en-US" w:eastAsia="en-AU"/>
                <w14:ligatures w14:val="none"/>
              </w:rPr>
              <w:t>Both Parties agree to consult with each other, the Consumer Trustee</w:t>
            </w:r>
            <w:r w:rsidRPr="001B34ED">
              <w:rPr>
                <w:rFonts w:ascii="Corbel" w:eastAsia="Times New Roman" w:hAnsi="Corbel" w:cs="Arial"/>
                <w:iCs/>
                <w:color w:val="000000"/>
                <w:kern w:val="0"/>
                <w:sz w:val="26"/>
                <w:szCs w:val="26"/>
                <w:lang w:val="en-US" w:eastAsia="en-AU"/>
                <w14:ligatures w14:val="none"/>
              </w:rPr>
              <w:t xml:space="preserve">, the SFV and any relevant LTES Operator, </w:t>
            </w:r>
            <w:r w:rsidRPr="001B34ED">
              <w:rPr>
                <w:rFonts w:ascii="Corbel" w:eastAsia="Calibri" w:hAnsi="Corbel" w:cs="Arial"/>
                <w:iCs/>
                <w:color w:val="000000"/>
                <w:kern w:val="0"/>
                <w:sz w:val="26"/>
                <w:szCs w:val="26"/>
                <w:lang w:val="en-US" w:eastAsia="en-AU"/>
                <w14:ligatures w14:val="none"/>
              </w:rPr>
              <w:t>as appropriate, prior to the release of any information to the media, given the commercial nature of the tender.</w:t>
            </w:r>
          </w:p>
          <w:p w14:paraId="5D45FC45" w14:textId="77777777" w:rsidR="001B34ED" w:rsidRPr="001B34ED" w:rsidRDefault="001B34ED" w:rsidP="001B34ED">
            <w:pPr>
              <w:spacing w:before="80" w:after="8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 xml:space="preserve">24. NSW will require that the SFV make arrangements to ensure Commonwealth-funded projects acknowledge Commonwealth funding in relation to promotional material provided and publicity measures undertaken by the Commonwealth-funded project.      </w:t>
            </w:r>
          </w:p>
          <w:p w14:paraId="60EBCD17" w14:textId="77777777" w:rsidR="001B34ED" w:rsidRPr="001B34ED" w:rsidRDefault="001B34ED" w:rsidP="001B34ED">
            <w:pPr>
              <w:spacing w:after="120" w:line="240" w:lineRule="auto"/>
              <w:outlineLvl w:val="1"/>
              <w:rPr>
                <w:rFonts w:ascii="Corbel" w:eastAsia="Times New Roman" w:hAnsi="Corbel" w:cs="Arial"/>
                <w:iCs/>
                <w:color w:val="000000"/>
                <w:kern w:val="0"/>
                <w:sz w:val="26"/>
                <w:szCs w:val="26"/>
                <w:lang w:val="en-US" w:eastAsia="en-AU"/>
                <w14:ligatures w14:val="none"/>
              </w:rPr>
            </w:pPr>
            <w:r w:rsidRPr="001B34ED">
              <w:rPr>
                <w:rFonts w:ascii="Corbel" w:eastAsia="Times New Roman" w:hAnsi="Corbel" w:cs="Arial"/>
                <w:iCs/>
                <w:color w:val="000000"/>
                <w:kern w:val="0"/>
                <w:sz w:val="26"/>
                <w:szCs w:val="26"/>
                <w:lang w:val="en-US" w:eastAsia="en-AU"/>
                <w14:ligatures w14:val="none"/>
              </w:rPr>
              <w:t xml:space="preserve">25.  NSW will meet any </w:t>
            </w:r>
            <w:bookmarkStart w:id="1" w:name="_Hlk142559292"/>
            <w:r w:rsidRPr="001B34ED">
              <w:rPr>
                <w:rFonts w:ascii="Corbel" w:eastAsia="Times New Roman" w:hAnsi="Corbel" w:cs="Arial"/>
                <w:iCs/>
                <w:color w:val="000000"/>
                <w:kern w:val="0"/>
                <w:sz w:val="26"/>
                <w:szCs w:val="26"/>
                <w:lang w:val="en-US" w:eastAsia="en-AU"/>
                <w14:ligatures w14:val="none"/>
              </w:rPr>
              <w:t xml:space="preserve">reasonable requests by the Commonwealth to provide any other information </w:t>
            </w:r>
            <w:bookmarkEnd w:id="1"/>
            <w:r w:rsidRPr="001B34ED">
              <w:rPr>
                <w:rFonts w:ascii="Corbel" w:eastAsia="Times New Roman" w:hAnsi="Corbel" w:cs="Arial"/>
                <w:iCs/>
                <w:color w:val="000000"/>
                <w:kern w:val="0"/>
                <w:sz w:val="26"/>
                <w:szCs w:val="26"/>
                <w:lang w:val="en-US" w:eastAsia="en-AU"/>
                <w14:ligatures w14:val="none"/>
              </w:rPr>
              <w:t>regarding Commonwealth-funded projects in connection with this Schedule.</w:t>
            </w:r>
          </w:p>
          <w:p w14:paraId="5127C605"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 xml:space="preserve">Audit </w:t>
            </w:r>
          </w:p>
          <w:p w14:paraId="7DE47F69"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26.  </w:t>
            </w:r>
            <w:r w:rsidRPr="001B34ED">
              <w:rPr>
                <w:rFonts w:ascii="Corbel" w:eastAsia="Times New Roman" w:hAnsi="Corbel" w:cs="Arial"/>
                <w:iCs/>
                <w:kern w:val="0"/>
                <w:sz w:val="26"/>
                <w:szCs w:val="26"/>
                <w:lang w:val="en-US" w:eastAsia="en-AU"/>
                <w14:ligatures w14:val="none"/>
              </w:rPr>
              <w:t xml:space="preserve">In relation to this Schedule, NSW will ensure that performance of the Consumer Trustee, Financial Trustee, Scheme Financial Vehicle and EIF are subject to audit by the Regulator. NSW will ensure the Minister responsible under the EII Act considers any request made by the Commonwealth to direct the Regulator to undertake an audit of the performance of the Consumer Trustee, Financial Trustee, Scheme Financial Vehicle or EIF. </w:t>
            </w:r>
          </w:p>
          <w:p w14:paraId="41F8D7EE"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lastRenderedPageBreak/>
              <w:t xml:space="preserve">27.  NSW will conduct a performance audit of the SFV in response to any reasonable request made to NSW by the Commonwealth for such an audit.   </w:t>
            </w:r>
          </w:p>
          <w:p w14:paraId="028097D0" w14:textId="77777777" w:rsidR="001B34ED" w:rsidRPr="001B34ED" w:rsidRDefault="001B34ED" w:rsidP="001B34ED">
            <w:pPr>
              <w:spacing w:before="80" w:after="80" w:line="240" w:lineRule="auto"/>
              <w:outlineLvl w:val="1"/>
              <w:rPr>
                <w:rFonts w:ascii="Corbel" w:eastAsia="Times New Roman" w:hAnsi="Corbel" w:cs="Arial"/>
                <w:iCs/>
                <w:kern w:val="0"/>
                <w:sz w:val="26"/>
                <w:szCs w:val="26"/>
                <w:lang w:val="en-US" w:eastAsia="en-AU"/>
                <w14:ligatures w14:val="none"/>
              </w:rPr>
            </w:pPr>
            <w:r w:rsidRPr="001B34ED">
              <w:rPr>
                <w:rFonts w:ascii="Corbel" w:eastAsia="Times New Roman" w:hAnsi="Corbel" w:cs="Arial"/>
                <w:iCs/>
                <w:kern w:val="0"/>
                <w:sz w:val="26"/>
                <w:szCs w:val="26"/>
                <w:lang w:val="en-US" w:eastAsia="en-AU"/>
                <w14:ligatures w14:val="none"/>
              </w:rPr>
              <w:t>28.  Arrangements and terms of any audits requested by the Commonwealth, including the costs, will be agreed between the Parties separately before NSW considers the request from the Commonwealth.</w:t>
            </w:r>
          </w:p>
          <w:p w14:paraId="1A4CAB94" w14:textId="77777777"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29. NSW will provide the Commonwealth with all reports produced as a result of the audits at Clauses 26 and 27, in a timely manner.</w:t>
            </w:r>
          </w:p>
          <w:p w14:paraId="0A5F1C45" w14:textId="77777777" w:rsidR="001B34ED" w:rsidRPr="001B34ED" w:rsidRDefault="001B34ED" w:rsidP="001B34ED">
            <w:pPr>
              <w:spacing w:after="12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30. NSW will require that the SFV provides the Commonwealth with copies of the annual SFV financial audit in a timely manner. </w:t>
            </w:r>
          </w:p>
          <w:p w14:paraId="7DCC42D4" w14:textId="77777777" w:rsidR="001B34ED" w:rsidRPr="001B34ED" w:rsidRDefault="001B34ED" w:rsidP="001B34ED">
            <w:pPr>
              <w:spacing w:before="80" w:after="80" w:line="240" w:lineRule="auto"/>
              <w:outlineLvl w:val="1"/>
              <w:rPr>
                <w:rFonts w:ascii="Corbel" w:eastAsia="Times New Roman" w:hAnsi="Corbel" w:cs="Arial"/>
                <w:b/>
                <w:bCs/>
                <w:kern w:val="0"/>
                <w:sz w:val="26"/>
                <w:szCs w:val="26"/>
                <w:lang w:val="en-US" w:eastAsia="en-AU"/>
                <w14:ligatures w14:val="none"/>
              </w:rPr>
            </w:pPr>
            <w:r w:rsidRPr="001B34ED">
              <w:rPr>
                <w:rFonts w:ascii="Corbel" w:eastAsia="Times New Roman" w:hAnsi="Corbel" w:cs="Arial"/>
                <w:b/>
                <w:bCs/>
                <w:kern w:val="0"/>
                <w:sz w:val="26"/>
                <w:szCs w:val="26"/>
                <w:lang w:val="en-US" w:eastAsia="en-AU"/>
                <w14:ligatures w14:val="none"/>
              </w:rPr>
              <w:t>Confidentiality</w:t>
            </w:r>
          </w:p>
          <w:p w14:paraId="202CAEF6" w14:textId="77777777" w:rsidR="001B34ED" w:rsidRPr="001B34ED" w:rsidRDefault="001B34ED" w:rsidP="001B34ED">
            <w:pPr>
              <w:spacing w:after="12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31. </w:t>
            </w:r>
            <w:r w:rsidRPr="001B34ED">
              <w:rPr>
                <w:rFonts w:ascii="Corbel" w:eastAsia="Times New Roman" w:hAnsi="Corbel" w:cs="Arial"/>
                <w:iCs/>
                <w:kern w:val="0"/>
                <w:sz w:val="26"/>
                <w:szCs w:val="26"/>
                <w:lang w:val="en-US" w:eastAsia="en-AU"/>
                <w14:ligatures w14:val="none"/>
              </w:rPr>
              <w:t xml:space="preserve">NSW will require that the SFV </w:t>
            </w:r>
            <w:r w:rsidRPr="001B34ED">
              <w:rPr>
                <w:rFonts w:ascii="Corbel" w:eastAsia="Times New Roman" w:hAnsi="Corbel" w:cs="Arial"/>
                <w:kern w:val="0"/>
                <w:sz w:val="26"/>
                <w:szCs w:val="26"/>
                <w:lang w:val="en-US" w:eastAsia="en-AU"/>
                <w14:ligatures w14:val="none"/>
              </w:rPr>
              <w:t>provides any commercial</w:t>
            </w:r>
            <w:r w:rsidRPr="001B34ED">
              <w:rPr>
                <w:rFonts w:ascii="Corbel" w:eastAsia="Times New Roman" w:hAnsi="Corbel" w:cs="Arial"/>
                <w:iCs/>
                <w:kern w:val="0"/>
                <w:sz w:val="26"/>
                <w:szCs w:val="26"/>
                <w:lang w:val="en-US" w:eastAsia="en-AU"/>
                <w14:ligatures w14:val="none"/>
              </w:rPr>
              <w:t>-in-confidence information for the purposes of this Schedule to the Commonwealth, in relation to any Commonwealth-funded project</w:t>
            </w:r>
            <w:r w:rsidRPr="001B34ED">
              <w:rPr>
                <w:rFonts w:ascii="Corbel" w:eastAsia="Times New Roman" w:hAnsi="Corbel" w:cs="Arial"/>
                <w:kern w:val="0"/>
                <w:sz w:val="26"/>
                <w:szCs w:val="26"/>
                <w:lang w:val="en-US" w:eastAsia="en-AU"/>
                <w14:ligatures w14:val="none"/>
              </w:rPr>
              <w:t xml:space="preserve">. </w:t>
            </w:r>
          </w:p>
          <w:p w14:paraId="6D40D53A" w14:textId="77777777" w:rsidR="001B34ED" w:rsidRPr="001B34ED" w:rsidRDefault="001B34ED" w:rsidP="001B34ED">
            <w:pPr>
              <w:spacing w:before="80" w:after="80" w:line="240" w:lineRule="auto"/>
              <w:outlineLvl w:val="1"/>
              <w:rPr>
                <w:rFonts w:ascii="Corbel" w:eastAsia="Times New Roman" w:hAnsi="Corbel" w:cs="Arial"/>
                <w:b/>
                <w:iCs/>
                <w:kern w:val="0"/>
                <w:sz w:val="26"/>
                <w:szCs w:val="26"/>
                <w:lang w:val="en-US" w:eastAsia="en-AU"/>
                <w14:ligatures w14:val="none"/>
              </w:rPr>
            </w:pPr>
            <w:r w:rsidRPr="001B34ED">
              <w:rPr>
                <w:rFonts w:ascii="Corbel" w:eastAsia="Times New Roman" w:hAnsi="Corbel" w:cs="Arial"/>
                <w:b/>
                <w:iCs/>
                <w:kern w:val="0"/>
                <w:sz w:val="26"/>
                <w:szCs w:val="26"/>
                <w:lang w:val="en-US" w:eastAsia="en-AU"/>
                <w14:ligatures w14:val="none"/>
              </w:rPr>
              <w:t>Variations or termination</w:t>
            </w:r>
          </w:p>
          <w:p w14:paraId="6B41054F" w14:textId="0E927C29" w:rsidR="001B34ED" w:rsidRPr="001B34ED" w:rsidRDefault="001B34ED" w:rsidP="001B34ED">
            <w:pPr>
              <w:spacing w:before="80" w:after="80" w:line="240" w:lineRule="auto"/>
              <w:outlineLvl w:val="1"/>
              <w:rPr>
                <w:rFonts w:ascii="Corbel" w:eastAsia="Times New Roman" w:hAnsi="Corbel" w:cs="Arial"/>
                <w:kern w:val="0"/>
                <w:sz w:val="26"/>
                <w:szCs w:val="26"/>
                <w:lang w:val="en-US" w:eastAsia="en-AU"/>
                <w14:ligatures w14:val="none"/>
              </w:rPr>
            </w:pPr>
            <w:r w:rsidRPr="001B34ED">
              <w:rPr>
                <w:rFonts w:ascii="Corbel" w:eastAsia="Times New Roman" w:hAnsi="Corbel" w:cs="Arial"/>
                <w:kern w:val="0"/>
                <w:sz w:val="26"/>
                <w:szCs w:val="26"/>
                <w:lang w:val="en-US" w:eastAsia="en-AU"/>
                <w14:ligatures w14:val="none"/>
              </w:rPr>
              <w:t xml:space="preserve">32. The Parties agree that prior to any variation or termination of this Schedule, the SFV will be consulted. </w:t>
            </w:r>
          </w:p>
        </w:tc>
      </w:tr>
    </w:tbl>
    <w:p w14:paraId="13E875DC" w14:textId="77777777" w:rsidR="001B34ED" w:rsidRDefault="001B34ED"/>
    <w:p w14:paraId="69F790F8" w14:textId="77777777" w:rsidR="00D858B6" w:rsidRDefault="00D858B6"/>
    <w:p w14:paraId="5526DF56" w14:textId="77777777" w:rsidR="00D858B6" w:rsidRDefault="00D858B6"/>
    <w:tbl>
      <w:tblPr>
        <w:tblW w:w="5509" w:type="pct"/>
        <w:tblInd w:w="-2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954"/>
        <w:gridCol w:w="1843"/>
        <w:gridCol w:w="2126"/>
      </w:tblGrid>
      <w:tr w:rsidR="00D858B6" w:rsidRPr="00D858B6" w14:paraId="1B6F1245" w14:textId="77777777" w:rsidTr="00D858B6">
        <w:trPr>
          <w:trHeight w:val="611"/>
        </w:trPr>
        <w:tc>
          <w:tcPr>
            <w:tcW w:w="5954" w:type="dxa"/>
            <w:shd w:val="clear" w:color="auto" w:fill="F2F2F2"/>
          </w:tcPr>
          <w:p w14:paraId="1D5F576A" w14:textId="77777777" w:rsidR="00D858B6" w:rsidRPr="00D858B6" w:rsidRDefault="00D858B6" w:rsidP="00D858B6">
            <w:pPr>
              <w:spacing w:before="80" w:after="80" w:line="240" w:lineRule="auto"/>
              <w:outlineLvl w:val="1"/>
              <w:rPr>
                <w:rFonts w:ascii="Corbel" w:eastAsia="Times New Roman" w:hAnsi="Corbel" w:cs="Arial"/>
                <w:b/>
                <w:iCs/>
                <w:kern w:val="0"/>
                <w:sz w:val="26"/>
                <w:szCs w:val="26"/>
                <w:lang w:val="en-US" w:eastAsia="en-AU"/>
                <w14:ligatures w14:val="none"/>
              </w:rPr>
            </w:pPr>
            <w:r w:rsidRPr="00D858B6">
              <w:rPr>
                <w:rFonts w:ascii="Corbel" w:eastAsia="Times New Roman" w:hAnsi="Corbel" w:cs="Arial"/>
                <w:b/>
                <w:iCs/>
                <w:kern w:val="0"/>
                <w:sz w:val="26"/>
                <w:szCs w:val="26"/>
                <w:lang w:val="en-US" w:eastAsia="en-AU"/>
                <w14:ligatures w14:val="none"/>
              </w:rPr>
              <w:t>Table 2: Performance milestones</w:t>
            </w:r>
          </w:p>
        </w:tc>
        <w:tc>
          <w:tcPr>
            <w:tcW w:w="1843" w:type="dxa"/>
            <w:shd w:val="clear" w:color="auto" w:fill="F2F2F2"/>
          </w:tcPr>
          <w:p w14:paraId="6DA93AF2" w14:textId="77777777" w:rsidR="00D858B6" w:rsidRPr="00D858B6" w:rsidRDefault="00D858B6" w:rsidP="00D858B6">
            <w:pPr>
              <w:spacing w:before="80" w:after="80" w:line="240" w:lineRule="auto"/>
              <w:outlineLvl w:val="1"/>
              <w:rPr>
                <w:rFonts w:ascii="Corbel" w:eastAsia="Times New Roman" w:hAnsi="Corbel" w:cs="Arial"/>
                <w:b/>
                <w:iCs/>
                <w:kern w:val="0"/>
                <w:sz w:val="26"/>
                <w:szCs w:val="26"/>
                <w:lang w:val="en-US" w:eastAsia="en-AU"/>
                <w14:ligatures w14:val="none"/>
              </w:rPr>
            </w:pPr>
            <w:r w:rsidRPr="00D858B6">
              <w:rPr>
                <w:rFonts w:ascii="Corbel" w:eastAsia="Times New Roman" w:hAnsi="Corbel" w:cs="Arial"/>
                <w:b/>
                <w:iCs/>
                <w:kern w:val="0"/>
                <w:sz w:val="26"/>
                <w:szCs w:val="26"/>
                <w:lang w:val="en-US" w:eastAsia="en-AU"/>
                <w14:ligatures w14:val="none"/>
              </w:rPr>
              <w:t>Report due</w:t>
            </w:r>
          </w:p>
        </w:tc>
        <w:tc>
          <w:tcPr>
            <w:tcW w:w="2126" w:type="dxa"/>
            <w:shd w:val="clear" w:color="auto" w:fill="F2F2F2"/>
          </w:tcPr>
          <w:p w14:paraId="10475406" w14:textId="77777777" w:rsidR="00D858B6" w:rsidRPr="00D858B6" w:rsidRDefault="00D858B6" w:rsidP="00D858B6">
            <w:pPr>
              <w:spacing w:before="80" w:after="80" w:line="240" w:lineRule="auto"/>
              <w:outlineLvl w:val="1"/>
              <w:rPr>
                <w:rFonts w:ascii="Corbel" w:eastAsia="Times New Roman" w:hAnsi="Corbel" w:cs="Arial"/>
                <w:b/>
                <w:iCs/>
                <w:kern w:val="0"/>
                <w:sz w:val="26"/>
                <w:szCs w:val="26"/>
                <w:lang w:val="en-US" w:eastAsia="en-AU"/>
                <w14:ligatures w14:val="none"/>
              </w:rPr>
            </w:pPr>
            <w:r w:rsidRPr="00D858B6">
              <w:rPr>
                <w:rFonts w:ascii="Corbel" w:eastAsia="Times New Roman" w:hAnsi="Corbel" w:cs="Arial"/>
                <w:b/>
                <w:iCs/>
                <w:kern w:val="0"/>
                <w:sz w:val="26"/>
                <w:szCs w:val="26"/>
                <w:lang w:val="en-US" w:eastAsia="en-AU"/>
                <w14:ligatures w14:val="none"/>
              </w:rPr>
              <w:t xml:space="preserve"> Payment</w:t>
            </w:r>
          </w:p>
        </w:tc>
      </w:tr>
      <w:tr w:rsidR="00D858B6" w:rsidRPr="00D858B6" w14:paraId="41960D87" w14:textId="77777777" w:rsidTr="00AA0090">
        <w:tc>
          <w:tcPr>
            <w:tcW w:w="5954" w:type="dxa"/>
            <w:tcBorders>
              <w:top w:val="single" w:sz="8" w:space="0" w:color="4F81BD"/>
              <w:left w:val="single" w:sz="8" w:space="0" w:color="4F81BD"/>
              <w:bottom w:val="single" w:sz="8" w:space="0" w:color="4F81BD"/>
              <w:right w:val="single" w:sz="8" w:space="0" w:color="4F81BD"/>
            </w:tcBorders>
            <w:shd w:val="clear" w:color="auto" w:fill="auto"/>
          </w:tcPr>
          <w:p w14:paraId="0F1C9B5D" w14:textId="77777777" w:rsidR="00D858B6" w:rsidRPr="00D858B6" w:rsidRDefault="00D858B6" w:rsidP="00D858B6">
            <w:pPr>
              <w:widowControl w:val="0"/>
              <w:numPr>
                <w:ilvl w:val="0"/>
                <w:numId w:val="4"/>
              </w:numPr>
              <w:spacing w:before="60" w:after="60" w:line="240" w:lineRule="auto"/>
              <w:outlineLvl w:val="1"/>
              <w:rPr>
                <w:rFonts w:ascii="Corbel" w:eastAsia="Times New Roman" w:hAnsi="Corbel" w:cs="Arial"/>
                <w:b/>
                <w:bCs/>
                <w:iCs/>
                <w:kern w:val="0"/>
                <w:sz w:val="24"/>
                <w:szCs w:val="24"/>
                <w:lang w:val="en-US" w:eastAsia="en-AU"/>
                <w14:ligatures w14:val="none"/>
              </w:rPr>
            </w:pPr>
            <w:r w:rsidRPr="00D858B6">
              <w:rPr>
                <w:rFonts w:ascii="Corbel" w:eastAsia="Times New Roman" w:hAnsi="Corbel" w:cs="Arial"/>
                <w:b/>
                <w:bCs/>
                <w:iCs/>
                <w:kern w:val="0"/>
                <w:sz w:val="24"/>
                <w:szCs w:val="24"/>
                <w:lang w:val="en-US" w:eastAsia="en-AU"/>
                <w14:ligatures w14:val="none"/>
              </w:rPr>
              <w:t>For Financial Year (FY) 2023-24:</w:t>
            </w:r>
          </w:p>
          <w:p w14:paraId="5780FE66"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Provision by NSW to the satisfaction of the Commonwealth of:</w:t>
            </w:r>
          </w:p>
          <w:p w14:paraId="0AAC7111" w14:textId="77777777" w:rsidR="00D858B6" w:rsidRPr="00D858B6" w:rsidRDefault="00D858B6" w:rsidP="00D858B6">
            <w:pPr>
              <w:widowControl w:val="0"/>
              <w:numPr>
                <w:ilvl w:val="0"/>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 notice from the SFV:</w:t>
            </w:r>
          </w:p>
          <w:p w14:paraId="147A3CC5" w14:textId="77777777" w:rsidR="00D858B6" w:rsidRPr="00D858B6" w:rsidRDefault="00D858B6" w:rsidP="00D858B6">
            <w:pPr>
              <w:widowControl w:val="0"/>
              <w:numPr>
                <w:ilvl w:val="1"/>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Confirming the Commonwealth-funded projects;  </w:t>
            </w:r>
          </w:p>
          <w:p w14:paraId="307A0FC2" w14:textId="77777777" w:rsidR="00D858B6" w:rsidRPr="00D858B6" w:rsidRDefault="00D858B6" w:rsidP="00D858B6">
            <w:pPr>
              <w:widowControl w:val="0"/>
              <w:numPr>
                <w:ilvl w:val="1"/>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Detailing the Commonwealth-funded projects,</w:t>
            </w:r>
            <w:r w:rsidRPr="00D858B6" w:rsidDel="005A0E64">
              <w:rPr>
                <w:rFonts w:ascii="Corbel" w:eastAsia="Times New Roman" w:hAnsi="Corbel" w:cs="Arial"/>
                <w:iCs/>
                <w:kern w:val="0"/>
                <w:sz w:val="24"/>
                <w:szCs w:val="24"/>
                <w:lang w:val="en-US" w:eastAsia="en-AU"/>
                <w14:ligatures w14:val="none"/>
              </w:rPr>
              <w:t xml:space="preserve"> </w:t>
            </w:r>
            <w:r w:rsidRPr="00D858B6">
              <w:rPr>
                <w:rFonts w:ascii="Corbel" w:eastAsia="Times New Roman" w:hAnsi="Corbel" w:cs="Arial"/>
                <w:iCs/>
                <w:kern w:val="0"/>
                <w:sz w:val="24"/>
                <w:szCs w:val="24"/>
                <w:lang w:val="en-US" w:eastAsia="en-AU"/>
                <w14:ligatures w14:val="none"/>
              </w:rPr>
              <w:t>including the:</w:t>
            </w:r>
          </w:p>
          <w:p w14:paraId="55BB562C" w14:textId="77777777" w:rsidR="00D858B6" w:rsidRPr="00D858B6" w:rsidRDefault="00D858B6" w:rsidP="00D858B6">
            <w:pPr>
              <w:widowControl w:val="0"/>
              <w:numPr>
                <w:ilvl w:val="2"/>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annuity caps;</w:t>
            </w:r>
          </w:p>
          <w:p w14:paraId="0EE5C7E1" w14:textId="77777777" w:rsidR="00D858B6" w:rsidRPr="00D858B6" w:rsidRDefault="00D858B6" w:rsidP="00D858B6">
            <w:pPr>
              <w:widowControl w:val="0"/>
              <w:numPr>
                <w:ilvl w:val="2"/>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MW capacity; and</w:t>
            </w:r>
          </w:p>
          <w:p w14:paraId="2031B9D0" w14:textId="77777777" w:rsidR="00D858B6" w:rsidRPr="00D858B6" w:rsidRDefault="00D858B6" w:rsidP="00D858B6">
            <w:pPr>
              <w:widowControl w:val="0"/>
              <w:numPr>
                <w:ilvl w:val="2"/>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LTES Operator, location, technology type, estimated construction completion date, and term of the agreement. </w:t>
            </w:r>
          </w:p>
          <w:p w14:paraId="2EB22772" w14:textId="77777777" w:rsidR="00D858B6" w:rsidRPr="00D858B6" w:rsidRDefault="00D858B6" w:rsidP="00D858B6">
            <w:pPr>
              <w:widowControl w:val="0"/>
              <w:numPr>
                <w:ilvl w:val="0"/>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Copies of all executed LTESAs with Commonwealth-funded projects, in accordance with Clause 14 Additional Terms;</w:t>
            </w:r>
          </w:p>
          <w:p w14:paraId="03A013D0" w14:textId="77777777" w:rsidR="00D858B6" w:rsidRPr="00D858B6" w:rsidRDefault="00D858B6" w:rsidP="00D858B6">
            <w:pPr>
              <w:widowControl w:val="0"/>
              <w:numPr>
                <w:ilvl w:val="0"/>
                <w:numId w:val="2"/>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Anticipated costs of the SFV for </w:t>
            </w:r>
            <w:r w:rsidRPr="00D858B6">
              <w:rPr>
                <w:rFonts w:ascii="Corbel" w:eastAsia="Times New Roman" w:hAnsi="Corbel" w:cs="Arial"/>
                <w:b/>
                <w:bCs/>
                <w:iCs/>
                <w:kern w:val="0"/>
                <w:sz w:val="24"/>
                <w:szCs w:val="24"/>
                <w:lang w:val="en-US" w:eastAsia="en-AU"/>
                <w14:ligatures w14:val="none"/>
              </w:rPr>
              <w:t>FY</w:t>
            </w:r>
            <w:r w:rsidRPr="00D858B6">
              <w:rPr>
                <w:rFonts w:ascii="Corbel" w:eastAsia="Times New Roman" w:hAnsi="Corbel" w:cs="Arial"/>
                <w:b/>
                <w:iCs/>
                <w:kern w:val="0"/>
                <w:sz w:val="24"/>
                <w:szCs w:val="24"/>
                <w:lang w:val="en-US" w:eastAsia="en-AU"/>
                <w14:ligatures w14:val="none"/>
              </w:rPr>
              <w:t>2023-24</w:t>
            </w:r>
            <w:r w:rsidRPr="00D858B6">
              <w:rPr>
                <w:rFonts w:ascii="Corbel" w:eastAsia="Times New Roman" w:hAnsi="Corbel" w:cs="Arial"/>
                <w:bCs/>
                <w:iCs/>
                <w:kern w:val="0"/>
                <w:sz w:val="24"/>
                <w:szCs w:val="24"/>
                <w:lang w:val="en-US" w:eastAsia="en-AU"/>
                <w14:ligatures w14:val="none"/>
              </w:rPr>
              <w:t xml:space="preserve"> and </w:t>
            </w:r>
            <w:r w:rsidRPr="00D858B6">
              <w:rPr>
                <w:rFonts w:ascii="Corbel" w:eastAsia="Times New Roman" w:hAnsi="Corbel" w:cs="Arial"/>
                <w:b/>
                <w:iCs/>
                <w:kern w:val="0"/>
                <w:sz w:val="24"/>
                <w:szCs w:val="24"/>
                <w:lang w:val="en-US" w:eastAsia="en-AU"/>
                <w14:ligatures w14:val="none"/>
              </w:rPr>
              <w:lastRenderedPageBreak/>
              <w:t>FY2024-25</w:t>
            </w:r>
            <w:r w:rsidRPr="00D858B6">
              <w:rPr>
                <w:rFonts w:ascii="Corbel" w:eastAsia="Times New Roman" w:hAnsi="Corbel" w:cs="Arial"/>
                <w:iCs/>
                <w:kern w:val="0"/>
                <w:sz w:val="24"/>
                <w:szCs w:val="24"/>
                <w:lang w:val="en-US" w:eastAsia="en-AU"/>
                <w14:ligatures w14:val="none"/>
              </w:rPr>
              <w:t xml:space="preserve"> in relation to all selected Commonwealth-funded projects supported by a reasonable methodology and calculations.</w:t>
            </w:r>
          </w:p>
          <w:p w14:paraId="2F24CC69" w14:textId="77777777" w:rsidR="00D858B6" w:rsidRPr="00D858B6" w:rsidRDefault="00D858B6" w:rsidP="00D858B6">
            <w:pPr>
              <w:spacing w:before="60" w:after="60" w:line="240" w:lineRule="auto"/>
              <w:ind w:left="360"/>
              <w:outlineLvl w:val="1"/>
              <w:rPr>
                <w:rFonts w:ascii="Corbel" w:eastAsia="Times New Roman" w:hAnsi="Corbel" w:cs="Arial"/>
                <w:iCs/>
                <w:kern w:val="0"/>
                <w:sz w:val="24"/>
                <w:szCs w:val="24"/>
                <w:lang w:val="en-US" w:eastAsia="en-AU"/>
                <w14:ligatures w14:val="none"/>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1C29450"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lastRenderedPageBreak/>
              <w:t xml:space="preserve">Within five (5) Business Days of the execution of all the LTESAs for the Commonwealth-funded projects. </w:t>
            </w:r>
            <w:r w:rsidRPr="00D858B6" w:rsidDel="00E031DB">
              <w:rPr>
                <w:rFonts w:ascii="Corbel" w:eastAsia="Times New Roman" w:hAnsi="Corbel" w:cs="Arial"/>
                <w:iCs/>
                <w:kern w:val="0"/>
                <w:sz w:val="24"/>
                <w:szCs w:val="24"/>
                <w:lang w:val="en-US" w:eastAsia="en-AU"/>
                <w14:ligatures w14:val="none"/>
              </w:rPr>
              <w:t xml:space="preserve">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10C0956F"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Amount reflecting anticipated SFV costs for FY2023-24 and FY2024-25.</w:t>
            </w:r>
          </w:p>
          <w:p w14:paraId="47318B08"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52AF853A"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Amount capped as specified in Table 1</w:t>
            </w:r>
          </w:p>
          <w:p w14:paraId="3296DB50"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60684C59"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1C45ECB1" w14:textId="77777777" w:rsidR="00D858B6" w:rsidRPr="00D858B6" w:rsidRDefault="00D858B6" w:rsidP="003223EF">
            <w:pPr>
              <w:spacing w:before="60" w:after="60" w:line="240" w:lineRule="auto"/>
              <w:outlineLvl w:val="1"/>
              <w:rPr>
                <w:rFonts w:ascii="Corbel" w:eastAsia="Times New Roman" w:hAnsi="Corbel" w:cs="Arial"/>
                <w:iCs/>
                <w:kern w:val="0"/>
                <w:sz w:val="20"/>
                <w:szCs w:val="20"/>
                <w:lang w:val="en-US" w:eastAsia="en-AU"/>
                <w14:ligatures w14:val="none"/>
              </w:rPr>
            </w:pPr>
            <w:r w:rsidRPr="00D858B6">
              <w:rPr>
                <w:rFonts w:ascii="Corbel" w:eastAsia="Times New Roman" w:hAnsi="Corbel" w:cs="Arial"/>
                <w:iCs/>
                <w:kern w:val="0"/>
                <w:sz w:val="24"/>
                <w:szCs w:val="24"/>
                <w:lang w:val="en-US" w:eastAsia="en-AU"/>
                <w14:ligatures w14:val="none"/>
              </w:rPr>
              <w:t xml:space="preserve"> Payment will be made in the next available payment period following approval of the milestone</w:t>
            </w:r>
            <w:r w:rsidRPr="00D858B6">
              <w:rPr>
                <w:rFonts w:ascii="Corbel" w:eastAsia="Times New Roman" w:hAnsi="Corbel" w:cs="Arial"/>
                <w:iCs/>
                <w:kern w:val="0"/>
                <w:lang w:val="en-US" w:eastAsia="en-AU"/>
                <w14:ligatures w14:val="none"/>
              </w:rPr>
              <w:t>.</w:t>
            </w:r>
          </w:p>
        </w:tc>
      </w:tr>
      <w:tr w:rsidR="00D858B6" w:rsidRPr="00D858B6" w14:paraId="3C170F64" w14:textId="77777777" w:rsidTr="00AA0090">
        <w:trPr>
          <w:trHeight w:val="40"/>
        </w:trPr>
        <w:tc>
          <w:tcPr>
            <w:tcW w:w="5954" w:type="dxa"/>
            <w:tcBorders>
              <w:top w:val="single" w:sz="8" w:space="0" w:color="4F81BD"/>
              <w:left w:val="single" w:sz="8" w:space="0" w:color="4F81BD"/>
              <w:bottom w:val="single" w:sz="8" w:space="0" w:color="4F81BD"/>
              <w:right w:val="single" w:sz="8" w:space="0" w:color="4F81BD"/>
            </w:tcBorders>
            <w:shd w:val="clear" w:color="auto" w:fill="auto"/>
          </w:tcPr>
          <w:p w14:paraId="3491DBF8" w14:textId="2CE327A1" w:rsidR="00D858B6" w:rsidRPr="00D858B6" w:rsidRDefault="00D858B6" w:rsidP="00D858B6">
            <w:pPr>
              <w:widowControl w:val="0"/>
              <w:numPr>
                <w:ilvl w:val="0"/>
                <w:numId w:val="4"/>
              </w:numPr>
              <w:spacing w:before="60" w:after="60" w:line="240" w:lineRule="auto"/>
              <w:outlineLvl w:val="1"/>
              <w:rPr>
                <w:rFonts w:ascii="Corbel" w:eastAsia="Times New Roman" w:hAnsi="Corbel" w:cs="Arial"/>
                <w:b/>
                <w:bCs/>
                <w:iCs/>
                <w:kern w:val="0"/>
                <w:sz w:val="24"/>
                <w:szCs w:val="24"/>
                <w:lang w:val="en-US" w:eastAsia="en-AU"/>
                <w14:ligatures w14:val="none"/>
              </w:rPr>
            </w:pPr>
            <w:r w:rsidRPr="00D858B6">
              <w:rPr>
                <w:rFonts w:ascii="Corbel" w:eastAsia="Times New Roman" w:hAnsi="Corbel" w:cs="Arial"/>
                <w:b/>
                <w:bCs/>
                <w:iCs/>
                <w:kern w:val="0"/>
                <w:sz w:val="24"/>
                <w:szCs w:val="24"/>
                <w:lang w:val="en-US" w:eastAsia="en-AU"/>
                <w14:ligatures w14:val="none"/>
              </w:rPr>
              <w:t xml:space="preserve">For Financial Year (FY) 2024-2025 and each subsequent year until FY2034-2035 (inclusive), or further years as required (through Clause 5 of Financial Contributions) until the financial year (inclusive) before the financial year in which the last LTESA for a Commonwealth-funded project expires: </w:t>
            </w:r>
          </w:p>
          <w:p w14:paraId="5AB09075"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Provision by NSW to the satisfaction of the Commonwealth:</w:t>
            </w:r>
          </w:p>
          <w:p w14:paraId="42A2D0C4" w14:textId="77777777" w:rsidR="00D858B6" w:rsidRPr="00D858B6" w:rsidRDefault="00D858B6" w:rsidP="00D858B6">
            <w:pPr>
              <w:widowControl w:val="0"/>
              <w:numPr>
                <w:ilvl w:val="0"/>
                <w:numId w:val="1"/>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Actual costs incurred by the SFV for the </w:t>
            </w:r>
            <w:r w:rsidRPr="00D858B6" w:rsidDel="0063690C">
              <w:rPr>
                <w:rFonts w:ascii="Corbel" w:eastAsia="Times New Roman" w:hAnsi="Corbel" w:cs="Arial"/>
                <w:iCs/>
                <w:kern w:val="0"/>
                <w:sz w:val="24"/>
                <w:szCs w:val="24"/>
                <w:lang w:val="en-US" w:eastAsia="en-AU"/>
                <w14:ligatures w14:val="none"/>
              </w:rPr>
              <w:t xml:space="preserve">previous </w:t>
            </w:r>
            <w:r w:rsidRPr="00D858B6">
              <w:rPr>
                <w:rFonts w:ascii="Corbel" w:eastAsia="Times New Roman" w:hAnsi="Corbel" w:cs="Arial"/>
                <w:iCs/>
                <w:kern w:val="0"/>
                <w:sz w:val="24"/>
                <w:szCs w:val="24"/>
                <w:lang w:val="en-US" w:eastAsia="en-AU"/>
                <w14:ligatures w14:val="none"/>
              </w:rPr>
              <w:t>financial year for Commonwealth-funded projects, including the reports at Appendix A Clause 1;</w:t>
            </w:r>
          </w:p>
          <w:p w14:paraId="7B2FB722" w14:textId="16AA1DB4" w:rsidR="00D858B6" w:rsidRPr="0062659B" w:rsidRDefault="00FC5263" w:rsidP="00D858B6">
            <w:pPr>
              <w:widowControl w:val="0"/>
              <w:numPr>
                <w:ilvl w:val="0"/>
                <w:numId w:val="1"/>
              </w:numPr>
              <w:spacing w:before="60" w:after="60" w:line="240" w:lineRule="auto"/>
              <w:outlineLvl w:val="1"/>
              <w:rPr>
                <w:rFonts w:ascii="Corbel" w:eastAsia="Times New Roman" w:hAnsi="Corbel" w:cs="Arial"/>
                <w:iCs/>
                <w:kern w:val="0"/>
                <w:sz w:val="20"/>
                <w:szCs w:val="20"/>
                <w:lang w:val="en-US" w:eastAsia="en-AU"/>
                <w14:ligatures w14:val="none"/>
              </w:rPr>
            </w:pPr>
            <w:r>
              <w:rPr>
                <w:rFonts w:ascii="Corbel" w:eastAsia="Times New Roman" w:hAnsi="Corbel" w:cs="Arial"/>
                <w:iCs/>
                <w:kern w:val="0"/>
                <w:sz w:val="24"/>
                <w:szCs w:val="24"/>
                <w:lang w:val="en-US" w:eastAsia="en-AU"/>
                <w14:ligatures w14:val="none"/>
              </w:rPr>
              <w:t>For the FY2024-25 to FY2033-34 reports, a</w:t>
            </w:r>
            <w:r w:rsidR="00D858B6" w:rsidRPr="00D858B6">
              <w:rPr>
                <w:rFonts w:ascii="Corbel" w:eastAsia="Times New Roman" w:hAnsi="Corbel" w:cs="Arial"/>
                <w:iCs/>
                <w:kern w:val="0"/>
                <w:sz w:val="24"/>
                <w:szCs w:val="24"/>
                <w:lang w:val="en-US" w:eastAsia="en-AU"/>
                <w14:ligatures w14:val="none"/>
              </w:rPr>
              <w:t>nticipated costs of the SFV for the following financial year for all Commonwealth-funded projects supported by a reasonable methodology and calculations.</w:t>
            </w:r>
          </w:p>
          <w:p w14:paraId="64213EC3" w14:textId="09BE2F46" w:rsidR="00FC5263" w:rsidRPr="00D858B6" w:rsidRDefault="00FC5263" w:rsidP="00D858B6">
            <w:pPr>
              <w:widowControl w:val="0"/>
              <w:numPr>
                <w:ilvl w:val="0"/>
                <w:numId w:val="1"/>
              </w:numPr>
              <w:spacing w:before="60" w:after="60" w:line="240" w:lineRule="auto"/>
              <w:outlineLvl w:val="1"/>
              <w:rPr>
                <w:rFonts w:ascii="Corbel" w:eastAsia="Times New Roman" w:hAnsi="Corbel" w:cs="Arial"/>
                <w:iCs/>
                <w:kern w:val="0"/>
                <w:sz w:val="20"/>
                <w:szCs w:val="20"/>
                <w:lang w:val="en-US" w:eastAsia="en-AU"/>
                <w14:ligatures w14:val="none"/>
              </w:rPr>
            </w:pPr>
            <w:r>
              <w:rPr>
                <w:rFonts w:ascii="Corbel" w:eastAsia="Times New Roman" w:hAnsi="Corbel" w:cs="Arial"/>
                <w:iCs/>
                <w:kern w:val="0"/>
                <w:sz w:val="24"/>
                <w:szCs w:val="24"/>
                <w:lang w:val="en-US" w:eastAsia="en-AU"/>
                <w14:ligatures w14:val="none"/>
              </w:rPr>
              <w:t xml:space="preserve">For the FY2034-35 report, </w:t>
            </w:r>
            <w:r w:rsidRPr="00FC5263">
              <w:rPr>
                <w:rFonts w:ascii="Corbel" w:eastAsia="Times New Roman" w:hAnsi="Corbel" w:cs="Arial"/>
                <w:iCs/>
                <w:kern w:val="0"/>
                <w:sz w:val="24"/>
                <w:szCs w:val="24"/>
                <w:lang w:val="en-US" w:eastAsia="en-AU"/>
                <w14:ligatures w14:val="none"/>
              </w:rPr>
              <w:t>anticipated costs of the SFV for the following</w:t>
            </w:r>
            <w:r>
              <w:rPr>
                <w:rFonts w:ascii="Corbel" w:eastAsia="Times New Roman" w:hAnsi="Corbel" w:cs="Arial"/>
                <w:iCs/>
                <w:kern w:val="0"/>
                <w:sz w:val="24"/>
                <w:szCs w:val="24"/>
                <w:lang w:val="en-US" w:eastAsia="en-AU"/>
                <w14:ligatures w14:val="none"/>
              </w:rPr>
              <w:t xml:space="preserve"> two</w:t>
            </w:r>
            <w:r w:rsidRPr="00FC5263">
              <w:rPr>
                <w:rFonts w:ascii="Corbel" w:eastAsia="Times New Roman" w:hAnsi="Corbel" w:cs="Arial"/>
                <w:iCs/>
                <w:kern w:val="0"/>
                <w:sz w:val="24"/>
                <w:szCs w:val="24"/>
                <w:lang w:val="en-US" w:eastAsia="en-AU"/>
                <w14:ligatures w14:val="none"/>
              </w:rPr>
              <w:t xml:space="preserve"> financial year</w:t>
            </w:r>
            <w:r>
              <w:rPr>
                <w:rFonts w:ascii="Corbel" w:eastAsia="Times New Roman" w:hAnsi="Corbel" w:cs="Arial"/>
                <w:iCs/>
                <w:kern w:val="0"/>
                <w:sz w:val="24"/>
                <w:szCs w:val="24"/>
                <w:lang w:val="en-US" w:eastAsia="en-AU"/>
                <w14:ligatures w14:val="none"/>
              </w:rPr>
              <w:t>s</w:t>
            </w:r>
            <w:r w:rsidRPr="00FC5263">
              <w:rPr>
                <w:rFonts w:ascii="Corbel" w:eastAsia="Times New Roman" w:hAnsi="Corbel" w:cs="Arial"/>
                <w:iCs/>
                <w:kern w:val="0"/>
                <w:sz w:val="24"/>
                <w:szCs w:val="24"/>
                <w:lang w:val="en-US" w:eastAsia="en-AU"/>
                <w14:ligatures w14:val="none"/>
              </w:rPr>
              <w:t xml:space="preserve"> for all Commonwealth-funded projects supported by a reasonable methodology and calculations</w:t>
            </w:r>
            <w:r>
              <w:rPr>
                <w:rFonts w:ascii="Corbel" w:eastAsia="Times New Roman" w:hAnsi="Corbel" w:cs="Arial"/>
                <w:iCs/>
                <w:kern w:val="0"/>
                <w:sz w:val="24"/>
                <w:szCs w:val="24"/>
                <w:lang w:val="en-US" w:eastAsia="en-AU"/>
                <w14:ligatures w14:val="none"/>
              </w:rPr>
              <w:t>.</w:t>
            </w:r>
          </w:p>
          <w:p w14:paraId="70917B93" w14:textId="77777777" w:rsidR="00D858B6" w:rsidRPr="00D858B6" w:rsidRDefault="00D858B6" w:rsidP="00D858B6">
            <w:pPr>
              <w:spacing w:before="60" w:after="60" w:line="240" w:lineRule="auto"/>
              <w:outlineLvl w:val="1"/>
              <w:rPr>
                <w:rFonts w:ascii="Corbel" w:eastAsia="Times New Roman" w:hAnsi="Corbel" w:cs="Arial"/>
                <w:iCs/>
                <w:kern w:val="0"/>
                <w:sz w:val="20"/>
                <w:szCs w:val="20"/>
                <w:lang w:val="en-US" w:eastAsia="en-AU"/>
                <w14:ligatures w14:val="none"/>
              </w:rPr>
            </w:pPr>
          </w:p>
          <w:p w14:paraId="183EA9B8" w14:textId="77777777" w:rsidR="00D858B6" w:rsidRPr="00D858B6" w:rsidRDefault="00D858B6" w:rsidP="00D858B6">
            <w:pPr>
              <w:spacing w:before="60" w:after="60" w:line="240" w:lineRule="auto"/>
              <w:outlineLvl w:val="1"/>
              <w:rPr>
                <w:rFonts w:ascii="Corbel" w:eastAsia="Times New Roman" w:hAnsi="Corbel" w:cs="Arial"/>
                <w:iCs/>
                <w:kern w:val="0"/>
                <w:sz w:val="20"/>
                <w:szCs w:val="20"/>
                <w:lang w:val="en-US" w:eastAsia="en-AU"/>
                <w14:ligatures w14:val="none"/>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3701C04D"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15 May of each year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93B1640" w14:textId="6D827535"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Amount reflecting anticipated SFV costs for the following FY</w:t>
            </w:r>
            <w:r w:rsidR="008052B3">
              <w:rPr>
                <w:rFonts w:ascii="Corbel" w:eastAsia="Times New Roman" w:hAnsi="Corbel" w:cs="Arial"/>
                <w:iCs/>
                <w:kern w:val="0"/>
                <w:sz w:val="24"/>
                <w:szCs w:val="24"/>
                <w:lang w:val="en-US" w:eastAsia="en-AU"/>
                <w14:ligatures w14:val="none"/>
              </w:rPr>
              <w:t xml:space="preserve"> </w:t>
            </w:r>
            <w:r w:rsidR="00C677DF">
              <w:rPr>
                <w:rFonts w:ascii="Corbel" w:eastAsia="Times New Roman" w:hAnsi="Corbel" w:cs="Arial"/>
                <w:iCs/>
                <w:kern w:val="0"/>
                <w:sz w:val="24"/>
                <w:szCs w:val="24"/>
                <w:lang w:val="en-US" w:eastAsia="en-AU"/>
                <w14:ligatures w14:val="none"/>
              </w:rPr>
              <w:t>for the 2024-25 to 2034-35 (inclusive) payments</w:t>
            </w:r>
            <w:r w:rsidR="00F202A3">
              <w:rPr>
                <w:rFonts w:ascii="Corbel" w:eastAsia="Times New Roman" w:hAnsi="Corbel" w:cs="Arial"/>
                <w:iCs/>
                <w:kern w:val="0"/>
                <w:sz w:val="24"/>
                <w:szCs w:val="24"/>
                <w:lang w:val="en-US" w:eastAsia="en-AU"/>
                <w14:ligatures w14:val="none"/>
              </w:rPr>
              <w:t>,</w:t>
            </w:r>
            <w:r w:rsidR="00C677DF">
              <w:rPr>
                <w:rFonts w:ascii="Corbel" w:eastAsia="Times New Roman" w:hAnsi="Corbel" w:cs="Arial"/>
                <w:iCs/>
                <w:kern w:val="0"/>
                <w:sz w:val="24"/>
                <w:szCs w:val="24"/>
                <w:lang w:val="en-US" w:eastAsia="en-AU"/>
                <w14:ligatures w14:val="none"/>
              </w:rPr>
              <w:t xml:space="preserve"> and </w:t>
            </w:r>
            <w:r w:rsidR="008052B3">
              <w:rPr>
                <w:rFonts w:ascii="Corbel" w:eastAsia="Times New Roman" w:hAnsi="Corbel" w:cs="Arial"/>
                <w:iCs/>
                <w:kern w:val="0"/>
                <w:sz w:val="24"/>
                <w:szCs w:val="24"/>
                <w:lang w:val="en-US" w:eastAsia="en-AU"/>
                <w14:ligatures w14:val="none"/>
              </w:rPr>
              <w:t xml:space="preserve">the following two FYs for </w:t>
            </w:r>
            <w:r w:rsidR="00734DE1">
              <w:rPr>
                <w:rFonts w:ascii="Corbel" w:eastAsia="Times New Roman" w:hAnsi="Corbel" w:cs="Arial"/>
                <w:iCs/>
                <w:kern w:val="0"/>
                <w:sz w:val="24"/>
                <w:szCs w:val="24"/>
                <w:lang w:val="en-US" w:eastAsia="en-AU"/>
                <w14:ligatures w14:val="none"/>
              </w:rPr>
              <w:t xml:space="preserve">the </w:t>
            </w:r>
            <w:r w:rsidR="008052B3">
              <w:rPr>
                <w:rFonts w:ascii="Corbel" w:eastAsia="Times New Roman" w:hAnsi="Corbel" w:cs="Arial"/>
                <w:iCs/>
                <w:kern w:val="0"/>
                <w:sz w:val="24"/>
                <w:szCs w:val="24"/>
                <w:lang w:val="en-US" w:eastAsia="en-AU"/>
                <w14:ligatures w14:val="none"/>
              </w:rPr>
              <w:t>2035-36 payment</w:t>
            </w:r>
            <w:r w:rsidRPr="00D858B6">
              <w:rPr>
                <w:rFonts w:ascii="Corbel" w:eastAsia="Times New Roman" w:hAnsi="Corbel" w:cs="Arial"/>
                <w:iCs/>
                <w:kern w:val="0"/>
                <w:sz w:val="24"/>
                <w:szCs w:val="24"/>
                <w:lang w:val="en-US" w:eastAsia="en-AU"/>
                <w14:ligatures w14:val="none"/>
              </w:rPr>
              <w:t>,</w:t>
            </w:r>
          </w:p>
          <w:p w14:paraId="4AD16BA4" w14:textId="4343AED3"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 minus any adjustments pursuant to Clause 17 Additional Terms.  </w:t>
            </w:r>
          </w:p>
          <w:p w14:paraId="5F1B5CFA"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p>
          <w:p w14:paraId="37CAB9F6"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Amount capped as specified in Table 1</w:t>
            </w:r>
          </w:p>
          <w:p w14:paraId="774CF5B8"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and where relevant, revised in accordance with Clause 5 Financial Contributions.</w:t>
            </w:r>
          </w:p>
          <w:p w14:paraId="5E7B8E80"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 </w:t>
            </w:r>
          </w:p>
          <w:p w14:paraId="4516ABAD"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Payment will be made in the following July payment period (and not before) following approval of the milestone, or the subsequent payment period if the milestone is not yet approved. </w:t>
            </w:r>
          </w:p>
          <w:p w14:paraId="11C4EA43"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p>
          <w:p w14:paraId="4A5BBAB8" w14:textId="77777777" w:rsidR="00D858B6" w:rsidRPr="00D858B6" w:rsidRDefault="00D858B6" w:rsidP="00B90C2D">
            <w:pPr>
              <w:spacing w:before="60" w:after="60" w:line="240" w:lineRule="auto"/>
              <w:outlineLvl w:val="1"/>
              <w:rPr>
                <w:rFonts w:ascii="Corbel" w:eastAsia="Times New Roman" w:hAnsi="Corbel" w:cs="Arial"/>
                <w:iCs/>
                <w:kern w:val="0"/>
                <w:sz w:val="24"/>
                <w:szCs w:val="24"/>
                <w:lang w:val="en-US" w:eastAsia="en-AU"/>
                <w14:ligatures w14:val="none"/>
              </w:rPr>
            </w:pPr>
          </w:p>
        </w:tc>
      </w:tr>
      <w:tr w:rsidR="00D858B6" w:rsidRPr="00D858B6" w14:paraId="3B6DFB68" w14:textId="77777777" w:rsidTr="00AA0090">
        <w:trPr>
          <w:trHeight w:val="40"/>
        </w:trPr>
        <w:tc>
          <w:tcPr>
            <w:tcW w:w="5954" w:type="dxa"/>
            <w:tcBorders>
              <w:top w:val="single" w:sz="8" w:space="0" w:color="4F81BD"/>
              <w:left w:val="single" w:sz="8" w:space="0" w:color="4F81BD"/>
              <w:bottom w:val="single" w:sz="8" w:space="0" w:color="4F81BD"/>
              <w:right w:val="single" w:sz="8" w:space="0" w:color="4F81BD"/>
            </w:tcBorders>
            <w:shd w:val="clear" w:color="auto" w:fill="auto"/>
          </w:tcPr>
          <w:p w14:paraId="5BB65468" w14:textId="77777777" w:rsidR="00D858B6" w:rsidRPr="00D858B6" w:rsidRDefault="00D858B6" w:rsidP="00D858B6">
            <w:pPr>
              <w:widowControl w:val="0"/>
              <w:numPr>
                <w:ilvl w:val="0"/>
                <w:numId w:val="4"/>
              </w:numPr>
              <w:spacing w:before="60" w:after="60" w:line="240" w:lineRule="auto"/>
              <w:outlineLvl w:val="1"/>
              <w:rPr>
                <w:rFonts w:ascii="Corbel" w:eastAsia="Times New Roman" w:hAnsi="Corbel" w:cs="Arial"/>
                <w:b/>
                <w:bCs/>
                <w:iCs/>
                <w:kern w:val="0"/>
                <w:sz w:val="24"/>
                <w:szCs w:val="24"/>
                <w:lang w:val="en-US" w:eastAsia="en-AU"/>
                <w14:ligatures w14:val="none"/>
              </w:rPr>
            </w:pPr>
            <w:r w:rsidRPr="00D858B6">
              <w:rPr>
                <w:rFonts w:ascii="Corbel" w:eastAsia="Times New Roman" w:hAnsi="Corbel" w:cs="Arial"/>
                <w:b/>
                <w:bCs/>
                <w:iCs/>
                <w:kern w:val="0"/>
                <w:sz w:val="24"/>
                <w:szCs w:val="24"/>
                <w:lang w:val="en-US" w:eastAsia="en-AU"/>
                <w14:ligatures w14:val="none"/>
              </w:rPr>
              <w:t xml:space="preserve">For FY 2036-2037, or 18 months after the date the last LTESA for a Commonwealth-funded project expires – whichever is later: </w:t>
            </w:r>
          </w:p>
          <w:p w14:paraId="7CD0F4E4"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lastRenderedPageBreak/>
              <w:t>Provision by NSW to the satisfaction of the Commonwealth of:</w:t>
            </w:r>
          </w:p>
          <w:p w14:paraId="774FCA3B" w14:textId="77777777" w:rsidR="00D858B6" w:rsidRPr="00D858B6" w:rsidRDefault="00D858B6" w:rsidP="00D858B6">
            <w:pPr>
              <w:widowControl w:val="0"/>
              <w:numPr>
                <w:ilvl w:val="0"/>
                <w:numId w:val="1"/>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Actual costs incurred by the SFV for any previous financial years for Commonwealth-funded projects not already reported to the Commonwealth, including the reports at Appendix A Clause 1;</w:t>
            </w:r>
          </w:p>
          <w:p w14:paraId="4B0E3FEE" w14:textId="77777777" w:rsidR="00D858B6" w:rsidRPr="00D858B6" w:rsidRDefault="00D858B6" w:rsidP="00D858B6">
            <w:pPr>
              <w:widowControl w:val="0"/>
              <w:numPr>
                <w:ilvl w:val="0"/>
                <w:numId w:val="3"/>
              </w:num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A final statement of any funds received from the Commonwealth under this Schedule that are still held in the EIF, inclusive of any repayments from LTES Operators received by the SFV in connection with a Commonwealth-funded project. </w:t>
            </w:r>
          </w:p>
          <w:p w14:paraId="7CB76918" w14:textId="77777777" w:rsidR="00D858B6" w:rsidRPr="00D858B6" w:rsidRDefault="00D858B6" w:rsidP="00D858B6">
            <w:pPr>
              <w:spacing w:before="60" w:after="60" w:line="240" w:lineRule="auto"/>
              <w:ind w:left="360"/>
              <w:outlineLvl w:val="1"/>
              <w:rPr>
                <w:rFonts w:ascii="Corbel" w:eastAsia="Times New Roman" w:hAnsi="Corbel" w:cs="Arial"/>
                <w:b/>
                <w:bCs/>
                <w:iCs/>
                <w:color w:val="2E74B5"/>
                <w:kern w:val="0"/>
                <w:sz w:val="24"/>
                <w:szCs w:val="24"/>
                <w:lang w:val="en-US" w:eastAsia="en-AU"/>
                <w14:ligatures w14:val="none"/>
              </w:rPr>
            </w:pPr>
          </w:p>
          <w:p w14:paraId="2347C38B" w14:textId="77777777" w:rsidR="00D858B6" w:rsidRPr="00D858B6" w:rsidRDefault="00D858B6" w:rsidP="00D858B6">
            <w:pPr>
              <w:spacing w:before="60" w:after="60" w:line="240" w:lineRule="auto"/>
              <w:ind w:left="360"/>
              <w:outlineLvl w:val="1"/>
              <w:rPr>
                <w:rFonts w:ascii="Corbel" w:eastAsia="Times New Roman" w:hAnsi="Corbel" w:cs="Arial"/>
                <w:b/>
                <w:bCs/>
                <w:iCs/>
                <w:kern w:val="0"/>
                <w:sz w:val="24"/>
                <w:szCs w:val="24"/>
                <w:lang w:val="en-US" w:eastAsia="en-AU"/>
                <w14:ligatures w14:val="none"/>
              </w:rPr>
            </w:pP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13256EDC" w14:textId="77777777" w:rsidR="00D858B6" w:rsidRPr="00D858B6" w:rsidRDefault="00D858B6" w:rsidP="00D858B6">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lastRenderedPageBreak/>
              <w:t xml:space="preserve">31 December 2036 or 18 months after </w:t>
            </w:r>
            <w:r w:rsidRPr="00D858B6">
              <w:rPr>
                <w:rFonts w:ascii="Corbel" w:eastAsia="Times New Roman" w:hAnsi="Corbel" w:cs="Arial"/>
                <w:iCs/>
                <w:kern w:val="0"/>
                <w:sz w:val="24"/>
                <w:szCs w:val="24"/>
                <w:lang w:val="en-US" w:eastAsia="en-AU"/>
                <w14:ligatures w14:val="none"/>
              </w:rPr>
              <w:lastRenderedPageBreak/>
              <w:t>the last LTESA for a Commonwealth-funded project expires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1E1AACB7"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lastRenderedPageBreak/>
              <w:t xml:space="preserve">Final Reconciliation and payment (where </w:t>
            </w:r>
            <w:r w:rsidRPr="00D858B6">
              <w:rPr>
                <w:rFonts w:ascii="Corbel" w:eastAsia="Times New Roman" w:hAnsi="Corbel" w:cs="Arial"/>
                <w:iCs/>
                <w:kern w:val="0"/>
                <w:sz w:val="24"/>
                <w:szCs w:val="24"/>
                <w:lang w:val="en-US" w:eastAsia="en-AU"/>
                <w14:ligatures w14:val="none"/>
              </w:rPr>
              <w:lastRenderedPageBreak/>
              <w:t>applicable) pursuant to Clause 18 Additional Terms.</w:t>
            </w:r>
          </w:p>
          <w:p w14:paraId="0060A434"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16880974" w14:textId="77777777" w:rsidR="00D858B6" w:rsidRPr="00D858B6" w:rsidRDefault="00D858B6" w:rsidP="003223EF">
            <w:pPr>
              <w:spacing w:before="60" w:after="60" w:line="240" w:lineRule="auto"/>
              <w:outlineLvl w:val="1"/>
              <w:rPr>
                <w:rFonts w:ascii="Corbel" w:eastAsia="Times New Roman" w:hAnsi="Corbel" w:cs="Arial"/>
                <w:iCs/>
                <w:color w:val="2E74B5"/>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Return of residual funds to Commonwealth   pursuant to Clause 19 Additional Terms, if applicable</w:t>
            </w:r>
            <w:r w:rsidRPr="00D858B6">
              <w:rPr>
                <w:rFonts w:ascii="Corbel" w:eastAsia="Times New Roman" w:hAnsi="Corbel" w:cs="Arial"/>
                <w:iCs/>
                <w:color w:val="2E74B5"/>
                <w:kern w:val="0"/>
                <w:sz w:val="24"/>
                <w:szCs w:val="24"/>
                <w:lang w:val="en-US" w:eastAsia="en-AU"/>
                <w14:ligatures w14:val="none"/>
              </w:rPr>
              <w:t>.</w:t>
            </w:r>
          </w:p>
          <w:p w14:paraId="7BDF6135"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 </w:t>
            </w:r>
          </w:p>
          <w:p w14:paraId="43A1340F"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1A56EE9B"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p>
          <w:p w14:paraId="140C6AE8" w14:textId="77777777" w:rsidR="00D858B6" w:rsidRPr="00D858B6" w:rsidRDefault="00D858B6" w:rsidP="003223EF">
            <w:pPr>
              <w:spacing w:before="60" w:after="60" w:line="240" w:lineRule="auto"/>
              <w:outlineLvl w:val="1"/>
              <w:rPr>
                <w:rFonts w:ascii="Corbel" w:eastAsia="Times New Roman" w:hAnsi="Corbel" w:cs="Arial"/>
                <w:iCs/>
                <w:kern w:val="0"/>
                <w:sz w:val="24"/>
                <w:szCs w:val="24"/>
                <w:lang w:val="en-US" w:eastAsia="en-AU"/>
                <w14:ligatures w14:val="none"/>
              </w:rPr>
            </w:pPr>
            <w:r w:rsidRPr="00D858B6">
              <w:rPr>
                <w:rFonts w:ascii="Corbel" w:eastAsia="Times New Roman" w:hAnsi="Corbel" w:cs="Arial"/>
                <w:iCs/>
                <w:kern w:val="0"/>
                <w:sz w:val="24"/>
                <w:szCs w:val="24"/>
                <w:lang w:val="en-US" w:eastAsia="en-AU"/>
                <w14:ligatures w14:val="none"/>
              </w:rPr>
              <w:t xml:space="preserve"> </w:t>
            </w:r>
          </w:p>
        </w:tc>
      </w:tr>
    </w:tbl>
    <w:p w14:paraId="1E21CA14" w14:textId="77777777" w:rsidR="005F3228" w:rsidRDefault="005F3228"/>
    <w:p w14:paraId="0E5631AE" w14:textId="77777777" w:rsidR="00C333C3" w:rsidRPr="00C333C3" w:rsidRDefault="00C333C3" w:rsidP="00C333C3">
      <w:pPr>
        <w:widowControl w:val="0"/>
        <w:spacing w:after="0" w:line="240" w:lineRule="auto"/>
        <w:rPr>
          <w:rFonts w:ascii="Calibri" w:eastAsia="Calibri" w:hAnsi="Calibri" w:cs="Arial"/>
          <w:kern w:val="0"/>
          <w:lang w:val="en-GB"/>
          <w14:ligatures w14:val="none"/>
        </w:rPr>
      </w:pPr>
      <w:r w:rsidRPr="00C333C3">
        <w:rPr>
          <w:rFonts w:ascii="Calibri" w:eastAsia="Calibri" w:hAnsi="Calibri" w:cs="Arial"/>
          <w:kern w:val="0"/>
          <w:lang w:val="en-GB"/>
          <w14:ligatures w14:val="none"/>
        </w:rPr>
        <w:t xml:space="preserve">The </w:t>
      </w:r>
      <w:r w:rsidRPr="00C333C3">
        <w:rPr>
          <w:rFonts w:ascii="Calibri" w:eastAsia="Calibri" w:hAnsi="Calibri" w:cs="Arial"/>
          <w:kern w:val="0"/>
          <w:sz w:val="24"/>
          <w:szCs w:val="24"/>
          <w:lang w:val="en-US"/>
          <w14:ligatures w14:val="none"/>
        </w:rPr>
        <w:t>Parties</w:t>
      </w:r>
      <w:r w:rsidRPr="00C333C3">
        <w:rPr>
          <w:rFonts w:ascii="Calibri" w:eastAsia="Calibri" w:hAnsi="Calibri" w:cs="Arial"/>
          <w:kern w:val="0"/>
          <w:lang w:val="en-GB"/>
          <w14:ligatures w14:val="none"/>
        </w:rPr>
        <w:t xml:space="preserve"> have confirmed their commitment to this schedule as follows:</w:t>
      </w:r>
    </w:p>
    <w:p w14:paraId="1BBCAA51" w14:textId="77777777" w:rsidR="00C333C3" w:rsidRPr="00C333C3" w:rsidRDefault="00C333C3" w:rsidP="00C333C3">
      <w:pPr>
        <w:widowControl w:val="0"/>
        <w:spacing w:after="0" w:line="240" w:lineRule="auto"/>
        <w:rPr>
          <w:rFonts w:ascii="Calibri" w:eastAsia="Calibri" w:hAnsi="Calibri" w:cs="Arial"/>
          <w:kern w:val="0"/>
          <w:lang w:val="en-GB"/>
          <w14:ligatures w14:val="none"/>
        </w:rPr>
      </w:pPr>
    </w:p>
    <w:tbl>
      <w:tblPr>
        <w:tblW w:w="10773" w:type="dxa"/>
        <w:jc w:val="center"/>
        <w:tblLayout w:type="fixed"/>
        <w:tblLook w:val="01E0" w:firstRow="1" w:lastRow="1" w:firstColumn="1" w:lastColumn="1" w:noHBand="0" w:noVBand="0"/>
      </w:tblPr>
      <w:tblGrid>
        <w:gridCol w:w="4536"/>
        <w:gridCol w:w="1701"/>
        <w:gridCol w:w="4536"/>
      </w:tblGrid>
      <w:tr w:rsidR="00C333C3" w:rsidRPr="00C333C3" w14:paraId="2FF01A94" w14:textId="77777777" w:rsidTr="00BD1498">
        <w:trPr>
          <w:cantSplit/>
          <w:jc w:val="center"/>
        </w:trPr>
        <w:tc>
          <w:tcPr>
            <w:tcW w:w="4536" w:type="dxa"/>
          </w:tcPr>
          <w:p w14:paraId="2FDEB18E" w14:textId="77777777" w:rsidR="00C333C3" w:rsidRPr="00C333C3" w:rsidRDefault="00C333C3" w:rsidP="00C333C3">
            <w:pPr>
              <w:spacing w:after="120" w:line="240" w:lineRule="auto"/>
              <w:jc w:val="both"/>
              <w:rPr>
                <w:rFonts w:ascii="Book Antiqua" w:eastAsia="Times New Roman" w:hAnsi="Book Antiqua" w:cs="Times New Roman"/>
                <w:bCs/>
                <w:i/>
                <w:color w:val="000000"/>
                <w:kern w:val="0"/>
                <w:szCs w:val="20"/>
                <w:lang w:eastAsia="en-AU"/>
                <w14:ligatures w14:val="none"/>
              </w:rPr>
            </w:pPr>
            <w:r w:rsidRPr="00C333C3">
              <w:rPr>
                <w:rFonts w:ascii="Book Antiqua" w:eastAsia="Times New Roman" w:hAnsi="Book Antiqua" w:cs="Times New Roman"/>
                <w:b/>
                <w:bCs/>
                <w:color w:val="000000"/>
                <w:kern w:val="0"/>
                <w:szCs w:val="20"/>
                <w:lang w:eastAsia="en-AU"/>
                <w14:ligatures w14:val="none"/>
              </w:rPr>
              <w:t>Signed</w:t>
            </w:r>
            <w:r w:rsidRPr="00C333C3">
              <w:rPr>
                <w:rFonts w:ascii="Book Antiqua" w:eastAsia="Times New Roman" w:hAnsi="Book Antiqua" w:cs="Times New Roman"/>
                <w:bCs/>
                <w:i/>
                <w:color w:val="000000"/>
                <w:kern w:val="0"/>
                <w:szCs w:val="20"/>
                <w:lang w:eastAsia="en-AU"/>
                <w14:ligatures w14:val="none"/>
              </w:rPr>
              <w:t xml:space="preserve"> for and on behalf of the Commonwealth of Australia by</w:t>
            </w:r>
          </w:p>
          <w:p w14:paraId="0D4E5D0C" w14:textId="77777777" w:rsidR="00C333C3" w:rsidRPr="00C333C3" w:rsidRDefault="00C333C3" w:rsidP="00C333C3">
            <w:pPr>
              <w:tabs>
                <w:tab w:val="left" w:leader="underscore" w:pos="3686"/>
              </w:tabs>
              <w:spacing w:before="360" w:after="60" w:line="260" w:lineRule="exact"/>
              <w:jc w:val="both"/>
              <w:rPr>
                <w:rFonts w:ascii="Book Antiqua" w:eastAsia="Times New Roman" w:hAnsi="Book Antiqua" w:cs="Times New Roman"/>
                <w:color w:val="C0C0C0"/>
                <w:kern w:val="0"/>
                <w:sz w:val="23"/>
                <w:szCs w:val="20"/>
                <w:lang w:val="en-GB" w:eastAsia="en-AU"/>
                <w14:ligatures w14:val="none"/>
              </w:rPr>
            </w:pPr>
            <w:r w:rsidRPr="00C333C3">
              <w:rPr>
                <w:rFonts w:ascii="Book Antiqua" w:eastAsia="Times New Roman" w:hAnsi="Book Antiqua" w:cs="Times New Roman"/>
                <w:color w:val="C0C0C0"/>
                <w:kern w:val="0"/>
                <w:sz w:val="23"/>
                <w:szCs w:val="20"/>
                <w:lang w:val="en-GB" w:eastAsia="en-AU"/>
                <w14:ligatures w14:val="none"/>
              </w:rPr>
              <w:br/>
            </w:r>
            <w:r w:rsidRPr="00C333C3">
              <w:rPr>
                <w:rFonts w:ascii="Book Antiqua" w:eastAsia="Times New Roman" w:hAnsi="Book Antiqua" w:cs="Times New Roman"/>
                <w:color w:val="C0C0C0"/>
                <w:kern w:val="0"/>
                <w:sz w:val="23"/>
                <w:szCs w:val="20"/>
                <w:lang w:val="en-GB" w:eastAsia="en-AU"/>
                <w14:ligatures w14:val="none"/>
              </w:rPr>
              <w:tab/>
            </w:r>
          </w:p>
          <w:p w14:paraId="12543B47" w14:textId="77777777" w:rsidR="00C333C3" w:rsidRPr="00C333C3" w:rsidRDefault="00C333C3" w:rsidP="00C333C3">
            <w:pPr>
              <w:spacing w:after="0" w:line="260" w:lineRule="exact"/>
              <w:jc w:val="both"/>
              <w:rPr>
                <w:rFonts w:ascii="Corbel" w:eastAsia="Times New Roman" w:hAnsi="Corbel" w:cs="Times New Roman"/>
                <w:b/>
                <w:color w:val="000000"/>
                <w:kern w:val="0"/>
                <w:sz w:val="23"/>
                <w:szCs w:val="20"/>
                <w:lang w:eastAsia="en-AU"/>
                <w14:ligatures w14:val="none"/>
              </w:rPr>
            </w:pPr>
            <w:r w:rsidRPr="00C333C3">
              <w:rPr>
                <w:rFonts w:ascii="Corbel" w:eastAsia="Times New Roman" w:hAnsi="Corbel" w:cs="Times New Roman"/>
                <w:b/>
                <w:color w:val="000000"/>
                <w:kern w:val="0"/>
                <w:sz w:val="23"/>
                <w:szCs w:val="20"/>
                <w:lang w:eastAsia="en-AU"/>
                <w14:ligatures w14:val="none"/>
              </w:rPr>
              <w:t>The Honourable Chris Bowen MP</w:t>
            </w:r>
          </w:p>
          <w:p w14:paraId="4472C2D2" w14:textId="77777777" w:rsidR="00C333C3" w:rsidRPr="00C333C3" w:rsidRDefault="00C333C3" w:rsidP="00C333C3">
            <w:pPr>
              <w:spacing w:after="120" w:line="260" w:lineRule="exact"/>
              <w:jc w:val="both"/>
              <w:rPr>
                <w:rFonts w:ascii="Corbel" w:eastAsia="Times New Roman" w:hAnsi="Corbel" w:cs="Times New Roman"/>
                <w:bCs/>
                <w:color w:val="000000"/>
                <w:kern w:val="0"/>
                <w:sz w:val="20"/>
                <w:szCs w:val="20"/>
                <w:lang w:val="en-GB" w:eastAsia="en-AU"/>
                <w14:ligatures w14:val="none"/>
              </w:rPr>
            </w:pPr>
            <w:r w:rsidRPr="00C333C3">
              <w:rPr>
                <w:rFonts w:ascii="Corbel" w:eastAsia="Times New Roman" w:hAnsi="Corbel" w:cs="Times New Roman"/>
                <w:bCs/>
                <w:color w:val="000000"/>
                <w:kern w:val="0"/>
                <w:sz w:val="20"/>
                <w:szCs w:val="20"/>
                <w:lang w:val="en-GB" w:eastAsia="en-AU"/>
                <w14:ligatures w14:val="none"/>
              </w:rPr>
              <w:t xml:space="preserve">Minister for Climate Change and Energy  </w:t>
            </w:r>
          </w:p>
          <w:p w14:paraId="01A8DCB1" w14:textId="0B2D1E45" w:rsidR="00C333C3" w:rsidRPr="00C333C3" w:rsidRDefault="00C61D65" w:rsidP="00C333C3">
            <w:pPr>
              <w:tabs>
                <w:tab w:val="num" w:pos="1134"/>
              </w:tabs>
              <w:spacing w:after="240" w:line="260" w:lineRule="exact"/>
              <w:jc w:val="both"/>
              <w:rPr>
                <w:rFonts w:ascii="Corbel" w:eastAsia="Times New Roman" w:hAnsi="Corbel" w:cs="Times New Roman"/>
                <w:b/>
                <w:color w:val="000000"/>
                <w:kern w:val="0"/>
                <w:sz w:val="23"/>
                <w:szCs w:val="20"/>
                <w:lang w:val="en-GB" w:eastAsia="en-AU"/>
                <w14:ligatures w14:val="none"/>
              </w:rPr>
            </w:pPr>
            <w:r>
              <w:rPr>
                <w:rFonts w:ascii="Corbel" w:eastAsia="Times New Roman" w:hAnsi="Corbel" w:cs="Times New Roman"/>
                <w:color w:val="000000"/>
                <w:kern w:val="0"/>
                <w:sz w:val="23"/>
                <w:szCs w:val="20"/>
                <w:lang w:val="en-GB" w:eastAsia="en-AU"/>
                <w14:ligatures w14:val="none"/>
              </w:rPr>
              <w:t>05 / 02/ 2025</w:t>
            </w:r>
          </w:p>
        </w:tc>
        <w:tc>
          <w:tcPr>
            <w:tcW w:w="1701" w:type="dxa"/>
            <w:tcMar>
              <w:left w:w="0" w:type="dxa"/>
              <w:right w:w="0" w:type="dxa"/>
            </w:tcMar>
          </w:tcPr>
          <w:p w14:paraId="46272314" w14:textId="77777777" w:rsidR="00C333C3" w:rsidRPr="00C333C3" w:rsidRDefault="00C333C3" w:rsidP="00C333C3">
            <w:pPr>
              <w:widowControl w:val="0"/>
              <w:spacing w:after="0" w:line="240" w:lineRule="auto"/>
              <w:rPr>
                <w:rFonts w:ascii="Book Antiqua" w:eastAsia="Calibri" w:hAnsi="Book Antiqua" w:cs="Arial"/>
                <w:kern w:val="0"/>
                <w:lang w:val="en-GB"/>
                <w14:ligatures w14:val="none"/>
              </w:rPr>
            </w:pPr>
          </w:p>
        </w:tc>
        <w:tc>
          <w:tcPr>
            <w:tcW w:w="4536" w:type="dxa"/>
          </w:tcPr>
          <w:p w14:paraId="6679999F" w14:textId="77777777" w:rsidR="00C333C3" w:rsidRPr="00C333C3" w:rsidRDefault="00C333C3" w:rsidP="00C333C3">
            <w:pPr>
              <w:spacing w:after="120" w:line="240" w:lineRule="auto"/>
              <w:jc w:val="both"/>
              <w:rPr>
                <w:rFonts w:ascii="Book Antiqua" w:eastAsia="Times New Roman" w:hAnsi="Book Antiqua" w:cs="Times New Roman"/>
                <w:bCs/>
                <w:i/>
                <w:color w:val="000000"/>
                <w:kern w:val="0"/>
                <w:szCs w:val="20"/>
                <w:lang w:eastAsia="en-AU"/>
                <w14:ligatures w14:val="none"/>
              </w:rPr>
            </w:pPr>
            <w:r w:rsidRPr="00C333C3">
              <w:rPr>
                <w:rFonts w:ascii="Book Antiqua" w:eastAsia="Times New Roman" w:hAnsi="Book Antiqua" w:cs="Times New Roman"/>
                <w:b/>
                <w:bCs/>
                <w:color w:val="000000"/>
                <w:kern w:val="0"/>
                <w:szCs w:val="20"/>
                <w:lang w:eastAsia="en-AU"/>
                <w14:ligatures w14:val="none"/>
              </w:rPr>
              <w:t>Signed</w:t>
            </w:r>
            <w:r w:rsidRPr="00C333C3">
              <w:rPr>
                <w:rFonts w:ascii="Book Antiqua" w:eastAsia="Times New Roman" w:hAnsi="Book Antiqua" w:cs="Times New Roman"/>
                <w:bCs/>
                <w:i/>
                <w:color w:val="000000"/>
                <w:kern w:val="0"/>
                <w:szCs w:val="20"/>
                <w:lang w:eastAsia="en-AU"/>
                <w14:ligatures w14:val="none"/>
              </w:rPr>
              <w:t xml:space="preserve"> for and on behalf of the </w:t>
            </w:r>
            <w:r w:rsidRPr="00C333C3">
              <w:rPr>
                <w:rFonts w:ascii="Book Antiqua" w:eastAsia="Times New Roman" w:hAnsi="Book Antiqua" w:cs="Times New Roman"/>
                <w:bCs/>
                <w:i/>
                <w:color w:val="000000"/>
                <w:kern w:val="0"/>
                <w:szCs w:val="20"/>
                <w:lang w:eastAsia="en-AU"/>
                <w14:ligatures w14:val="none"/>
              </w:rPr>
              <w:br/>
              <w:t>State of New South Wales by</w:t>
            </w:r>
          </w:p>
          <w:p w14:paraId="62074885" w14:textId="77777777" w:rsidR="00C333C3" w:rsidRPr="00C333C3" w:rsidRDefault="00C333C3" w:rsidP="00C333C3">
            <w:pPr>
              <w:tabs>
                <w:tab w:val="left" w:leader="underscore" w:pos="3686"/>
              </w:tabs>
              <w:spacing w:before="360" w:after="60" w:line="260" w:lineRule="exact"/>
              <w:jc w:val="both"/>
              <w:rPr>
                <w:rFonts w:ascii="Book Antiqua" w:eastAsia="Times New Roman" w:hAnsi="Book Antiqua" w:cs="Times New Roman"/>
                <w:color w:val="C0C0C0"/>
                <w:kern w:val="0"/>
                <w:sz w:val="23"/>
                <w:szCs w:val="20"/>
                <w:lang w:val="en-GB" w:eastAsia="en-AU"/>
                <w14:ligatures w14:val="none"/>
              </w:rPr>
            </w:pPr>
            <w:r w:rsidRPr="00C333C3">
              <w:rPr>
                <w:rFonts w:ascii="Book Antiqua" w:eastAsia="Times New Roman" w:hAnsi="Book Antiqua" w:cs="Times New Roman"/>
                <w:color w:val="C0C0C0"/>
                <w:kern w:val="0"/>
                <w:sz w:val="23"/>
                <w:szCs w:val="20"/>
                <w:lang w:val="en-GB" w:eastAsia="en-AU"/>
                <w14:ligatures w14:val="none"/>
              </w:rPr>
              <w:br/>
            </w:r>
            <w:r w:rsidRPr="00C333C3">
              <w:rPr>
                <w:rFonts w:ascii="Book Antiqua" w:eastAsia="Times New Roman" w:hAnsi="Book Antiqua" w:cs="Times New Roman"/>
                <w:color w:val="C0C0C0"/>
                <w:kern w:val="0"/>
                <w:sz w:val="23"/>
                <w:szCs w:val="20"/>
                <w:lang w:val="en-GB" w:eastAsia="en-AU"/>
                <w14:ligatures w14:val="none"/>
              </w:rPr>
              <w:tab/>
            </w:r>
          </w:p>
          <w:p w14:paraId="4C75F566" w14:textId="77777777" w:rsidR="00C333C3" w:rsidRPr="00C333C3" w:rsidRDefault="00C333C3" w:rsidP="00C333C3">
            <w:pPr>
              <w:spacing w:after="0" w:line="260" w:lineRule="exact"/>
              <w:jc w:val="both"/>
              <w:rPr>
                <w:rFonts w:ascii="Corbel" w:eastAsia="Times New Roman" w:hAnsi="Corbel" w:cs="Times New Roman"/>
                <w:b/>
                <w:color w:val="000000"/>
                <w:kern w:val="0"/>
                <w:sz w:val="23"/>
                <w:szCs w:val="20"/>
                <w:lang w:eastAsia="en-AU"/>
                <w14:ligatures w14:val="none"/>
              </w:rPr>
            </w:pPr>
            <w:r w:rsidRPr="00C333C3">
              <w:rPr>
                <w:rFonts w:ascii="Corbel" w:eastAsia="Times New Roman" w:hAnsi="Corbel" w:cs="Times New Roman"/>
                <w:b/>
                <w:color w:val="000000"/>
                <w:kern w:val="0"/>
                <w:sz w:val="23"/>
                <w:szCs w:val="20"/>
                <w:lang w:eastAsia="en-AU"/>
                <w14:ligatures w14:val="none"/>
              </w:rPr>
              <w:t>The Honourable Penny Sharpe MLC</w:t>
            </w:r>
          </w:p>
          <w:p w14:paraId="64543726" w14:textId="77777777" w:rsidR="00C333C3" w:rsidRPr="00C333C3" w:rsidRDefault="00C333C3" w:rsidP="00C333C3">
            <w:pPr>
              <w:spacing w:after="120" w:line="260" w:lineRule="exact"/>
              <w:jc w:val="both"/>
              <w:rPr>
                <w:rFonts w:ascii="Corbel" w:eastAsia="Times New Roman" w:hAnsi="Corbel" w:cs="Times New Roman"/>
                <w:bCs/>
                <w:color w:val="000000"/>
                <w:kern w:val="0"/>
                <w:sz w:val="20"/>
                <w:szCs w:val="20"/>
                <w:lang w:val="en-GB" w:eastAsia="en-AU"/>
                <w14:ligatures w14:val="none"/>
              </w:rPr>
            </w:pPr>
            <w:r w:rsidRPr="00C333C3">
              <w:rPr>
                <w:rFonts w:ascii="Corbel" w:eastAsia="Times New Roman" w:hAnsi="Corbel" w:cs="Times New Roman"/>
                <w:bCs/>
                <w:color w:val="000000"/>
                <w:kern w:val="0"/>
                <w:sz w:val="20"/>
                <w:szCs w:val="20"/>
                <w:lang w:val="en-GB" w:eastAsia="en-AU"/>
                <w14:ligatures w14:val="none"/>
              </w:rPr>
              <w:t xml:space="preserve">Minister for Climate Change, Energy, Environment and Heritage  </w:t>
            </w:r>
          </w:p>
          <w:p w14:paraId="0DD498A1" w14:textId="2FD3CAFC" w:rsidR="00C333C3" w:rsidRPr="00C333C3" w:rsidRDefault="001B0760" w:rsidP="00C333C3">
            <w:pPr>
              <w:widowControl w:val="0"/>
              <w:spacing w:after="0" w:line="240" w:lineRule="auto"/>
              <w:rPr>
                <w:rFonts w:ascii="Book Antiqua" w:eastAsia="Calibri" w:hAnsi="Book Antiqua" w:cs="Arial"/>
                <w:kern w:val="0"/>
                <w:lang w:val="en-GB"/>
                <w14:ligatures w14:val="none"/>
              </w:rPr>
            </w:pPr>
            <w:r>
              <w:rPr>
                <w:rFonts w:ascii="Calibri" w:eastAsia="Calibri" w:hAnsi="Calibri" w:cs="Arial"/>
                <w:kern w:val="0"/>
                <w:lang w:val="en-GB"/>
                <w14:ligatures w14:val="none"/>
              </w:rPr>
              <w:t>28 / 01 /2025</w:t>
            </w:r>
          </w:p>
        </w:tc>
      </w:tr>
    </w:tbl>
    <w:p w14:paraId="1577E64B" w14:textId="77777777" w:rsidR="008049E5" w:rsidRDefault="008049E5" w:rsidP="00BD1498">
      <w:pPr>
        <w:widowControl w:val="0"/>
        <w:spacing w:after="0" w:line="240" w:lineRule="auto"/>
        <w:rPr>
          <w:rFonts w:ascii="Calibri" w:eastAsia="Calibri" w:hAnsi="Calibri" w:cs="Arial"/>
          <w:b/>
          <w:kern w:val="0"/>
          <w:sz w:val="30"/>
          <w:szCs w:val="30"/>
          <w:lang w:val="en-GB"/>
          <w14:ligatures w14:val="none"/>
        </w:rPr>
      </w:pPr>
    </w:p>
    <w:p w14:paraId="79865B39" w14:textId="77777777" w:rsidR="008049E5" w:rsidRDefault="008049E5">
      <w:pPr>
        <w:rPr>
          <w:rFonts w:ascii="Calibri" w:eastAsia="Calibri" w:hAnsi="Calibri" w:cs="Arial"/>
          <w:b/>
          <w:kern w:val="0"/>
          <w:sz w:val="30"/>
          <w:szCs w:val="30"/>
          <w:lang w:val="en-GB"/>
          <w14:ligatures w14:val="none"/>
        </w:rPr>
      </w:pPr>
      <w:r>
        <w:rPr>
          <w:rFonts w:ascii="Calibri" w:eastAsia="Calibri" w:hAnsi="Calibri" w:cs="Arial"/>
          <w:b/>
          <w:kern w:val="0"/>
          <w:sz w:val="30"/>
          <w:szCs w:val="30"/>
          <w:lang w:val="en-GB"/>
          <w14:ligatures w14:val="none"/>
        </w:rPr>
        <w:br w:type="page"/>
      </w:r>
    </w:p>
    <w:p w14:paraId="1AED8C86" w14:textId="33CA78BB" w:rsidR="00BD1498" w:rsidRPr="00BD1498" w:rsidRDefault="00BD1498" w:rsidP="00BD1498">
      <w:pPr>
        <w:widowControl w:val="0"/>
        <w:spacing w:after="0" w:line="240" w:lineRule="auto"/>
        <w:rPr>
          <w:rFonts w:ascii="Calibri" w:eastAsia="Calibri" w:hAnsi="Calibri" w:cs="Arial"/>
          <w:b/>
          <w:kern w:val="0"/>
          <w:sz w:val="30"/>
          <w:szCs w:val="30"/>
          <w:lang w:val="en-GB"/>
          <w14:ligatures w14:val="none"/>
        </w:rPr>
      </w:pPr>
      <w:r w:rsidRPr="00BD1498">
        <w:rPr>
          <w:rFonts w:ascii="Calibri" w:eastAsia="Calibri" w:hAnsi="Calibri" w:cs="Arial"/>
          <w:b/>
          <w:kern w:val="0"/>
          <w:sz w:val="30"/>
          <w:szCs w:val="30"/>
          <w:lang w:val="en-GB"/>
          <w14:ligatures w14:val="none"/>
        </w:rPr>
        <w:lastRenderedPageBreak/>
        <w:t>Appendix A</w:t>
      </w:r>
    </w:p>
    <w:p w14:paraId="2634A8A7" w14:textId="77777777" w:rsidR="00BD1498" w:rsidRPr="00BD1498" w:rsidRDefault="00BD1498" w:rsidP="00BD1498">
      <w:pPr>
        <w:widowControl w:val="0"/>
        <w:spacing w:after="0" w:line="240" w:lineRule="auto"/>
        <w:rPr>
          <w:rFonts w:ascii="Calibri" w:eastAsia="Calibri" w:hAnsi="Calibri" w:cs="Arial"/>
          <w:kern w:val="0"/>
          <w:lang w:val="en-GB"/>
          <w14:ligatures w14:val="none"/>
        </w:rPr>
      </w:pPr>
    </w:p>
    <w:p w14:paraId="4D36DC71" w14:textId="77777777" w:rsidR="00BD1498" w:rsidRPr="00BD1498" w:rsidRDefault="00BD1498" w:rsidP="00BD1498">
      <w:pPr>
        <w:widowControl w:val="0"/>
        <w:spacing w:after="0" w:line="240" w:lineRule="auto"/>
        <w:rPr>
          <w:rFonts w:ascii="Calibri" w:eastAsia="Calibri" w:hAnsi="Calibri" w:cs="Arial"/>
          <w:b/>
          <w:kern w:val="0"/>
          <w:sz w:val="28"/>
          <w:szCs w:val="28"/>
          <w14:ligatures w14:val="none"/>
        </w:rPr>
      </w:pPr>
      <w:r w:rsidRPr="00BD1498">
        <w:rPr>
          <w:rFonts w:ascii="Calibri" w:eastAsia="Calibri" w:hAnsi="Calibri" w:cs="Arial"/>
          <w:b/>
          <w:kern w:val="0"/>
          <w:sz w:val="28"/>
          <w:szCs w:val="28"/>
          <w14:ligatures w14:val="none"/>
        </w:rPr>
        <w:t xml:space="preserve">Reporting  </w:t>
      </w:r>
    </w:p>
    <w:p w14:paraId="4CB3C9B8" w14:textId="77777777" w:rsidR="00BD1498" w:rsidRPr="00BD1498" w:rsidRDefault="00BD1498" w:rsidP="00BD1498">
      <w:pPr>
        <w:widowControl w:val="0"/>
        <w:spacing w:after="0" w:line="240" w:lineRule="auto"/>
        <w:rPr>
          <w:rFonts w:ascii="Calibri" w:eastAsia="Calibri" w:hAnsi="Calibri" w:cs="Arial"/>
          <w:b/>
          <w:bCs/>
          <w:kern w:val="0"/>
          <w:sz w:val="24"/>
          <w:szCs w:val="24"/>
          <w14:ligatures w14:val="none"/>
        </w:rPr>
      </w:pPr>
    </w:p>
    <w:p w14:paraId="284E7C8D" w14:textId="77777777" w:rsidR="00BD1498" w:rsidRPr="00BD1498" w:rsidRDefault="00BD1498" w:rsidP="00BD1498">
      <w:pPr>
        <w:widowControl w:val="0"/>
        <w:spacing w:after="120" w:line="240" w:lineRule="auto"/>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1.  NSW will require the SFV to provide the Commonwealth with:</w:t>
      </w:r>
    </w:p>
    <w:p w14:paraId="660CE57E" w14:textId="70D6153D" w:rsidR="00BD1498" w:rsidRPr="00BD1498" w:rsidRDefault="00BD1498" w:rsidP="00BD1498">
      <w:pPr>
        <w:widowControl w:val="0"/>
        <w:numPr>
          <w:ilvl w:val="0"/>
          <w:numId w:val="5"/>
        </w:numPr>
        <w:spacing w:after="0" w:line="240" w:lineRule="auto"/>
        <w:rPr>
          <w:rFonts w:ascii="Calibri" w:eastAsia="Calibri" w:hAnsi="Calibri" w:cs="Arial"/>
          <w:iCs/>
          <w:kern w:val="0"/>
          <w:sz w:val="24"/>
          <w:szCs w:val="24"/>
          <w14:ligatures w14:val="none"/>
        </w:rPr>
      </w:pPr>
      <w:r w:rsidRPr="00BD1498">
        <w:rPr>
          <w:rFonts w:ascii="Calibri" w:eastAsia="Calibri" w:hAnsi="Calibri" w:cs="Arial"/>
          <w:kern w:val="0"/>
          <w:sz w:val="24"/>
          <w:szCs w:val="24"/>
          <w14:ligatures w14:val="none"/>
        </w:rPr>
        <w:t>A quarterly financial report</w:t>
      </w:r>
      <w:r w:rsidR="00892E8F">
        <w:rPr>
          <w:rFonts w:ascii="Calibri" w:eastAsia="Calibri" w:hAnsi="Calibri" w:cs="Arial"/>
          <w:kern w:val="0"/>
          <w:sz w:val="24"/>
          <w:szCs w:val="24"/>
          <w14:ligatures w14:val="none"/>
        </w:rPr>
        <w:t>,</w:t>
      </w:r>
      <w:r w:rsidRPr="00BD1498">
        <w:rPr>
          <w:rFonts w:ascii="Calibri" w:eastAsia="Calibri" w:hAnsi="Calibri" w:cs="Arial"/>
          <w:kern w:val="0"/>
          <w:sz w:val="24"/>
          <w:szCs w:val="24"/>
          <w14:ligatures w14:val="none"/>
        </w:rPr>
        <w:t xml:space="preserve"> </w:t>
      </w:r>
      <w:r w:rsidRPr="00BD1498">
        <w:rPr>
          <w:rFonts w:ascii="Calibri" w:eastAsia="Calibri" w:hAnsi="Calibri" w:cs="Arial"/>
          <w:iCs/>
          <w:kern w:val="0"/>
          <w:sz w:val="24"/>
          <w:szCs w:val="24"/>
          <w14:ligatures w14:val="none"/>
        </w:rPr>
        <w:t xml:space="preserve">within 60 business days </w:t>
      </w:r>
      <w:r w:rsidRPr="00BD1498">
        <w:rPr>
          <w:rFonts w:ascii="Calibri" w:eastAsia="Calibri" w:hAnsi="Calibri" w:cs="Arial"/>
          <w:kern w:val="0"/>
          <w:sz w:val="24"/>
          <w:szCs w:val="24"/>
          <w14:ligatures w14:val="none"/>
        </w:rPr>
        <w:t xml:space="preserve">after the end of each </w:t>
      </w:r>
      <w:r w:rsidRPr="00BD1498">
        <w:rPr>
          <w:rFonts w:ascii="Calibri" w:eastAsia="Calibri" w:hAnsi="Calibri" w:cs="Arial"/>
          <w:iCs/>
          <w:kern w:val="0"/>
          <w:sz w:val="24"/>
          <w:szCs w:val="24"/>
          <w14:ligatures w14:val="none"/>
        </w:rPr>
        <w:t>quarter in which information has been provided to the SFV by one or more LTES Operators of Commonwealth-funded projects</w:t>
      </w:r>
      <w:r w:rsidRPr="00BD1498">
        <w:rPr>
          <w:rFonts w:ascii="Calibri" w:eastAsia="Calibri" w:hAnsi="Calibri" w:cs="Arial"/>
          <w:kern w:val="0"/>
          <w:sz w:val="24"/>
          <w:szCs w:val="24"/>
          <w14:ligatures w14:val="none"/>
        </w:rPr>
        <w:t>.</w:t>
      </w:r>
      <w:r w:rsidRPr="00BD1498">
        <w:rPr>
          <w:rFonts w:ascii="Calibri" w:eastAsia="Calibri" w:hAnsi="Calibri" w:cs="Arial"/>
          <w:iCs/>
          <w:kern w:val="0"/>
          <w:sz w:val="24"/>
          <w:szCs w:val="24"/>
          <w14:ligatures w14:val="none"/>
        </w:rPr>
        <w:t xml:space="preserve"> This report will include, in relation to each Commonwealth-funded project:  </w:t>
      </w:r>
    </w:p>
    <w:p w14:paraId="17CCFC6D" w14:textId="77777777" w:rsidR="00BD1498" w:rsidRPr="00BD1498" w:rsidRDefault="00BD1498" w:rsidP="00BD1498">
      <w:pPr>
        <w:widowControl w:val="0"/>
        <w:spacing w:after="0" w:line="240" w:lineRule="auto"/>
        <w:ind w:left="1080"/>
        <w:rPr>
          <w:rFonts w:ascii="Calibri" w:eastAsia="Calibri" w:hAnsi="Calibri" w:cs="Arial"/>
          <w:kern w:val="0"/>
          <w:sz w:val="24"/>
          <w:szCs w:val="24"/>
          <w:lang w:val="en-US"/>
          <w14:ligatures w14:val="none"/>
        </w:rPr>
      </w:pPr>
      <w:r w:rsidRPr="00BD1498">
        <w:rPr>
          <w:rFonts w:ascii="Calibri" w:eastAsia="Calibri" w:hAnsi="Calibri" w:cs="Arial"/>
          <w:iCs/>
          <w:kern w:val="0"/>
          <w:sz w:val="24"/>
          <w:szCs w:val="24"/>
          <w:lang w:val="en-US"/>
          <w14:ligatures w14:val="none"/>
        </w:rPr>
        <w:t>(i) the net operational revenue</w:t>
      </w:r>
      <w:r w:rsidRPr="00BD1498">
        <w:rPr>
          <w:rFonts w:ascii="Calibri" w:eastAsia="Calibri" w:hAnsi="Calibri" w:cs="Arial"/>
          <w:kern w:val="0"/>
          <w:sz w:val="24"/>
          <w:szCs w:val="24"/>
          <w:vertAlign w:val="superscript"/>
          <w:lang w:val="en-US"/>
          <w14:ligatures w14:val="none"/>
        </w:rPr>
        <w:footnoteReference w:id="2"/>
      </w:r>
      <w:r w:rsidRPr="00BD1498">
        <w:rPr>
          <w:rFonts w:ascii="Calibri" w:eastAsia="Calibri" w:hAnsi="Calibri" w:cs="Arial"/>
          <w:kern w:val="0"/>
          <w:sz w:val="24"/>
          <w:szCs w:val="24"/>
          <w:lang w:val="en-US"/>
          <w14:ligatures w14:val="none"/>
        </w:rPr>
        <w:t xml:space="preserve"> and the contracted percentage of net operational revenue (including each of its components)</w:t>
      </w:r>
      <w:r w:rsidRPr="00BD1498">
        <w:rPr>
          <w:rFonts w:ascii="Calibri" w:eastAsia="Calibri" w:hAnsi="Calibri" w:cs="Arial"/>
          <w:kern w:val="0"/>
          <w:sz w:val="24"/>
          <w:szCs w:val="24"/>
          <w:vertAlign w:val="superscript"/>
          <w:lang w:val="en-US"/>
          <w14:ligatures w14:val="none"/>
        </w:rPr>
        <w:footnoteReference w:id="3"/>
      </w:r>
      <w:r w:rsidRPr="00BD1498">
        <w:rPr>
          <w:rFonts w:ascii="Calibri" w:eastAsia="Calibri" w:hAnsi="Calibri" w:cs="Arial"/>
          <w:kern w:val="0"/>
          <w:sz w:val="24"/>
          <w:szCs w:val="24"/>
          <w:lang w:val="en-US"/>
          <w14:ligatures w14:val="none"/>
        </w:rPr>
        <w:t xml:space="preserve"> for that quarter; and </w:t>
      </w:r>
    </w:p>
    <w:p w14:paraId="2DFC996C" w14:textId="77777777" w:rsidR="00BD1498" w:rsidRPr="00BD1498" w:rsidRDefault="00BD1498" w:rsidP="00BD1498">
      <w:pPr>
        <w:widowControl w:val="0"/>
        <w:spacing w:after="0" w:line="240" w:lineRule="auto"/>
        <w:ind w:left="1080"/>
        <w:rPr>
          <w:rFonts w:ascii="Calibri" w:eastAsia="Calibri" w:hAnsi="Calibri" w:cs="Arial"/>
          <w:kern w:val="0"/>
          <w:sz w:val="24"/>
          <w:szCs w:val="24"/>
          <w:lang w:val="en-US"/>
          <w14:ligatures w14:val="none"/>
        </w:rPr>
      </w:pPr>
      <w:r w:rsidRPr="00BD1498">
        <w:rPr>
          <w:rFonts w:ascii="Calibri" w:eastAsia="Calibri" w:hAnsi="Calibri" w:cs="Arial"/>
          <w:kern w:val="0"/>
          <w:sz w:val="24"/>
          <w:szCs w:val="24"/>
          <w:lang w:val="en-US"/>
          <w14:ligatures w14:val="none"/>
        </w:rPr>
        <w:t>(ii) each payment (if any) under the annuity product that is payable in respect of that quarter</w:t>
      </w:r>
      <w:r w:rsidRPr="00BD1498">
        <w:rPr>
          <w:rFonts w:ascii="Calibri" w:eastAsia="Calibri" w:hAnsi="Calibri" w:cs="Arial"/>
          <w:kern w:val="0"/>
          <w:sz w:val="24"/>
          <w:szCs w:val="24"/>
          <w:vertAlign w:val="superscript"/>
          <w:lang w:val="en-US"/>
          <w14:ligatures w14:val="none"/>
        </w:rPr>
        <w:footnoteReference w:id="4"/>
      </w:r>
      <w:r w:rsidRPr="00BD1498">
        <w:rPr>
          <w:rFonts w:ascii="Calibri" w:eastAsia="Calibri" w:hAnsi="Calibri" w:cs="Arial"/>
          <w:kern w:val="0"/>
          <w:sz w:val="24"/>
          <w:szCs w:val="24"/>
          <w:lang w:val="en-US"/>
          <w14:ligatures w14:val="none"/>
        </w:rPr>
        <w:t>; and</w:t>
      </w:r>
    </w:p>
    <w:p w14:paraId="4E968413" w14:textId="77777777" w:rsidR="00BD1498" w:rsidRPr="00BD1498" w:rsidRDefault="00BD1498" w:rsidP="00BD1498">
      <w:pPr>
        <w:widowControl w:val="0"/>
        <w:spacing w:after="0" w:line="240" w:lineRule="auto"/>
        <w:ind w:left="1080"/>
        <w:rPr>
          <w:rFonts w:ascii="Calibri" w:eastAsia="Calibri" w:hAnsi="Calibri" w:cs="Arial"/>
          <w:iCs/>
          <w:kern w:val="0"/>
          <w:sz w:val="24"/>
          <w:szCs w:val="24"/>
          <w:lang w:val="en-US"/>
          <w14:ligatures w14:val="none"/>
        </w:rPr>
      </w:pPr>
      <w:r w:rsidRPr="00BD1498">
        <w:rPr>
          <w:rFonts w:ascii="Calibri" w:eastAsia="Calibri" w:hAnsi="Calibri" w:cs="Arial"/>
          <w:iCs/>
          <w:kern w:val="0"/>
          <w:sz w:val="24"/>
          <w:szCs w:val="24"/>
          <w:lang w:val="en-US"/>
          <w14:ligatures w14:val="none"/>
        </w:rPr>
        <w:t xml:space="preserve">(iii) each payment (if any) payable to the SFV by the LTES operator. </w:t>
      </w:r>
    </w:p>
    <w:p w14:paraId="7F559D72" w14:textId="7651D5F5" w:rsidR="00BD1498" w:rsidRPr="00BD1498" w:rsidRDefault="00BD1498" w:rsidP="00BD1498">
      <w:pPr>
        <w:widowControl w:val="0"/>
        <w:numPr>
          <w:ilvl w:val="0"/>
          <w:numId w:val="5"/>
        </w:numPr>
        <w:spacing w:after="0" w:line="240" w:lineRule="auto"/>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An annual financial report. This report is to be provided after the end of each financial year</w:t>
      </w:r>
      <w:r w:rsidR="007055AC">
        <w:rPr>
          <w:rFonts w:ascii="Calibri" w:eastAsia="Calibri" w:hAnsi="Calibri" w:cs="Arial"/>
          <w:kern w:val="0"/>
          <w:sz w:val="24"/>
          <w:szCs w:val="24"/>
          <w14:ligatures w14:val="none"/>
        </w:rPr>
        <w:t>,</w:t>
      </w:r>
      <w:r w:rsidRPr="00BD1498">
        <w:rPr>
          <w:rFonts w:ascii="Calibri" w:eastAsia="Calibri" w:hAnsi="Calibri" w:cs="Arial"/>
          <w:kern w:val="0"/>
          <w:sz w:val="24"/>
          <w:szCs w:val="24"/>
          <w14:ligatures w14:val="none"/>
        </w:rPr>
        <w:t xml:space="preserve"> commencing from the date of this Schedule. This report will include copies of the annual audited financial report of the SFV for that financial year; and the total (net) cost to the Commonwealth of all Commonwealth-funded projects in that reporting period, and will separately identify the Commonwealth’s share of the administration costs incurred by the Consumer Trustee and SFV.</w:t>
      </w:r>
    </w:p>
    <w:p w14:paraId="128628BC" w14:textId="77777777" w:rsidR="00BD1498" w:rsidRPr="00BD1498" w:rsidRDefault="00BD1498" w:rsidP="00BD1498">
      <w:pPr>
        <w:widowControl w:val="0"/>
        <w:spacing w:after="0" w:line="240" w:lineRule="auto"/>
        <w:rPr>
          <w:rFonts w:ascii="Calibri" w:eastAsia="Calibri" w:hAnsi="Calibri" w:cs="Arial"/>
          <w:b/>
          <w:bCs/>
          <w:kern w:val="0"/>
          <w:sz w:val="24"/>
          <w:szCs w:val="24"/>
          <w14:ligatures w14:val="none"/>
        </w:rPr>
      </w:pPr>
    </w:p>
    <w:p w14:paraId="3FD573C3" w14:textId="77777777" w:rsidR="00BD1498" w:rsidRPr="00BD1498" w:rsidRDefault="00BD1498" w:rsidP="00BD1498">
      <w:pPr>
        <w:widowControl w:val="0"/>
        <w:spacing w:after="0" w:line="240" w:lineRule="auto"/>
        <w:rPr>
          <w:rFonts w:ascii="Calibri" w:eastAsia="Calibri" w:hAnsi="Calibri" w:cs="Arial"/>
          <w:iCs/>
          <w:kern w:val="0"/>
          <w:sz w:val="24"/>
          <w:szCs w:val="24"/>
          <w:lang w:val="en-US"/>
          <w14:ligatures w14:val="none"/>
        </w:rPr>
      </w:pPr>
      <w:r w:rsidRPr="00BD1498">
        <w:rPr>
          <w:rFonts w:ascii="Calibri" w:eastAsia="Calibri" w:hAnsi="Calibri" w:cs="Arial"/>
          <w:kern w:val="0"/>
          <w:sz w:val="24"/>
          <w:szCs w:val="24"/>
          <w14:ligatures w14:val="none"/>
        </w:rPr>
        <w:t>2.  NSW will provide the Commonwealth with an a</w:t>
      </w:r>
      <w:r w:rsidRPr="00BD1498">
        <w:rPr>
          <w:rFonts w:ascii="Calibri" w:eastAsia="Calibri" w:hAnsi="Calibri" w:cs="Arial"/>
          <w:iCs/>
          <w:kern w:val="0"/>
          <w:sz w:val="24"/>
          <w:szCs w:val="24"/>
          <w:lang w:val="en-US"/>
          <w14:ligatures w14:val="none"/>
        </w:rPr>
        <w:t>nnual report as soon as practicable</w:t>
      </w:r>
      <w:r w:rsidRPr="00BD1498" w:rsidDel="00906147">
        <w:rPr>
          <w:rFonts w:ascii="Calibri" w:eastAsia="Calibri" w:hAnsi="Calibri" w:cs="Arial"/>
          <w:iCs/>
          <w:kern w:val="0"/>
          <w:sz w:val="24"/>
          <w:szCs w:val="24"/>
          <w:lang w:val="en-US"/>
          <w14:ligatures w14:val="none"/>
        </w:rPr>
        <w:t xml:space="preserve"> </w:t>
      </w:r>
      <w:r w:rsidRPr="00BD1498">
        <w:rPr>
          <w:rFonts w:ascii="Calibri" w:eastAsia="Calibri" w:hAnsi="Calibri" w:cs="Arial"/>
          <w:iCs/>
          <w:kern w:val="0"/>
          <w:sz w:val="24"/>
          <w:szCs w:val="24"/>
          <w:lang w:val="en-US"/>
          <w14:ligatures w14:val="none"/>
        </w:rPr>
        <w:t xml:space="preserve">after each financial year. This report will include: </w:t>
      </w:r>
    </w:p>
    <w:p w14:paraId="7AC6D3E8" w14:textId="77777777" w:rsidR="00BD1498" w:rsidRPr="00BD1498" w:rsidRDefault="00BD1498" w:rsidP="00BD1498">
      <w:pPr>
        <w:widowControl w:val="0"/>
        <w:spacing w:after="0" w:line="240" w:lineRule="auto"/>
        <w:ind w:left="720"/>
        <w:rPr>
          <w:rFonts w:ascii="Calibri" w:eastAsia="Calibri" w:hAnsi="Calibri" w:cs="Arial"/>
          <w:iCs/>
          <w:kern w:val="0"/>
          <w:sz w:val="24"/>
          <w:szCs w:val="24"/>
          <w:lang w:val="en-US"/>
          <w14:ligatures w14:val="none"/>
        </w:rPr>
      </w:pPr>
      <w:r w:rsidRPr="00BD1498">
        <w:rPr>
          <w:rFonts w:ascii="Calibri" w:eastAsia="Calibri" w:hAnsi="Calibri" w:cs="Arial"/>
          <w:iCs/>
          <w:kern w:val="0"/>
          <w:sz w:val="24"/>
          <w:szCs w:val="24"/>
          <w:lang w:val="en-US"/>
          <w14:ligatures w14:val="none"/>
        </w:rPr>
        <w:t>(a) employment outcomes (full-time equivalent employees per annum) in that reporting period; and</w:t>
      </w:r>
    </w:p>
    <w:p w14:paraId="38BC63D7" w14:textId="77777777" w:rsidR="00BD1498" w:rsidRPr="00BD1498" w:rsidRDefault="00BD1498" w:rsidP="00BD1498">
      <w:pPr>
        <w:widowControl w:val="0"/>
        <w:spacing w:after="0" w:line="240" w:lineRule="auto"/>
        <w:ind w:left="720"/>
        <w:rPr>
          <w:rFonts w:ascii="Calibri" w:eastAsia="Calibri" w:hAnsi="Calibri" w:cs="Arial"/>
          <w:iCs/>
          <w:kern w:val="0"/>
          <w:sz w:val="24"/>
          <w:szCs w:val="24"/>
          <w:lang w:val="en-US"/>
          <w14:ligatures w14:val="none"/>
        </w:rPr>
      </w:pPr>
      <w:r w:rsidRPr="00BD1498">
        <w:rPr>
          <w:rFonts w:ascii="Calibri" w:eastAsia="Calibri" w:hAnsi="Calibri" w:cs="Arial"/>
          <w:iCs/>
          <w:kern w:val="0"/>
          <w:sz w:val="24"/>
          <w:szCs w:val="24"/>
          <w:lang w:val="en-US"/>
          <w14:ligatures w14:val="none"/>
        </w:rPr>
        <w:t>(b) any other matter which in the opinion of NSW should be made available to the Commonwealth.</w:t>
      </w:r>
    </w:p>
    <w:p w14:paraId="2E4F12FC" w14:textId="77777777" w:rsidR="00BD1498" w:rsidRPr="00BD1498" w:rsidRDefault="00BD1498" w:rsidP="00BD1498">
      <w:pPr>
        <w:widowControl w:val="0"/>
        <w:spacing w:after="0" w:line="240" w:lineRule="auto"/>
        <w:rPr>
          <w:rFonts w:ascii="Calibri" w:eastAsia="Calibri" w:hAnsi="Calibri" w:cs="Arial"/>
          <w:iCs/>
          <w:kern w:val="0"/>
          <w:sz w:val="24"/>
          <w:szCs w:val="24"/>
          <w:lang w:val="en-US"/>
          <w14:ligatures w14:val="none"/>
        </w:rPr>
      </w:pPr>
    </w:p>
    <w:p w14:paraId="2A982C42" w14:textId="77777777" w:rsidR="00BD1498" w:rsidRPr="00BD1498" w:rsidRDefault="00BD1498" w:rsidP="00BD1498">
      <w:pPr>
        <w:widowControl w:val="0"/>
        <w:spacing w:after="0" w:line="240" w:lineRule="auto"/>
        <w:rPr>
          <w:rFonts w:ascii="Calibri" w:eastAsia="Calibri" w:hAnsi="Calibri" w:cs="Arial"/>
          <w:iCs/>
          <w:kern w:val="0"/>
          <w:sz w:val="24"/>
          <w:szCs w:val="24"/>
          <w:lang w:val="en-US"/>
          <w14:ligatures w14:val="none"/>
        </w:rPr>
      </w:pPr>
      <w:r w:rsidRPr="00BD1498">
        <w:rPr>
          <w:rFonts w:ascii="Calibri" w:eastAsia="Calibri" w:hAnsi="Calibri" w:cs="Arial"/>
          <w:iCs/>
          <w:kern w:val="0"/>
          <w:sz w:val="24"/>
          <w:szCs w:val="24"/>
          <w:lang w:val="en-US"/>
          <w14:ligatures w14:val="none"/>
        </w:rPr>
        <w:t>3. NSW will require the SFV to provide the Commonwealth with an annual report as soon as practicable after each financial year detailing any significant environmental and social license issues associated with Commonwealth-funded projects.</w:t>
      </w:r>
    </w:p>
    <w:p w14:paraId="2AE6AA3B" w14:textId="77777777" w:rsidR="00BD1498" w:rsidRPr="00BD1498" w:rsidRDefault="00BD1498" w:rsidP="00BD1498">
      <w:pPr>
        <w:widowControl w:val="0"/>
        <w:spacing w:after="0" w:line="240" w:lineRule="auto"/>
        <w:rPr>
          <w:rFonts w:ascii="Calibri" w:eastAsia="Calibri" w:hAnsi="Calibri" w:cs="Arial"/>
          <w:b/>
          <w:bCs/>
          <w:kern w:val="0"/>
          <w:sz w:val="24"/>
          <w:szCs w:val="24"/>
          <w14:ligatures w14:val="none"/>
        </w:rPr>
      </w:pPr>
    </w:p>
    <w:p w14:paraId="6E1D737F" w14:textId="77777777" w:rsidR="00BD1498" w:rsidRPr="00BD1498" w:rsidRDefault="00BD1498" w:rsidP="00BD1498">
      <w:pPr>
        <w:widowControl w:val="0"/>
        <w:spacing w:after="0" w:line="240" w:lineRule="auto"/>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 xml:space="preserve">4.  NSW will require the SFV to provide the Commonwealth with all reports required to be submitted to the SFV by Commonwealth-funded project LTES Operators under their respective LTESAs and Other Agreements with the SFV. These may include reports on: </w:t>
      </w:r>
    </w:p>
    <w:p w14:paraId="7AE4B5B6" w14:textId="77777777" w:rsidR="00BD1498" w:rsidRPr="00BD1498" w:rsidRDefault="00BD1498" w:rsidP="00BD1498">
      <w:pPr>
        <w:widowControl w:val="0"/>
        <w:spacing w:after="0" w:line="240" w:lineRule="auto"/>
        <w:ind w:left="720"/>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(a) Operating strategy;</w:t>
      </w:r>
    </w:p>
    <w:p w14:paraId="331BFA95" w14:textId="77777777" w:rsidR="00BD1498" w:rsidRPr="00BD1498" w:rsidRDefault="00BD1498" w:rsidP="00BD1498">
      <w:pPr>
        <w:widowControl w:val="0"/>
        <w:spacing w:after="0" w:line="240" w:lineRule="auto"/>
        <w:ind w:left="720"/>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(b) Operations, including:</w:t>
      </w:r>
    </w:p>
    <w:p w14:paraId="5368FC85" w14:textId="77777777" w:rsidR="00BD1498" w:rsidRPr="00BD1498" w:rsidRDefault="00BD1498" w:rsidP="00BD1498">
      <w:pPr>
        <w:widowControl w:val="0"/>
        <w:spacing w:after="0" w:line="240" w:lineRule="auto"/>
        <w:ind w:left="1440"/>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(i) actual performance against operating strategy;</w:t>
      </w:r>
    </w:p>
    <w:p w14:paraId="7DAC64B6" w14:textId="77777777" w:rsidR="00BD1498" w:rsidRPr="00BD1498" w:rsidRDefault="00BD1498" w:rsidP="00BD1498">
      <w:pPr>
        <w:widowControl w:val="0"/>
        <w:spacing w:after="0" w:line="240" w:lineRule="auto"/>
        <w:ind w:left="1440"/>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(ii) availability;</w:t>
      </w:r>
    </w:p>
    <w:p w14:paraId="59A0979F" w14:textId="77777777" w:rsidR="00BD1498" w:rsidRPr="00BD1498" w:rsidRDefault="00BD1498" w:rsidP="00BD1498">
      <w:pPr>
        <w:widowControl w:val="0"/>
        <w:spacing w:after="0" w:line="240" w:lineRule="auto"/>
        <w:ind w:left="1440"/>
        <w:rPr>
          <w:rFonts w:ascii="Calibri" w:eastAsia="Calibri" w:hAnsi="Calibri" w:cs="Arial"/>
          <w:kern w:val="0"/>
          <w:sz w:val="24"/>
          <w:szCs w:val="24"/>
          <w14:ligatures w14:val="none"/>
        </w:rPr>
      </w:pPr>
      <w:r w:rsidRPr="00BD1498">
        <w:rPr>
          <w:rFonts w:ascii="Calibri" w:eastAsia="Calibri" w:hAnsi="Calibri" w:cs="Arial"/>
          <w:kern w:val="0"/>
          <w:sz w:val="24"/>
          <w:szCs w:val="24"/>
          <w14:ligatures w14:val="none"/>
        </w:rPr>
        <w:t>(iii) storage capacity, and</w:t>
      </w:r>
    </w:p>
    <w:p w14:paraId="00E59232" w14:textId="77777777" w:rsidR="00BD1498" w:rsidRPr="00BD1498" w:rsidRDefault="00BD1498" w:rsidP="00BD1498">
      <w:pPr>
        <w:widowControl w:val="0"/>
        <w:spacing w:after="0" w:line="240" w:lineRule="auto"/>
        <w:ind w:left="1440"/>
        <w:rPr>
          <w:rFonts w:ascii="Calibri" w:eastAsia="Calibri" w:hAnsi="Calibri" w:cs="Arial"/>
          <w:kern w:val="0"/>
          <w:sz w:val="24"/>
          <w:szCs w:val="24"/>
          <w:lang w:val="en-GB"/>
          <w14:ligatures w14:val="none"/>
        </w:rPr>
      </w:pPr>
      <w:r w:rsidRPr="00BD1498">
        <w:rPr>
          <w:rFonts w:ascii="Calibri" w:eastAsia="Calibri" w:hAnsi="Calibri" w:cs="Arial"/>
          <w:kern w:val="0"/>
          <w:sz w:val="24"/>
          <w:szCs w:val="24"/>
          <w14:ligatures w14:val="none"/>
        </w:rPr>
        <w:t>(iv) performance events;</w:t>
      </w:r>
    </w:p>
    <w:p w14:paraId="02263D11" w14:textId="77777777" w:rsidR="00BD1498" w:rsidRPr="00BD1498" w:rsidRDefault="00BD1498" w:rsidP="00BD1498">
      <w:pPr>
        <w:widowControl w:val="0"/>
        <w:spacing w:after="0" w:line="240" w:lineRule="auto"/>
        <w:rPr>
          <w:rFonts w:ascii="Calibri" w:eastAsia="Calibri" w:hAnsi="Calibri" w:cs="Arial"/>
          <w:kern w:val="0"/>
          <w:lang w:val="en-GB"/>
          <w14:ligatures w14:val="none"/>
        </w:rPr>
      </w:pPr>
    </w:p>
    <w:p w14:paraId="100171CC" w14:textId="77777777" w:rsidR="00BD1498" w:rsidRPr="00BD1498" w:rsidRDefault="00BD1498" w:rsidP="00BD1498">
      <w:pPr>
        <w:widowControl w:val="0"/>
        <w:spacing w:after="0" w:line="240" w:lineRule="auto"/>
        <w:rPr>
          <w:rFonts w:ascii="Calibri" w:eastAsia="Calibri" w:hAnsi="Calibri" w:cs="Arial"/>
          <w:kern w:val="0"/>
          <w:sz w:val="24"/>
          <w:szCs w:val="24"/>
          <w:lang w:val="en-GB"/>
          <w14:ligatures w14:val="none"/>
        </w:rPr>
      </w:pPr>
      <w:r w:rsidRPr="00BD1498">
        <w:rPr>
          <w:rFonts w:ascii="Calibri" w:eastAsia="Calibri" w:hAnsi="Calibri" w:cs="Arial"/>
          <w:kern w:val="0"/>
          <w:sz w:val="24"/>
          <w:szCs w:val="24"/>
          <w:lang w:val="en-GB"/>
          <w14:ligatures w14:val="none"/>
        </w:rPr>
        <w:t xml:space="preserve">5. NSW will require the SFV to provide to the Commonwealth all reports resulting from </w:t>
      </w:r>
      <w:r w:rsidRPr="00BD1498">
        <w:rPr>
          <w:rFonts w:ascii="Calibri" w:eastAsia="Calibri" w:hAnsi="Calibri" w:cs="Arial"/>
          <w:kern w:val="0"/>
          <w:sz w:val="24"/>
          <w:szCs w:val="24"/>
          <w:lang w:val="en-GB"/>
          <w14:ligatures w14:val="none"/>
        </w:rPr>
        <w:lastRenderedPageBreak/>
        <w:t>audits commissioned by the SFV in relation to the operation of Commonwealth-funded projects by LTES Operators.</w:t>
      </w:r>
    </w:p>
    <w:p w14:paraId="22775C10" w14:textId="77777777" w:rsidR="00BD1498" w:rsidRPr="00BD1498" w:rsidRDefault="00BD1498" w:rsidP="00BD1498">
      <w:pPr>
        <w:widowControl w:val="0"/>
        <w:spacing w:after="0" w:line="240" w:lineRule="auto"/>
        <w:rPr>
          <w:rFonts w:ascii="Calibri" w:eastAsia="Calibri" w:hAnsi="Calibri" w:cs="Arial"/>
          <w:kern w:val="0"/>
          <w:lang w:val="en-GB"/>
          <w14:ligatures w14:val="none"/>
        </w:rPr>
      </w:pPr>
    </w:p>
    <w:p w14:paraId="158536B8" w14:textId="77777777" w:rsidR="005F3228" w:rsidRDefault="005F3228"/>
    <w:p w14:paraId="7D37D231" w14:textId="77777777" w:rsidR="00362AEA" w:rsidRDefault="00362AEA"/>
    <w:p w14:paraId="2AC6790A" w14:textId="77777777" w:rsidR="00362AEA" w:rsidRDefault="00362AEA"/>
    <w:p w14:paraId="74F766A7" w14:textId="77777777" w:rsidR="00362AEA" w:rsidRDefault="00362AEA"/>
    <w:p w14:paraId="30A980A1" w14:textId="77777777" w:rsidR="00362AEA" w:rsidRDefault="00362AEA"/>
    <w:p w14:paraId="4A7979DF" w14:textId="77777777" w:rsidR="00362AEA" w:rsidRDefault="00362AEA"/>
    <w:p w14:paraId="498F5D6F" w14:textId="77777777" w:rsidR="00362AEA" w:rsidRDefault="00362AEA"/>
    <w:p w14:paraId="51812CE5" w14:textId="77777777" w:rsidR="00362AEA" w:rsidRDefault="00362AEA"/>
    <w:p w14:paraId="2C37E70B" w14:textId="77777777" w:rsidR="00362AEA" w:rsidRDefault="00362AEA"/>
    <w:p w14:paraId="6C24EC23" w14:textId="77777777" w:rsidR="00362AEA" w:rsidRDefault="00362AEA"/>
    <w:p w14:paraId="62D0F70D" w14:textId="77777777" w:rsidR="00362AEA" w:rsidRDefault="00362AEA"/>
    <w:p w14:paraId="495C7848" w14:textId="77777777" w:rsidR="00362AEA" w:rsidRDefault="00362AEA"/>
    <w:p w14:paraId="5DE23824" w14:textId="77777777" w:rsidR="00362AEA" w:rsidRDefault="00362AEA"/>
    <w:p w14:paraId="28900052" w14:textId="77777777" w:rsidR="00362AEA" w:rsidRDefault="00362AEA"/>
    <w:p w14:paraId="541910BC" w14:textId="77777777" w:rsidR="00362AEA" w:rsidRDefault="00362AEA"/>
    <w:p w14:paraId="078BD7B4" w14:textId="77777777" w:rsidR="00362AEA" w:rsidRDefault="00362AEA"/>
    <w:p w14:paraId="6E0E33AF" w14:textId="77777777" w:rsidR="00362AEA" w:rsidRDefault="00362AEA"/>
    <w:p w14:paraId="38521638" w14:textId="77777777" w:rsidR="00362AEA" w:rsidRDefault="00362AEA"/>
    <w:p w14:paraId="54D352B4" w14:textId="77777777" w:rsidR="00362AEA" w:rsidRDefault="00362AEA"/>
    <w:p w14:paraId="2ED300E8" w14:textId="77777777" w:rsidR="00362AEA" w:rsidRDefault="00362AEA"/>
    <w:p w14:paraId="15C510B9" w14:textId="77777777" w:rsidR="00362AEA" w:rsidRDefault="00362AEA"/>
    <w:p w14:paraId="7FDA7B0D" w14:textId="77777777" w:rsidR="00362AEA" w:rsidRDefault="00362AEA"/>
    <w:p w14:paraId="196B6F4C" w14:textId="77777777" w:rsidR="00362AEA" w:rsidRDefault="00362AEA"/>
    <w:p w14:paraId="2227EA62" w14:textId="77777777" w:rsidR="00362AEA" w:rsidRDefault="00362AEA"/>
    <w:p w14:paraId="68009191" w14:textId="77777777" w:rsidR="00362AEA" w:rsidRDefault="00362AEA"/>
    <w:p w14:paraId="5FD300D3" w14:textId="77777777" w:rsidR="00362AEA" w:rsidRDefault="00362AEA"/>
    <w:p w14:paraId="1982B746" w14:textId="77777777" w:rsidR="00362AEA" w:rsidRDefault="00362AEA"/>
    <w:p w14:paraId="76CBE5B1" w14:textId="77777777" w:rsidR="00362AEA" w:rsidRDefault="00362AEA"/>
    <w:p w14:paraId="7B93CF21" w14:textId="77777777" w:rsidR="00362AEA" w:rsidRDefault="00362AEA"/>
    <w:p w14:paraId="5C47ACD1" w14:textId="77777777" w:rsidR="00362AEA" w:rsidRPr="00362AEA" w:rsidRDefault="00362AEA" w:rsidP="00362AEA">
      <w:pPr>
        <w:widowControl w:val="0"/>
        <w:spacing w:after="0" w:line="240" w:lineRule="auto"/>
        <w:rPr>
          <w:rFonts w:ascii="Calibri" w:eastAsia="Calibri" w:hAnsi="Calibri" w:cs="Arial"/>
          <w:b/>
          <w:kern w:val="0"/>
          <w:sz w:val="30"/>
          <w:szCs w:val="30"/>
          <w:lang w:val="en-GB"/>
          <w14:ligatures w14:val="none"/>
        </w:rPr>
      </w:pPr>
      <w:r w:rsidRPr="00362AEA">
        <w:rPr>
          <w:rFonts w:ascii="Calibri" w:eastAsia="Calibri" w:hAnsi="Calibri" w:cs="Arial"/>
          <w:b/>
          <w:kern w:val="0"/>
          <w:sz w:val="30"/>
          <w:szCs w:val="30"/>
          <w:lang w:val="en-GB"/>
          <w14:ligatures w14:val="none"/>
        </w:rPr>
        <w:lastRenderedPageBreak/>
        <w:t>Appendix B</w:t>
      </w:r>
    </w:p>
    <w:p w14:paraId="44BDB986" w14:textId="77777777" w:rsidR="00362AEA" w:rsidRPr="00362AEA" w:rsidRDefault="00362AEA" w:rsidP="00362AEA">
      <w:pPr>
        <w:spacing w:line="256" w:lineRule="auto"/>
        <w:rPr>
          <w:rFonts w:ascii="Calibri" w:eastAsia="Calibri" w:hAnsi="Calibri" w:cs="Arial"/>
          <w:kern w:val="0"/>
          <w:lang w:val="en-US"/>
          <w14:ligatures w14:val="none"/>
        </w:rPr>
      </w:pPr>
    </w:p>
    <w:p w14:paraId="3D831D3A" w14:textId="77777777" w:rsidR="00362AEA" w:rsidRPr="00362AEA" w:rsidRDefault="00362AEA" w:rsidP="00362AEA">
      <w:pPr>
        <w:spacing w:line="256" w:lineRule="auto"/>
        <w:rPr>
          <w:rFonts w:ascii="Calibri" w:eastAsia="Calibri" w:hAnsi="Calibri" w:cs="Arial"/>
          <w:b/>
          <w:bCs/>
          <w:i/>
          <w:kern w:val="0"/>
          <w:lang w:val="en-US"/>
          <w14:ligatures w14:val="none"/>
        </w:rPr>
      </w:pPr>
      <w:r w:rsidRPr="00362AEA">
        <w:rPr>
          <w:rFonts w:ascii="Corbel" w:eastAsia="Calibri" w:hAnsi="Corbel" w:cs="Segoe UI"/>
          <w:b/>
          <w:bCs/>
          <w:kern w:val="0"/>
          <w:sz w:val="26"/>
          <w:szCs w:val="26"/>
          <w:lang w:val="en-US"/>
          <w14:ligatures w14:val="none"/>
        </w:rPr>
        <w:t>The Commonwealth’s final payments by financial year</w:t>
      </w:r>
    </w:p>
    <w:p w14:paraId="6A0501D9" w14:textId="77777777" w:rsidR="00362AEA" w:rsidRPr="00362AEA" w:rsidRDefault="00362AEA" w:rsidP="00362AEA">
      <w:pPr>
        <w:spacing w:line="256" w:lineRule="auto"/>
        <w:rPr>
          <w:rFonts w:ascii="Calibri" w:eastAsia="Calibri" w:hAnsi="Calibri" w:cs="Arial"/>
          <w:kern w:val="0"/>
          <w:lang w:val="en-US"/>
          <w14:ligatures w14:val="none"/>
        </w:rPr>
      </w:pPr>
    </w:p>
    <w:tbl>
      <w:tblPr>
        <w:tblW w:w="4140" w:type="dxa"/>
        <w:tblLook w:val="04A0" w:firstRow="1" w:lastRow="0" w:firstColumn="1" w:lastColumn="0" w:noHBand="0" w:noVBand="1"/>
      </w:tblPr>
      <w:tblGrid>
        <w:gridCol w:w="2300"/>
        <w:gridCol w:w="1840"/>
      </w:tblGrid>
      <w:tr w:rsidR="00362AEA" w:rsidRPr="00362AEA" w14:paraId="1A082649" w14:textId="77777777" w:rsidTr="00AA0090">
        <w:trPr>
          <w:trHeight w:val="300"/>
        </w:trPr>
        <w:tc>
          <w:tcPr>
            <w:tcW w:w="2300" w:type="dxa"/>
            <w:tcBorders>
              <w:top w:val="single" w:sz="4" w:space="0" w:color="auto"/>
              <w:left w:val="single" w:sz="4" w:space="0" w:color="auto"/>
              <w:bottom w:val="single" w:sz="4" w:space="0" w:color="auto"/>
              <w:right w:val="single" w:sz="4" w:space="0" w:color="auto"/>
            </w:tcBorders>
            <w:noWrap/>
            <w:vAlign w:val="bottom"/>
            <w:hideMark/>
          </w:tcPr>
          <w:p w14:paraId="5D24E27C" w14:textId="77777777" w:rsidR="00362AEA" w:rsidRPr="00362AEA" w:rsidRDefault="00362AEA" w:rsidP="00362AEA">
            <w:pPr>
              <w:spacing w:after="0" w:line="256" w:lineRule="auto"/>
              <w:jc w:val="center"/>
              <w:rPr>
                <w:rFonts w:ascii="Calibri" w:eastAsia="Times New Roman" w:hAnsi="Calibri" w:cs="Calibri"/>
                <w:b/>
                <w:bCs/>
                <w:color w:val="000000"/>
                <w:kern w:val="0"/>
                <w:lang w:eastAsia="en-AU"/>
                <w14:ligatures w14:val="none"/>
              </w:rPr>
            </w:pPr>
            <w:r w:rsidRPr="00362AEA">
              <w:rPr>
                <w:rFonts w:ascii="Calibri" w:eastAsia="Times New Roman" w:hAnsi="Calibri" w:cs="Calibri"/>
                <w:b/>
                <w:bCs/>
                <w:color w:val="000000"/>
                <w:kern w:val="0"/>
                <w:lang w:eastAsia="en-AU"/>
                <w14:ligatures w14:val="none"/>
              </w:rPr>
              <w:t>Financial Year</w:t>
            </w:r>
          </w:p>
        </w:tc>
        <w:tc>
          <w:tcPr>
            <w:tcW w:w="1840" w:type="dxa"/>
            <w:tcBorders>
              <w:top w:val="single" w:sz="4" w:space="0" w:color="auto"/>
              <w:left w:val="nil"/>
              <w:bottom w:val="single" w:sz="4" w:space="0" w:color="auto"/>
              <w:right w:val="single" w:sz="4" w:space="0" w:color="auto"/>
            </w:tcBorders>
            <w:noWrap/>
            <w:vAlign w:val="bottom"/>
            <w:hideMark/>
          </w:tcPr>
          <w:p w14:paraId="6B11842A" w14:textId="77777777" w:rsidR="00362AEA" w:rsidRPr="00362AEA" w:rsidRDefault="00362AEA" w:rsidP="00362AEA">
            <w:pPr>
              <w:spacing w:after="0" w:line="256" w:lineRule="auto"/>
              <w:jc w:val="center"/>
              <w:rPr>
                <w:rFonts w:ascii="Calibri" w:eastAsia="Times New Roman" w:hAnsi="Calibri" w:cs="Calibri"/>
                <w:b/>
                <w:bCs/>
                <w:color w:val="000000"/>
                <w:kern w:val="0"/>
                <w:lang w:eastAsia="en-AU"/>
                <w14:ligatures w14:val="none"/>
              </w:rPr>
            </w:pPr>
            <w:r w:rsidRPr="00362AEA">
              <w:rPr>
                <w:rFonts w:ascii="Calibri" w:eastAsia="Times New Roman" w:hAnsi="Calibri" w:cs="Calibri"/>
                <w:b/>
                <w:bCs/>
                <w:color w:val="000000"/>
                <w:kern w:val="0"/>
                <w:lang w:eastAsia="en-AU"/>
                <w14:ligatures w14:val="none"/>
              </w:rPr>
              <w:t>$m</w:t>
            </w:r>
          </w:p>
        </w:tc>
      </w:tr>
      <w:tr w:rsidR="00362AEA" w:rsidRPr="00362AEA" w14:paraId="3A49CEAB"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45B18F11"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 xml:space="preserve">2023-2024 </w:t>
            </w:r>
          </w:p>
        </w:tc>
        <w:tc>
          <w:tcPr>
            <w:tcW w:w="1840" w:type="dxa"/>
            <w:tcBorders>
              <w:top w:val="nil"/>
              <w:left w:val="nil"/>
              <w:bottom w:val="single" w:sz="4" w:space="0" w:color="auto"/>
              <w:right w:val="single" w:sz="4" w:space="0" w:color="auto"/>
            </w:tcBorders>
            <w:noWrap/>
            <w:vAlign w:val="bottom"/>
            <w:hideMark/>
          </w:tcPr>
          <w:p w14:paraId="47CA6321" w14:textId="2F13386B" w:rsidR="00362AEA" w:rsidRPr="00362AEA" w:rsidRDefault="00153463" w:rsidP="00362AEA">
            <w:pPr>
              <w:spacing w:after="0" w:line="256"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7.</w:t>
            </w:r>
            <w:r w:rsidR="000A3ADA">
              <w:rPr>
                <w:rFonts w:ascii="Calibri" w:eastAsia="Times New Roman" w:hAnsi="Calibri" w:cs="Calibri"/>
                <w:color w:val="000000"/>
                <w:kern w:val="0"/>
                <w:lang w:eastAsia="en-AU"/>
                <w14:ligatures w14:val="none"/>
              </w:rPr>
              <w:t>7</w:t>
            </w:r>
            <w:r w:rsidR="001C793B">
              <w:rPr>
                <w:rFonts w:ascii="Calibri" w:eastAsia="Times New Roman" w:hAnsi="Calibri" w:cs="Calibri"/>
                <w:color w:val="000000"/>
                <w:kern w:val="0"/>
                <w:lang w:eastAsia="en-AU"/>
                <w14:ligatures w14:val="none"/>
              </w:rPr>
              <w:t>47</w:t>
            </w:r>
          </w:p>
        </w:tc>
      </w:tr>
      <w:tr w:rsidR="00362AEA" w:rsidRPr="00362AEA" w14:paraId="27A929C8"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3C8A3C41"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 xml:space="preserve">2024-2025 </w:t>
            </w:r>
          </w:p>
        </w:tc>
        <w:tc>
          <w:tcPr>
            <w:tcW w:w="1840" w:type="dxa"/>
            <w:tcBorders>
              <w:top w:val="nil"/>
              <w:left w:val="nil"/>
              <w:bottom w:val="single" w:sz="4" w:space="0" w:color="auto"/>
              <w:right w:val="single" w:sz="4" w:space="0" w:color="auto"/>
            </w:tcBorders>
            <w:noWrap/>
            <w:vAlign w:val="bottom"/>
            <w:hideMark/>
          </w:tcPr>
          <w:p w14:paraId="1E36640E"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6A45E75A"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1FB49614"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2025-2026</w:t>
            </w:r>
          </w:p>
        </w:tc>
        <w:tc>
          <w:tcPr>
            <w:tcW w:w="1840" w:type="dxa"/>
            <w:tcBorders>
              <w:top w:val="nil"/>
              <w:left w:val="nil"/>
              <w:bottom w:val="single" w:sz="4" w:space="0" w:color="auto"/>
              <w:right w:val="single" w:sz="4" w:space="0" w:color="auto"/>
            </w:tcBorders>
            <w:noWrap/>
            <w:vAlign w:val="bottom"/>
            <w:hideMark/>
          </w:tcPr>
          <w:p w14:paraId="6DEE4E7C"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31DAF333"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16C94EB9"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2026-2027</w:t>
            </w:r>
          </w:p>
        </w:tc>
        <w:tc>
          <w:tcPr>
            <w:tcW w:w="1840" w:type="dxa"/>
            <w:tcBorders>
              <w:top w:val="nil"/>
              <w:left w:val="nil"/>
              <w:bottom w:val="single" w:sz="4" w:space="0" w:color="auto"/>
              <w:right w:val="single" w:sz="4" w:space="0" w:color="auto"/>
            </w:tcBorders>
            <w:noWrap/>
            <w:hideMark/>
          </w:tcPr>
          <w:p w14:paraId="43DDDFAE"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5C3A3C5E"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37B0AEF7"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2027-2028</w:t>
            </w:r>
          </w:p>
        </w:tc>
        <w:tc>
          <w:tcPr>
            <w:tcW w:w="1840" w:type="dxa"/>
            <w:tcBorders>
              <w:top w:val="nil"/>
              <w:left w:val="nil"/>
              <w:bottom w:val="single" w:sz="4" w:space="0" w:color="auto"/>
              <w:right w:val="single" w:sz="4" w:space="0" w:color="auto"/>
            </w:tcBorders>
            <w:noWrap/>
            <w:hideMark/>
          </w:tcPr>
          <w:p w14:paraId="1034FF7E"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31679001"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412AD9CF"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2028-2029</w:t>
            </w:r>
          </w:p>
        </w:tc>
        <w:tc>
          <w:tcPr>
            <w:tcW w:w="1840" w:type="dxa"/>
            <w:tcBorders>
              <w:top w:val="nil"/>
              <w:left w:val="nil"/>
              <w:bottom w:val="single" w:sz="4" w:space="0" w:color="auto"/>
              <w:right w:val="single" w:sz="4" w:space="0" w:color="auto"/>
            </w:tcBorders>
            <w:noWrap/>
            <w:hideMark/>
          </w:tcPr>
          <w:p w14:paraId="23F2B71D"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25EBCF11"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6D0C403D"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2029-2030</w:t>
            </w:r>
          </w:p>
        </w:tc>
        <w:tc>
          <w:tcPr>
            <w:tcW w:w="1840" w:type="dxa"/>
            <w:tcBorders>
              <w:top w:val="nil"/>
              <w:left w:val="nil"/>
              <w:bottom w:val="single" w:sz="4" w:space="0" w:color="auto"/>
              <w:right w:val="single" w:sz="4" w:space="0" w:color="auto"/>
            </w:tcBorders>
            <w:noWrap/>
            <w:hideMark/>
          </w:tcPr>
          <w:p w14:paraId="0A09681D"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5A370A46"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6273914C"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2030-2031</w:t>
            </w:r>
          </w:p>
        </w:tc>
        <w:tc>
          <w:tcPr>
            <w:tcW w:w="1840" w:type="dxa"/>
            <w:tcBorders>
              <w:top w:val="nil"/>
              <w:left w:val="nil"/>
              <w:bottom w:val="single" w:sz="4" w:space="0" w:color="auto"/>
              <w:right w:val="single" w:sz="4" w:space="0" w:color="auto"/>
            </w:tcBorders>
            <w:noWrap/>
            <w:hideMark/>
          </w:tcPr>
          <w:p w14:paraId="0699ED73"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4A52A258"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0C9213CC"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2031-2032</w:t>
            </w:r>
          </w:p>
        </w:tc>
        <w:tc>
          <w:tcPr>
            <w:tcW w:w="1840" w:type="dxa"/>
            <w:tcBorders>
              <w:top w:val="nil"/>
              <w:left w:val="nil"/>
              <w:bottom w:val="single" w:sz="4" w:space="0" w:color="auto"/>
              <w:right w:val="single" w:sz="4" w:space="0" w:color="auto"/>
            </w:tcBorders>
            <w:noWrap/>
            <w:hideMark/>
          </w:tcPr>
          <w:p w14:paraId="5B0E2FF5"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42DCEAC4"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5F2AE9BA"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2032-2033</w:t>
            </w:r>
          </w:p>
        </w:tc>
        <w:tc>
          <w:tcPr>
            <w:tcW w:w="1840" w:type="dxa"/>
            <w:tcBorders>
              <w:top w:val="nil"/>
              <w:left w:val="nil"/>
              <w:bottom w:val="single" w:sz="4" w:space="0" w:color="auto"/>
              <w:right w:val="single" w:sz="4" w:space="0" w:color="auto"/>
            </w:tcBorders>
            <w:noWrap/>
            <w:hideMark/>
          </w:tcPr>
          <w:p w14:paraId="0C5563A8"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349D8540"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302726AA"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2033-2034</w:t>
            </w:r>
          </w:p>
        </w:tc>
        <w:tc>
          <w:tcPr>
            <w:tcW w:w="1840" w:type="dxa"/>
            <w:tcBorders>
              <w:top w:val="nil"/>
              <w:left w:val="nil"/>
              <w:bottom w:val="single" w:sz="4" w:space="0" w:color="auto"/>
              <w:right w:val="single" w:sz="4" w:space="0" w:color="auto"/>
            </w:tcBorders>
            <w:noWrap/>
            <w:hideMark/>
          </w:tcPr>
          <w:p w14:paraId="690309D8"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40DC9BA3"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1A0DC3AA"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2034-2035</w:t>
            </w:r>
          </w:p>
        </w:tc>
        <w:tc>
          <w:tcPr>
            <w:tcW w:w="1840" w:type="dxa"/>
            <w:tcBorders>
              <w:top w:val="nil"/>
              <w:left w:val="nil"/>
              <w:bottom w:val="single" w:sz="4" w:space="0" w:color="auto"/>
              <w:right w:val="single" w:sz="4" w:space="0" w:color="auto"/>
            </w:tcBorders>
            <w:noWrap/>
            <w:hideMark/>
          </w:tcPr>
          <w:p w14:paraId="1D181B50"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49A70555"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6A4B924E"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2035-2036</w:t>
            </w:r>
          </w:p>
        </w:tc>
        <w:tc>
          <w:tcPr>
            <w:tcW w:w="1840" w:type="dxa"/>
            <w:tcBorders>
              <w:top w:val="nil"/>
              <w:left w:val="nil"/>
              <w:bottom w:val="single" w:sz="4" w:space="0" w:color="auto"/>
              <w:right w:val="single" w:sz="4" w:space="0" w:color="auto"/>
            </w:tcBorders>
            <w:noWrap/>
            <w:hideMark/>
          </w:tcPr>
          <w:p w14:paraId="7038AF39"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1D598089"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27846FD0"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2036-2037</w:t>
            </w:r>
          </w:p>
        </w:tc>
        <w:tc>
          <w:tcPr>
            <w:tcW w:w="1840" w:type="dxa"/>
            <w:tcBorders>
              <w:top w:val="nil"/>
              <w:left w:val="nil"/>
              <w:bottom w:val="single" w:sz="4" w:space="0" w:color="auto"/>
              <w:right w:val="single" w:sz="4" w:space="0" w:color="auto"/>
            </w:tcBorders>
            <w:noWrap/>
            <w:hideMark/>
          </w:tcPr>
          <w:p w14:paraId="1EC2418D"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r w:rsidR="00362AEA" w:rsidRPr="00362AEA" w14:paraId="714F543E" w14:textId="77777777" w:rsidTr="00AA0090">
        <w:trPr>
          <w:trHeight w:val="300"/>
        </w:trPr>
        <w:tc>
          <w:tcPr>
            <w:tcW w:w="2300" w:type="dxa"/>
            <w:tcBorders>
              <w:top w:val="nil"/>
              <w:left w:val="single" w:sz="4" w:space="0" w:color="auto"/>
              <w:bottom w:val="single" w:sz="4" w:space="0" w:color="auto"/>
              <w:right w:val="single" w:sz="4" w:space="0" w:color="auto"/>
            </w:tcBorders>
            <w:noWrap/>
            <w:vAlign w:val="bottom"/>
            <w:hideMark/>
          </w:tcPr>
          <w:p w14:paraId="0DA4D819"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val="en-US" w:eastAsia="en-AU"/>
                <w14:ligatures w14:val="none"/>
              </w:rPr>
              <w:t>2037-2038</w:t>
            </w:r>
          </w:p>
        </w:tc>
        <w:tc>
          <w:tcPr>
            <w:tcW w:w="1840" w:type="dxa"/>
            <w:tcBorders>
              <w:top w:val="nil"/>
              <w:left w:val="nil"/>
              <w:bottom w:val="single" w:sz="4" w:space="0" w:color="auto"/>
              <w:right w:val="single" w:sz="4" w:space="0" w:color="auto"/>
            </w:tcBorders>
            <w:noWrap/>
            <w:hideMark/>
          </w:tcPr>
          <w:p w14:paraId="0802DFC6" w14:textId="77777777" w:rsidR="00362AEA" w:rsidRPr="00362AEA" w:rsidRDefault="00362AEA" w:rsidP="00362AEA">
            <w:pPr>
              <w:spacing w:after="0" w:line="256" w:lineRule="auto"/>
              <w:jc w:val="center"/>
              <w:rPr>
                <w:rFonts w:ascii="Calibri" w:eastAsia="Times New Roman" w:hAnsi="Calibri" w:cs="Calibri"/>
                <w:color w:val="000000"/>
                <w:kern w:val="0"/>
                <w:lang w:eastAsia="en-AU"/>
                <w14:ligatures w14:val="none"/>
              </w:rPr>
            </w:pPr>
            <w:r w:rsidRPr="00362AEA">
              <w:rPr>
                <w:rFonts w:ascii="Calibri" w:eastAsia="Times New Roman" w:hAnsi="Calibri" w:cs="Calibri"/>
                <w:color w:val="000000"/>
                <w:kern w:val="0"/>
                <w:lang w:eastAsia="en-AU"/>
                <w14:ligatures w14:val="none"/>
              </w:rPr>
              <w:t>TBC</w:t>
            </w:r>
          </w:p>
        </w:tc>
      </w:tr>
    </w:tbl>
    <w:p w14:paraId="0B5FB9E6" w14:textId="77777777" w:rsidR="00362AEA" w:rsidRPr="00362AEA" w:rsidRDefault="00362AEA" w:rsidP="00362AEA">
      <w:pPr>
        <w:spacing w:line="256" w:lineRule="auto"/>
        <w:rPr>
          <w:rFonts w:ascii="Calibri" w:eastAsia="Calibri" w:hAnsi="Calibri" w:cs="Arial"/>
          <w:kern w:val="0"/>
          <w:lang w:val="en-US"/>
          <w14:ligatures w14:val="none"/>
        </w:rPr>
      </w:pPr>
    </w:p>
    <w:p w14:paraId="55E6607F" w14:textId="77777777" w:rsidR="00372936" w:rsidRDefault="00372936"/>
    <w:p w14:paraId="5944761A" w14:textId="77777777" w:rsidR="00372936" w:rsidRDefault="00372936"/>
    <w:p w14:paraId="1993B49E" w14:textId="77777777" w:rsidR="00372936" w:rsidRDefault="00372936"/>
    <w:p w14:paraId="4D3937C0" w14:textId="77777777" w:rsidR="00372936" w:rsidRDefault="00372936"/>
    <w:p w14:paraId="0F57E50C" w14:textId="77777777" w:rsidR="00372936" w:rsidRDefault="00372936"/>
    <w:p w14:paraId="63C5F7BD" w14:textId="77777777" w:rsidR="00372936" w:rsidRDefault="00372936"/>
    <w:p w14:paraId="5C66EB2C" w14:textId="77777777" w:rsidR="00372936" w:rsidRDefault="00372936"/>
    <w:sectPr w:rsidR="003729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1355" w14:textId="77777777" w:rsidR="00117CFC" w:rsidRDefault="00117CFC" w:rsidP="00BD1498">
      <w:pPr>
        <w:spacing w:after="0" w:line="240" w:lineRule="auto"/>
      </w:pPr>
      <w:r>
        <w:separator/>
      </w:r>
    </w:p>
  </w:endnote>
  <w:endnote w:type="continuationSeparator" w:id="0">
    <w:p w14:paraId="2F3FAC4C" w14:textId="77777777" w:rsidR="00117CFC" w:rsidRDefault="00117CFC" w:rsidP="00BD1498">
      <w:pPr>
        <w:spacing w:after="0" w:line="240" w:lineRule="auto"/>
      </w:pPr>
      <w:r>
        <w:continuationSeparator/>
      </w:r>
    </w:p>
  </w:endnote>
  <w:endnote w:type="continuationNotice" w:id="1">
    <w:p w14:paraId="7864DFEF" w14:textId="77777777" w:rsidR="00117CFC" w:rsidRDefault="00117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B4C8" w14:textId="6B4DDE41" w:rsidR="004914BF" w:rsidRDefault="004914BF">
    <w:pPr>
      <w:pStyle w:val="Footer"/>
    </w:pPr>
    <w:r>
      <w:rPr>
        <w:noProof/>
      </w:rPr>
      <mc:AlternateContent>
        <mc:Choice Requires="wps">
          <w:drawing>
            <wp:anchor distT="0" distB="0" distL="0" distR="0" simplePos="0" relativeHeight="251656704" behindDoc="0" locked="0" layoutInCell="1" allowOverlap="1" wp14:anchorId="25544339" wp14:editId="55D760E3">
              <wp:simplePos x="635" y="635"/>
              <wp:positionH relativeFrom="page">
                <wp:align>center</wp:align>
              </wp:positionH>
              <wp:positionV relativeFrom="page">
                <wp:align>bottom</wp:align>
              </wp:positionV>
              <wp:extent cx="551815" cy="391160"/>
              <wp:effectExtent l="0" t="0" r="635" b="0"/>
              <wp:wrapNone/>
              <wp:docPr id="11113133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652E7A" w14:textId="45B4EDD0"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44339" id="_x0000_t202" coordsize="21600,21600" o:spt="202" path="m,l,21600r21600,l21600,xe">
              <v:stroke joinstyle="miter"/>
              <v:path gradientshapeok="t" o:connecttype="rect"/>
            </v:shapetype>
            <v:shape id="Text Box 5" o:spid="_x0000_s1029" type="#_x0000_t202" alt="OFFICIAL" style="position:absolute;margin-left:0;margin-top:0;width:43.45pt;height:30.8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5652E7A" w14:textId="45B4EDD0"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06ED" w14:textId="7949B9C7" w:rsidR="004914BF" w:rsidRDefault="004914BF">
    <w:pPr>
      <w:pStyle w:val="Footer"/>
    </w:pPr>
    <w:r>
      <w:rPr>
        <w:noProof/>
      </w:rPr>
      <mc:AlternateContent>
        <mc:Choice Requires="wps">
          <w:drawing>
            <wp:anchor distT="0" distB="0" distL="0" distR="0" simplePos="0" relativeHeight="251657728" behindDoc="0" locked="0" layoutInCell="1" allowOverlap="1" wp14:anchorId="1C690E17" wp14:editId="72EFDB09">
              <wp:simplePos x="914400" y="10067925"/>
              <wp:positionH relativeFrom="page">
                <wp:align>center</wp:align>
              </wp:positionH>
              <wp:positionV relativeFrom="page">
                <wp:align>bottom</wp:align>
              </wp:positionV>
              <wp:extent cx="551815" cy="391160"/>
              <wp:effectExtent l="0" t="0" r="635" b="0"/>
              <wp:wrapNone/>
              <wp:docPr id="5084281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4494D1" w14:textId="760DDF0E"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90E17" id="_x0000_t202" coordsize="21600,21600" o:spt="202" path="m,l,21600r21600,l21600,xe">
              <v:stroke joinstyle="miter"/>
              <v:path gradientshapeok="t" o:connecttype="rect"/>
            </v:shapetype>
            <v:shape id="Text Box 6" o:spid="_x0000_s1030" type="#_x0000_t202" alt="OFFICIAL" style="position:absolute;margin-left:0;margin-top:0;width:43.45pt;height:30.8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44494D1" w14:textId="760DDF0E"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3D4" w14:textId="6A95F0B9" w:rsidR="004914BF" w:rsidRDefault="004914BF">
    <w:pPr>
      <w:pStyle w:val="Footer"/>
    </w:pPr>
    <w:r>
      <w:rPr>
        <w:noProof/>
      </w:rPr>
      <mc:AlternateContent>
        <mc:Choice Requires="wps">
          <w:drawing>
            <wp:anchor distT="0" distB="0" distL="0" distR="0" simplePos="0" relativeHeight="251659776" behindDoc="0" locked="0" layoutInCell="1" allowOverlap="1" wp14:anchorId="1540E704" wp14:editId="426F1600">
              <wp:simplePos x="635" y="635"/>
              <wp:positionH relativeFrom="page">
                <wp:align>center</wp:align>
              </wp:positionH>
              <wp:positionV relativeFrom="page">
                <wp:align>bottom</wp:align>
              </wp:positionV>
              <wp:extent cx="551815" cy="391160"/>
              <wp:effectExtent l="0" t="0" r="635" b="0"/>
              <wp:wrapNone/>
              <wp:docPr id="7474619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CCCC3C" w14:textId="7DC4107B"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0E704"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5ACCCC3C" w14:textId="7DC4107B"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82CF" w14:textId="77777777" w:rsidR="00117CFC" w:rsidRDefault="00117CFC" w:rsidP="00BD1498">
      <w:pPr>
        <w:spacing w:after="0" w:line="240" w:lineRule="auto"/>
      </w:pPr>
      <w:r>
        <w:separator/>
      </w:r>
    </w:p>
  </w:footnote>
  <w:footnote w:type="continuationSeparator" w:id="0">
    <w:p w14:paraId="5E310D1A" w14:textId="77777777" w:rsidR="00117CFC" w:rsidRDefault="00117CFC" w:rsidP="00BD1498">
      <w:pPr>
        <w:spacing w:after="0" w:line="240" w:lineRule="auto"/>
      </w:pPr>
      <w:r>
        <w:continuationSeparator/>
      </w:r>
    </w:p>
  </w:footnote>
  <w:footnote w:type="continuationNotice" w:id="1">
    <w:p w14:paraId="4BDF8BF7" w14:textId="77777777" w:rsidR="00117CFC" w:rsidRDefault="00117CFC">
      <w:pPr>
        <w:spacing w:after="0" w:line="240" w:lineRule="auto"/>
      </w:pPr>
    </w:p>
  </w:footnote>
  <w:footnote w:id="2">
    <w:p w14:paraId="58139ECD" w14:textId="77777777" w:rsidR="00BD1498" w:rsidRPr="00B41E76" w:rsidRDefault="00BD1498" w:rsidP="00BD1498">
      <w:pPr>
        <w:pStyle w:val="FootnoteText"/>
        <w:rPr>
          <w:lang w:val="en-AU"/>
        </w:rPr>
      </w:pPr>
      <w:r>
        <w:rPr>
          <w:rStyle w:val="FootnoteReference"/>
        </w:rPr>
        <w:footnoteRef/>
      </w:r>
      <w:r>
        <w:t xml:space="preserve"> </w:t>
      </w:r>
      <w:r>
        <w:rPr>
          <w:lang w:val="en-AU"/>
        </w:rPr>
        <w:t>As defined in the relevant LTESA.</w:t>
      </w:r>
    </w:p>
  </w:footnote>
  <w:footnote w:id="3">
    <w:p w14:paraId="03BFFD86" w14:textId="77777777" w:rsidR="00BD1498" w:rsidRPr="00B41E76" w:rsidRDefault="00BD1498" w:rsidP="00BD1498">
      <w:pPr>
        <w:pStyle w:val="FootnoteText"/>
        <w:rPr>
          <w:lang w:val="en-AU"/>
        </w:rPr>
      </w:pPr>
      <w:r>
        <w:rPr>
          <w:rStyle w:val="FootnoteReference"/>
        </w:rPr>
        <w:footnoteRef/>
      </w:r>
      <w:r>
        <w:t xml:space="preserve"> </w:t>
      </w:r>
      <w:r>
        <w:rPr>
          <w:lang w:val="en-AU"/>
        </w:rPr>
        <w:t>As defined in the relevant LTESA.</w:t>
      </w:r>
    </w:p>
  </w:footnote>
  <w:footnote w:id="4">
    <w:p w14:paraId="776DADC8" w14:textId="77777777" w:rsidR="00BD1498" w:rsidRPr="00B41E76" w:rsidRDefault="00BD1498" w:rsidP="00BD1498">
      <w:pPr>
        <w:pStyle w:val="FootnoteText"/>
        <w:rPr>
          <w:lang w:val="en-AU"/>
        </w:rPr>
      </w:pPr>
      <w:r>
        <w:rPr>
          <w:rStyle w:val="FootnoteReference"/>
        </w:rPr>
        <w:footnoteRef/>
      </w:r>
      <w:r>
        <w:t xml:space="preserve"> </w:t>
      </w:r>
      <w:r>
        <w:rPr>
          <w:lang w:val="en-AU"/>
        </w:rPr>
        <w:t>As defined in the relevant LTESA.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F7BB" w14:textId="65CC8F9C" w:rsidR="004914BF" w:rsidRDefault="004914BF">
    <w:pPr>
      <w:pStyle w:val="Header"/>
    </w:pPr>
    <w:r>
      <w:rPr>
        <w:noProof/>
      </w:rPr>
      <mc:AlternateContent>
        <mc:Choice Requires="wps">
          <w:drawing>
            <wp:anchor distT="0" distB="0" distL="0" distR="0" simplePos="0" relativeHeight="251654656" behindDoc="0" locked="0" layoutInCell="1" allowOverlap="1" wp14:anchorId="73AE3CA5" wp14:editId="196FBC8C">
              <wp:simplePos x="635" y="635"/>
              <wp:positionH relativeFrom="page">
                <wp:align>center</wp:align>
              </wp:positionH>
              <wp:positionV relativeFrom="page">
                <wp:align>top</wp:align>
              </wp:positionV>
              <wp:extent cx="551815" cy="391160"/>
              <wp:effectExtent l="0" t="0" r="635" b="8890"/>
              <wp:wrapNone/>
              <wp:docPr id="9844201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52C031" w14:textId="1AA3FC0F"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E3CA5" id="_x0000_t202" coordsize="21600,21600" o:spt="202" path="m,l,21600r21600,l21600,xe">
              <v:stroke joinstyle="miter"/>
              <v:path gradientshapeok="t" o:connecttype="rect"/>
            </v:shapetype>
            <v:shape id="Text Box 2" o:spid="_x0000_s1027" type="#_x0000_t202" alt="OFFICIAL" style="position:absolute;margin-left:0;margin-top:0;width:43.45pt;height:30.8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D52C031" w14:textId="1AA3FC0F"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800A" w14:textId="59941913" w:rsidR="004914BF" w:rsidRDefault="004914BF">
    <w:pPr>
      <w:pStyle w:val="Header"/>
    </w:pPr>
    <w:r>
      <w:rPr>
        <w:noProof/>
      </w:rPr>
      <mc:AlternateContent>
        <mc:Choice Requires="wps">
          <w:drawing>
            <wp:anchor distT="0" distB="0" distL="0" distR="0" simplePos="0" relativeHeight="251655680" behindDoc="0" locked="0" layoutInCell="1" allowOverlap="1" wp14:anchorId="51C2836E" wp14:editId="300639E0">
              <wp:simplePos x="914400" y="447675"/>
              <wp:positionH relativeFrom="page">
                <wp:align>center</wp:align>
              </wp:positionH>
              <wp:positionV relativeFrom="page">
                <wp:align>top</wp:align>
              </wp:positionV>
              <wp:extent cx="551815" cy="391160"/>
              <wp:effectExtent l="0" t="0" r="635" b="8890"/>
              <wp:wrapNone/>
              <wp:docPr id="20976250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704CF4" w14:textId="4844E74F"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C2836E" id="_x0000_t202" coordsize="21600,21600" o:spt="202" path="m,l,21600r21600,l21600,xe">
              <v:stroke joinstyle="miter"/>
              <v:path gradientshapeok="t" o:connecttype="rect"/>
            </v:shapetype>
            <v:shape id="Text Box 3" o:spid="_x0000_s1028" type="#_x0000_t202" alt="OFFICIAL" style="position:absolute;margin-left:0;margin-top:0;width:43.45pt;height:30.8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D704CF4" w14:textId="4844E74F"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D86D" w14:textId="5822ECB3" w:rsidR="004914BF" w:rsidRDefault="004914BF">
    <w:pPr>
      <w:pStyle w:val="Header"/>
    </w:pPr>
    <w:r>
      <w:rPr>
        <w:noProof/>
      </w:rPr>
      <mc:AlternateContent>
        <mc:Choice Requires="wps">
          <w:drawing>
            <wp:anchor distT="0" distB="0" distL="0" distR="0" simplePos="0" relativeHeight="251658752" behindDoc="0" locked="0" layoutInCell="1" allowOverlap="1" wp14:anchorId="4EDF8065" wp14:editId="1CAAE0BF">
              <wp:simplePos x="635" y="635"/>
              <wp:positionH relativeFrom="page">
                <wp:align>center</wp:align>
              </wp:positionH>
              <wp:positionV relativeFrom="page">
                <wp:align>top</wp:align>
              </wp:positionV>
              <wp:extent cx="551815" cy="391160"/>
              <wp:effectExtent l="0" t="0" r="635" b="8890"/>
              <wp:wrapNone/>
              <wp:docPr id="5647783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0C17AE" w14:textId="63F547AC"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F8065" id="_x0000_t202" coordsize="21600,21600" o:spt="202" path="m,l,21600r21600,l21600,xe">
              <v:stroke joinstyle="miter"/>
              <v:path gradientshapeok="t" o:connecttype="rect"/>
            </v:shapetype>
            <v:shape id="Text Box 1" o:spid="_x0000_s1031" type="#_x0000_t202" alt="OFFICIAL" style="position:absolute;margin-left:0;margin-top:0;width:43.45pt;height:30.8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4D0C17AE" w14:textId="63F547AC" w:rsidR="004914BF" w:rsidRPr="004914BF" w:rsidRDefault="004914BF" w:rsidP="004914BF">
                    <w:pPr>
                      <w:spacing w:after="0"/>
                      <w:rPr>
                        <w:rFonts w:ascii="Calibri" w:eastAsia="Calibri" w:hAnsi="Calibri" w:cs="Calibri"/>
                        <w:noProof/>
                        <w:color w:val="FF0000"/>
                        <w:sz w:val="24"/>
                        <w:szCs w:val="24"/>
                      </w:rPr>
                    </w:pPr>
                    <w:r w:rsidRPr="004914B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F44"/>
    <w:multiLevelType w:val="hybridMultilevel"/>
    <w:tmpl w:val="614AD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D311B65"/>
    <w:multiLevelType w:val="hybridMultilevel"/>
    <w:tmpl w:val="89505E12"/>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64BF3B28"/>
    <w:multiLevelType w:val="hybridMultilevel"/>
    <w:tmpl w:val="12EAF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EFE5490"/>
    <w:multiLevelType w:val="hybridMultilevel"/>
    <w:tmpl w:val="1D1E5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D395A49"/>
    <w:multiLevelType w:val="hybridMultilevel"/>
    <w:tmpl w:val="E0FE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279580">
    <w:abstractNumId w:val="2"/>
  </w:num>
  <w:num w:numId="2" w16cid:durableId="635912108">
    <w:abstractNumId w:val="3"/>
  </w:num>
  <w:num w:numId="3" w16cid:durableId="1648050704">
    <w:abstractNumId w:val="4"/>
  </w:num>
  <w:num w:numId="4" w16cid:durableId="274793310">
    <w:abstractNumId w:val="0"/>
  </w:num>
  <w:num w:numId="5" w16cid:durableId="67600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D"/>
    <w:rsid w:val="00011A14"/>
    <w:rsid w:val="00015678"/>
    <w:rsid w:val="0001665E"/>
    <w:rsid w:val="00023D77"/>
    <w:rsid w:val="00026EC2"/>
    <w:rsid w:val="0004367F"/>
    <w:rsid w:val="00062F3A"/>
    <w:rsid w:val="00074CDD"/>
    <w:rsid w:val="0009313D"/>
    <w:rsid w:val="000A3ADA"/>
    <w:rsid w:val="000B333A"/>
    <w:rsid w:val="000C04BE"/>
    <w:rsid w:val="000C2BE8"/>
    <w:rsid w:val="000D5B69"/>
    <w:rsid w:val="00117CFC"/>
    <w:rsid w:val="00121B0A"/>
    <w:rsid w:val="00123BBC"/>
    <w:rsid w:val="001265C6"/>
    <w:rsid w:val="0012712E"/>
    <w:rsid w:val="001301A0"/>
    <w:rsid w:val="00130370"/>
    <w:rsid w:val="00130645"/>
    <w:rsid w:val="00145A8A"/>
    <w:rsid w:val="00153463"/>
    <w:rsid w:val="00154115"/>
    <w:rsid w:val="00157730"/>
    <w:rsid w:val="001A4A6C"/>
    <w:rsid w:val="001B0760"/>
    <w:rsid w:val="001B34ED"/>
    <w:rsid w:val="001C793B"/>
    <w:rsid w:val="001F0417"/>
    <w:rsid w:val="002172AF"/>
    <w:rsid w:val="0022037C"/>
    <w:rsid w:val="00227A7F"/>
    <w:rsid w:val="0023215B"/>
    <w:rsid w:val="00245979"/>
    <w:rsid w:val="00257969"/>
    <w:rsid w:val="00272B27"/>
    <w:rsid w:val="002918D3"/>
    <w:rsid w:val="002A1751"/>
    <w:rsid w:val="002B2AFB"/>
    <w:rsid w:val="002B7769"/>
    <w:rsid w:val="002C2179"/>
    <w:rsid w:val="002D26DC"/>
    <w:rsid w:val="002D74B9"/>
    <w:rsid w:val="002E1803"/>
    <w:rsid w:val="003223EF"/>
    <w:rsid w:val="0033247C"/>
    <w:rsid w:val="00362AEA"/>
    <w:rsid w:val="00372936"/>
    <w:rsid w:val="003A1F82"/>
    <w:rsid w:val="003A745F"/>
    <w:rsid w:val="003C3C3B"/>
    <w:rsid w:val="003F3AA1"/>
    <w:rsid w:val="003F74E2"/>
    <w:rsid w:val="004311DB"/>
    <w:rsid w:val="004412E3"/>
    <w:rsid w:val="00477507"/>
    <w:rsid w:val="00482FEF"/>
    <w:rsid w:val="00483AA3"/>
    <w:rsid w:val="0048521A"/>
    <w:rsid w:val="004914BF"/>
    <w:rsid w:val="004A4BC5"/>
    <w:rsid w:val="004D5E15"/>
    <w:rsid w:val="0051080E"/>
    <w:rsid w:val="005304C5"/>
    <w:rsid w:val="00536707"/>
    <w:rsid w:val="005417F7"/>
    <w:rsid w:val="005622CB"/>
    <w:rsid w:val="00564E48"/>
    <w:rsid w:val="00572659"/>
    <w:rsid w:val="00593335"/>
    <w:rsid w:val="00595C4B"/>
    <w:rsid w:val="00597BE2"/>
    <w:rsid w:val="005A2D14"/>
    <w:rsid w:val="005B64BC"/>
    <w:rsid w:val="005C5DAE"/>
    <w:rsid w:val="005F3228"/>
    <w:rsid w:val="00601AA4"/>
    <w:rsid w:val="00605695"/>
    <w:rsid w:val="00622509"/>
    <w:rsid w:val="0062659B"/>
    <w:rsid w:val="00633741"/>
    <w:rsid w:val="00664652"/>
    <w:rsid w:val="00685DDE"/>
    <w:rsid w:val="00697901"/>
    <w:rsid w:val="006B42C0"/>
    <w:rsid w:val="006B5DFD"/>
    <w:rsid w:val="006E559F"/>
    <w:rsid w:val="007055AC"/>
    <w:rsid w:val="00734DE1"/>
    <w:rsid w:val="00742708"/>
    <w:rsid w:val="00746D42"/>
    <w:rsid w:val="00765623"/>
    <w:rsid w:val="0079521F"/>
    <w:rsid w:val="007A44AC"/>
    <w:rsid w:val="007D0F3B"/>
    <w:rsid w:val="007F7638"/>
    <w:rsid w:val="008049E5"/>
    <w:rsid w:val="008052B3"/>
    <w:rsid w:val="0082034C"/>
    <w:rsid w:val="0083236F"/>
    <w:rsid w:val="0084162A"/>
    <w:rsid w:val="00845684"/>
    <w:rsid w:val="00867DC2"/>
    <w:rsid w:val="00870316"/>
    <w:rsid w:val="008708F0"/>
    <w:rsid w:val="0088465C"/>
    <w:rsid w:val="00890561"/>
    <w:rsid w:val="00892E8F"/>
    <w:rsid w:val="00893CE2"/>
    <w:rsid w:val="0089622D"/>
    <w:rsid w:val="00897D79"/>
    <w:rsid w:val="008B7014"/>
    <w:rsid w:val="00911229"/>
    <w:rsid w:val="00913FB1"/>
    <w:rsid w:val="00927B5E"/>
    <w:rsid w:val="00951038"/>
    <w:rsid w:val="00953FF0"/>
    <w:rsid w:val="00991981"/>
    <w:rsid w:val="0099321E"/>
    <w:rsid w:val="009932FF"/>
    <w:rsid w:val="009A3BAF"/>
    <w:rsid w:val="009F5461"/>
    <w:rsid w:val="009F58C7"/>
    <w:rsid w:val="00A01465"/>
    <w:rsid w:val="00A27491"/>
    <w:rsid w:val="00A33345"/>
    <w:rsid w:val="00A56094"/>
    <w:rsid w:val="00A63DBE"/>
    <w:rsid w:val="00A80843"/>
    <w:rsid w:val="00A83E08"/>
    <w:rsid w:val="00AA0090"/>
    <w:rsid w:val="00AC0198"/>
    <w:rsid w:val="00AD5FE2"/>
    <w:rsid w:val="00AE6244"/>
    <w:rsid w:val="00AF01AD"/>
    <w:rsid w:val="00AF21B1"/>
    <w:rsid w:val="00B035D3"/>
    <w:rsid w:val="00B038B4"/>
    <w:rsid w:val="00B12664"/>
    <w:rsid w:val="00B17D96"/>
    <w:rsid w:val="00B50021"/>
    <w:rsid w:val="00B608E4"/>
    <w:rsid w:val="00B60977"/>
    <w:rsid w:val="00B64685"/>
    <w:rsid w:val="00B74EFA"/>
    <w:rsid w:val="00B90C2D"/>
    <w:rsid w:val="00BD1498"/>
    <w:rsid w:val="00C06306"/>
    <w:rsid w:val="00C07112"/>
    <w:rsid w:val="00C333C3"/>
    <w:rsid w:val="00C35E83"/>
    <w:rsid w:val="00C36C0D"/>
    <w:rsid w:val="00C409D6"/>
    <w:rsid w:val="00C54834"/>
    <w:rsid w:val="00C6172F"/>
    <w:rsid w:val="00C61D65"/>
    <w:rsid w:val="00C677DF"/>
    <w:rsid w:val="00C86828"/>
    <w:rsid w:val="00CB5119"/>
    <w:rsid w:val="00CC395A"/>
    <w:rsid w:val="00CE3DD0"/>
    <w:rsid w:val="00D16428"/>
    <w:rsid w:val="00D24AC1"/>
    <w:rsid w:val="00D30998"/>
    <w:rsid w:val="00D407D7"/>
    <w:rsid w:val="00D42CFA"/>
    <w:rsid w:val="00D4785E"/>
    <w:rsid w:val="00D53A2C"/>
    <w:rsid w:val="00D5451A"/>
    <w:rsid w:val="00D62294"/>
    <w:rsid w:val="00D62B02"/>
    <w:rsid w:val="00D858B6"/>
    <w:rsid w:val="00DD06E5"/>
    <w:rsid w:val="00DD4E2C"/>
    <w:rsid w:val="00E05260"/>
    <w:rsid w:val="00E534E6"/>
    <w:rsid w:val="00E53A79"/>
    <w:rsid w:val="00E54F75"/>
    <w:rsid w:val="00E67002"/>
    <w:rsid w:val="00E765F6"/>
    <w:rsid w:val="00E84785"/>
    <w:rsid w:val="00E96688"/>
    <w:rsid w:val="00EA0042"/>
    <w:rsid w:val="00EA5103"/>
    <w:rsid w:val="00EB2386"/>
    <w:rsid w:val="00EB25C5"/>
    <w:rsid w:val="00EE3197"/>
    <w:rsid w:val="00F202A3"/>
    <w:rsid w:val="00F20EE0"/>
    <w:rsid w:val="00F43D96"/>
    <w:rsid w:val="00F47972"/>
    <w:rsid w:val="00F63FDF"/>
    <w:rsid w:val="00F73508"/>
    <w:rsid w:val="00FB113D"/>
    <w:rsid w:val="00FC5263"/>
    <w:rsid w:val="00FD5576"/>
    <w:rsid w:val="00FF16E1"/>
    <w:rsid w:val="00FF1F2A"/>
    <w:rsid w:val="1285D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2DFE"/>
  <w15:chartTrackingRefBased/>
  <w15:docId w15:val="{E48CAEB8-B78B-4652-B315-92B17225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1B34ED"/>
    <w:pPr>
      <w:keepNext/>
      <w:keepLines/>
      <w:spacing w:before="40" w:after="0"/>
      <w:outlineLvl w:val="8"/>
    </w:pPr>
    <w:rPr>
      <w:rFonts w:ascii="Calibri Light" w:eastAsia="Yu Gothic Light" w:hAnsi="Calibri Light"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91">
    <w:name w:val="Heading 91"/>
    <w:basedOn w:val="Normal"/>
    <w:next w:val="Normal"/>
    <w:uiPriority w:val="9"/>
    <w:semiHidden/>
    <w:unhideWhenUsed/>
    <w:qFormat/>
    <w:rsid w:val="001B34ED"/>
    <w:pPr>
      <w:keepNext/>
      <w:keepLines/>
      <w:widowControl w:val="0"/>
      <w:spacing w:before="40" w:after="0" w:line="240" w:lineRule="auto"/>
      <w:outlineLvl w:val="8"/>
    </w:pPr>
    <w:rPr>
      <w:rFonts w:ascii="Calibri Light" w:eastAsia="Yu Gothic Light" w:hAnsi="Calibri Light" w:cs="Times New Roman"/>
      <w:i/>
      <w:iCs/>
      <w:color w:val="272727"/>
      <w:kern w:val="0"/>
      <w:sz w:val="21"/>
      <w:szCs w:val="21"/>
      <w:lang w:val="en-US"/>
      <w14:ligatures w14:val="none"/>
    </w:rPr>
  </w:style>
  <w:style w:type="character" w:customStyle="1" w:styleId="Heading9Char">
    <w:name w:val="Heading 9 Char"/>
    <w:basedOn w:val="DefaultParagraphFont"/>
    <w:link w:val="Heading9"/>
    <w:uiPriority w:val="9"/>
    <w:semiHidden/>
    <w:rsid w:val="001B34ED"/>
    <w:rPr>
      <w:rFonts w:ascii="Calibri Light" w:eastAsia="Yu Gothic Light" w:hAnsi="Calibri Light" w:cs="Times New Roman"/>
      <w:i/>
      <w:iCs/>
      <w:color w:val="272727"/>
      <w:sz w:val="21"/>
      <w:szCs w:val="21"/>
      <w:lang w:val="en-US"/>
    </w:rPr>
  </w:style>
  <w:style w:type="character" w:customStyle="1" w:styleId="Heading9Char1">
    <w:name w:val="Heading 9 Char1"/>
    <w:basedOn w:val="DefaultParagraphFont"/>
    <w:uiPriority w:val="9"/>
    <w:semiHidden/>
    <w:rsid w:val="001B34ED"/>
    <w:rPr>
      <w:rFonts w:asciiTheme="majorHAnsi" w:eastAsiaTheme="majorEastAsia" w:hAnsiTheme="majorHAnsi" w:cstheme="majorBidi"/>
      <w:i/>
      <w:iCs/>
      <w:color w:val="272727" w:themeColor="text1" w:themeTint="D8"/>
      <w:sz w:val="21"/>
      <w:szCs w:val="21"/>
    </w:rPr>
  </w:style>
  <w:style w:type="table" w:customStyle="1" w:styleId="LightShading-Accent11">
    <w:name w:val="Light Shading - Accent 11"/>
    <w:basedOn w:val="TableNormal"/>
    <w:next w:val="LightShading-Accent1"/>
    <w:uiPriority w:val="60"/>
    <w:rsid w:val="001B34ED"/>
    <w:pPr>
      <w:spacing w:after="0" w:line="240" w:lineRule="auto"/>
    </w:pPr>
    <w:rPr>
      <w:rFonts w:eastAsia="Yu Mincho"/>
      <w:color w:val="2E74B5"/>
      <w:kern w:val="0"/>
      <w:lang w:val="en-US"/>
      <w14:ligatures w14:val="non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1">
    <w:name w:val="Light Shading Accent 1"/>
    <w:basedOn w:val="TableNormal"/>
    <w:uiPriority w:val="60"/>
    <w:semiHidden/>
    <w:unhideWhenUsed/>
    <w:rsid w:val="001B34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FootnoteReference">
    <w:name w:val="footnote reference"/>
    <w:basedOn w:val="DefaultParagraphFont"/>
    <w:uiPriority w:val="99"/>
    <w:semiHidden/>
    <w:unhideWhenUsed/>
    <w:rsid w:val="00BD1498"/>
    <w:rPr>
      <w:vertAlign w:val="superscript"/>
    </w:rPr>
  </w:style>
  <w:style w:type="paragraph" w:styleId="FootnoteText">
    <w:name w:val="footnote text"/>
    <w:basedOn w:val="Normal"/>
    <w:link w:val="FootnoteTextChar"/>
    <w:uiPriority w:val="99"/>
    <w:semiHidden/>
    <w:unhideWhenUsed/>
    <w:rsid w:val="00BD1498"/>
    <w:pPr>
      <w:widowControl w:val="0"/>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BD1498"/>
    <w:rPr>
      <w:kern w:val="0"/>
      <w:sz w:val="20"/>
      <w:szCs w:val="20"/>
      <w:lang w:val="en-US"/>
      <w14:ligatures w14:val="none"/>
    </w:rPr>
  </w:style>
  <w:style w:type="paragraph" w:styleId="Revision">
    <w:name w:val="Revision"/>
    <w:hidden/>
    <w:uiPriority w:val="99"/>
    <w:semiHidden/>
    <w:rsid w:val="00892E8F"/>
    <w:pPr>
      <w:spacing w:after="0" w:line="240" w:lineRule="auto"/>
    </w:pPr>
  </w:style>
  <w:style w:type="paragraph" w:styleId="Header">
    <w:name w:val="header"/>
    <w:basedOn w:val="Normal"/>
    <w:link w:val="HeaderChar"/>
    <w:uiPriority w:val="99"/>
    <w:unhideWhenUsed/>
    <w:rsid w:val="00491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F"/>
  </w:style>
  <w:style w:type="paragraph" w:styleId="Footer">
    <w:name w:val="footer"/>
    <w:basedOn w:val="Normal"/>
    <w:link w:val="FooterChar"/>
    <w:uiPriority w:val="99"/>
    <w:unhideWhenUsed/>
    <w:rsid w:val="00491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F"/>
  </w:style>
  <w:style w:type="character" w:styleId="CommentReference">
    <w:name w:val="annotation reference"/>
    <w:basedOn w:val="DefaultParagraphFont"/>
    <w:uiPriority w:val="99"/>
    <w:semiHidden/>
    <w:unhideWhenUsed/>
    <w:rsid w:val="00EB25C5"/>
    <w:rPr>
      <w:sz w:val="16"/>
      <w:szCs w:val="16"/>
    </w:rPr>
  </w:style>
  <w:style w:type="paragraph" w:styleId="CommentText">
    <w:name w:val="annotation text"/>
    <w:basedOn w:val="Normal"/>
    <w:link w:val="CommentTextChar"/>
    <w:uiPriority w:val="99"/>
    <w:unhideWhenUsed/>
    <w:rsid w:val="00EB25C5"/>
    <w:pPr>
      <w:spacing w:line="240" w:lineRule="auto"/>
    </w:pPr>
    <w:rPr>
      <w:sz w:val="20"/>
      <w:szCs w:val="20"/>
    </w:rPr>
  </w:style>
  <w:style w:type="character" w:customStyle="1" w:styleId="CommentTextChar">
    <w:name w:val="Comment Text Char"/>
    <w:basedOn w:val="DefaultParagraphFont"/>
    <w:link w:val="CommentText"/>
    <w:uiPriority w:val="99"/>
    <w:rsid w:val="00EB25C5"/>
    <w:rPr>
      <w:sz w:val="20"/>
      <w:szCs w:val="20"/>
    </w:rPr>
  </w:style>
  <w:style w:type="paragraph" w:styleId="CommentSubject">
    <w:name w:val="annotation subject"/>
    <w:basedOn w:val="CommentText"/>
    <w:next w:val="CommentText"/>
    <w:link w:val="CommentSubjectChar"/>
    <w:uiPriority w:val="99"/>
    <w:semiHidden/>
    <w:unhideWhenUsed/>
    <w:rsid w:val="00EB25C5"/>
    <w:rPr>
      <w:b/>
      <w:bCs/>
    </w:rPr>
  </w:style>
  <w:style w:type="character" w:customStyle="1" w:styleId="CommentSubjectChar">
    <w:name w:val="Comment Subject Char"/>
    <w:basedOn w:val="CommentTextChar"/>
    <w:link w:val="CommentSubject"/>
    <w:uiPriority w:val="99"/>
    <w:semiHidden/>
    <w:rsid w:val="00EB25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60385D6BF2DD4DACED50AE18F483D0" ma:contentTypeVersion="14" ma:contentTypeDescription="Create a new document." ma:contentTypeScope="" ma:versionID="76887fb9575c79cc395dd9c6ff3fe319">
  <xsd:schema xmlns:xsd="http://www.w3.org/2001/XMLSchema" xmlns:xs="http://www.w3.org/2001/XMLSchema" xmlns:p="http://schemas.microsoft.com/office/2006/metadata/properties" xmlns:ns2="fe39d773-a83d-4623-ae74-f25711a76616" xmlns:ns3="8a0f7cc3-c266-472c-a05b-c6f864bb8450" xmlns:ns4="66d6b57a-8878-449b-bf18-cbec9d2d9c49" targetNamespace="http://schemas.microsoft.com/office/2006/metadata/properties" ma:root="true" ma:fieldsID="a0be8288fb05a0e3667af26c7cb2c6f8" ns2:_="" ns3:_="" ns4:_="">
    <xsd:import namespace="fe39d773-a83d-4623-ae74-f25711a76616"/>
    <xsd:import namespace="8a0f7cc3-c266-472c-a05b-c6f864bb8450"/>
    <xsd:import namespace="66d6b57a-8878-449b-bf18-cbec9d2d9c49"/>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Agency"/>
                <xsd:element ref="ns3:Audience" minOccurs="0"/>
                <xsd:element ref="ns3:Jurisdiction" minOccurs="0"/>
                <xsd:element ref="ns3:ProductStatus" minOccurs="0"/>
                <xsd:element ref="ns3:FinancialYear1" minOccurs="0"/>
                <xsd:element ref="ns3:hb21c56c5eeb498493a0059821122609"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3:SPP"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80cce51-ead1-40cb-8fd9-95301ed80dfe"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c364aa-2b8d-4216-8243-6a5e92032bfa"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302fafe8-a7cb-4e2f-b315-bcccc5f1e9e7"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3c127f-6f35-4958-ad48-1154c3267515}"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73c127f-6f35-4958-ad48-1154c3267515}"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Agency" ma:index="23" ma:displayName="Agency" ma:format="Dropdown" ma:internalName="Agency">
      <xsd:simpleType>
        <xsd:union memberTypes="dms:Text">
          <xsd:simpleType>
            <xsd:restriction base="dms:Choice">
              <xsd:enumeration value="Infrastructure"/>
              <xsd:enumeration value="Health"/>
              <xsd:enumeration value="Climate Change"/>
              <xsd:enumeration value="Education"/>
              <xsd:enumeration value="Skills"/>
              <xsd:enumeration value="Attorney General"/>
              <xsd:enumeration value="Defence"/>
              <xsd:enumeration value="Finance"/>
              <xsd:enumeration value="Industry"/>
              <xsd:enumeration value="Social Services"/>
              <xsd:enumeration value="Agriculture"/>
              <xsd:enumeration value="Health Reform"/>
              <xsd:enumeration value="Treasury"/>
              <xsd:enumeration value="PM&amp;C"/>
              <xsd:enumeration value="NIAA"/>
              <xsd:enumeration value="Foreign Affairs"/>
              <xsd:enumeration value="Home Affairs"/>
              <xsd:enumeration value="NEMA"/>
            </xsd:restriction>
          </xsd:simpleType>
        </xsd:union>
      </xsd:simpleType>
    </xsd:element>
    <xsd:element name="Audience" ma:index="24" nillable="true" ma:displayName="Audience" ma:format="Dropdown" ma:internalName="Audience">
      <xsd:simpleType>
        <xsd:union memberTypes="dms:Text">
          <xsd:simpleType>
            <xsd:restriction base="dms:Choice">
              <xsd:enumeration value="CFFR"/>
              <xsd:enumeration value="HoTs"/>
              <xsd:enumeration value="DHoTs"/>
              <xsd:enumeration value="Treasurer's Office"/>
              <xsd:enumeration value="Treasury"/>
              <xsd:enumeration value="Cwth Agencies"/>
              <xsd:enumeration value="S&amp;T Agencies"/>
            </xsd:restriction>
          </xsd:simpleType>
        </xsd:union>
      </xsd:simpleType>
    </xsd:element>
    <xsd:element name="Jurisdiction" ma:index="25" nillable="true" ma:displayName="Jurisdiction" ma:format="Dropdown" ma:internalName="Jurisdiction">
      <xsd:complexType>
        <xsd:complexContent>
          <xsd:extension base="dms:MultiChoice">
            <xsd:sequence>
              <xsd:element name="Value" maxOccurs="unbounded" minOccurs="0" nillable="true">
                <xsd:simpleType>
                  <xsd:restriction base="dms:Choice">
                    <xsd:enumeration value="NSW"/>
                    <xsd:enumeration value="VIC"/>
                    <xsd:enumeration value="QLD"/>
                    <xsd:enumeration value="WA"/>
                    <xsd:enumeration value="SA"/>
                    <xsd:enumeration value="TAS"/>
                    <xsd:enumeration value="ACT"/>
                    <xsd:enumeration value="NT"/>
                    <xsd:enumeration value="Cwth"/>
                  </xsd:restriction>
                </xsd:simpleType>
              </xsd:element>
            </xsd:sequence>
          </xsd:extension>
        </xsd:complexContent>
      </xsd:complexType>
    </xsd:element>
    <xsd:element name="ProductStatus" ma:index="26" nillable="true" ma:displayName="Product Status" ma:format="Dropdown" ma:internalName="ProductStatus">
      <xsd:simpleType>
        <xsd:union memberTypes="dms:Text">
          <xsd:simpleType>
            <xsd:restriction base="dms:Choice">
              <xsd:enumeration value="Draft"/>
              <xsd:enumeration value="Final"/>
              <xsd:enumeration value="Sent to others"/>
              <xsd:enumeration value="Signed"/>
              <xsd:enumeration value="Draft - with comments"/>
              <xsd:enumeration value="Working version"/>
              <xsd:enumeration value="Master"/>
              <xsd:enumeration value="Clearance"/>
            </xsd:restriction>
          </xsd:simpleType>
        </xsd:union>
      </xsd:simpleType>
    </xsd:element>
    <xsd:element name="FinancialYear1" ma:index="27" nillable="true" ma:displayName="FinancialYear" ma:format="Dropdown" ma:internalName="FinancialYear1">
      <xsd:simpleType>
        <xsd:union memberTypes="dms:Text">
          <xsd:simpleType>
            <xsd:restriction base="dms:Choice">
              <xsd:enumeration value="2019-20"/>
              <xsd:enumeration value="2020-21"/>
              <xsd:enumeration value="2021-22"/>
              <xsd:enumeration value="2022-23"/>
              <xsd:enumeration value="2023-24"/>
              <xsd:enumeration value="2024-25"/>
              <xsd:enumeration value="2025-26"/>
              <xsd:enumeration value="2026-27"/>
            </xsd:restriction>
          </xsd:simpleType>
        </xsd:union>
      </xsd:simpleType>
    </xsd:element>
    <xsd:element name="hb21c56c5eeb498493a0059821122609" ma:index="29" nillable="true" ma:taxonomy="true" ma:internalName="hb21c56c5eeb498493a0059821122609" ma:taxonomyFieldName="SPPCode" ma:displayName="SPP Code" ma:default="" ma:fieldId="{1b21c56c-5eeb-4984-93a0-059821122609}" ma:taxonomyMulti="true" ma:sspId="218240cd-c75f-40bd-87f4-262ac964b25b" ma:termSetId="6d090a40-99c6-46dd-857f-c58c5a1179b9"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PP" ma:index="35" nillable="true" ma:displayName="SPP" ma:internalName="SPP">
      <xsd:complexType>
        <xsd:complexContent>
          <xsd:extension base="dms:MultiChoiceFillIn">
            <xsd:sequence>
              <xsd:element name="Value" maxOccurs="unbounded" minOccurs="0" nillable="true">
                <xsd:simpleType>
                  <xsd:union memberTypes="dms:Text">
                    <xsd:simpleType>
                      <xsd:restriction base="dms:Choice">
                        <xsd:enumeration value="SPP974"/>
                        <xsd:enumeration value="SPP53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d6b57a-8878-449b-bf18-cbec9d2d9c4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0f7cc3-c266-472c-a05b-c6f864bb8450">
      <Value>69</Value>
      <Value>28</Value>
      <Value>1</Value>
      <Value>70</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0d8d4347-ca09-4f92-bb63-db020e9693f4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Agreement (Right of use or Memorandum of understanding)</TermName>
          <TermId xmlns="http://schemas.microsoft.com/office/infopath/2007/PartnerControls">f8448f88-8343-4d6d-a573-2505a5b4876a</TermId>
        </TermInfo>
      </Terms>
    </kfc39f3e4e2747ae990d3c8bb74a5a64>
    <Agency xmlns="8a0f7cc3-c266-472c-a05b-c6f864bb8450">Climate Change</Agency>
    <hb21c56c5eeb498493a0059821122609 xmlns="8a0f7cc3-c266-472c-a05b-c6f864bb8450">
      <Terms xmlns="http://schemas.microsoft.com/office/infopath/2007/PartnerControls"/>
    </hb21c56c5eeb498493a0059821122609>
    <SPP xmlns="8a0f7cc3-c266-472c-a05b-c6f864bb8450">
      <Value>SPP971</Value>
    </SPP>
    <Audience xmlns="8a0f7cc3-c266-472c-a05b-c6f864bb8450" xsi:nil="true"/>
    <ge25bdd0d6464e36b066695d9e81d63d xmlns="fe39d773-a83d-4623-ae74-f25711a76616">
      <Terms xmlns="http://schemas.microsoft.com/office/infopath/2007/PartnerControls"/>
    </ge25bdd0d6464e36b066695d9e81d63d>
    <ProductStatus xmlns="8a0f7cc3-c266-472c-a05b-c6f864bb8450" xsi:nil="true"/>
    <FinancialYear1 xmlns="8a0f7cc3-c266-472c-a05b-c6f864bb8450" xsi:nil="true"/>
    <Jurisdiction xmlns="8a0f7cc3-c266-472c-a05b-c6f864bb8450"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Commonwealth-State Relations</TermName>
          <TermId xmlns="http://schemas.microsoft.com/office/infopath/2007/PartnerControls">f0c8ab12-1ade-42c2-b457-10ed09865e71</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Funding agreements</TermName>
          <TermId xmlns="http://schemas.microsoft.com/office/infopath/2007/PartnerControls">ce1d346c-dc3a-41ee-b9ee-bc25da13a02f</TermId>
        </TermInfo>
      </Terms>
    </gfba5f33532c49208d2320ce38cc3c2b>
    <_dlc_DocId xmlns="fe39d773-a83d-4623-ae74-f25711a76616">UCFTXV2XQRDS-169621119-3619</_dlc_DocId>
    <_dlc_DocIdUrl xmlns="fe39d773-a83d-4623-ae74-f25711a76616">
      <Url>https://austreasury.sharepoint.com/sites/csr-function/_layouts/15/DocIdRedir.aspx?ID=UCFTXV2XQRDS-169621119-3619</Url>
      <Description>UCFTXV2XQRDS-169621119-3619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19024-46EF-4C91-93A1-B1E15F3A85B7}">
  <ds:schemaRefs>
    <ds:schemaRef ds:uri="http://schemas.microsoft.com/sharepoint/events"/>
  </ds:schemaRefs>
</ds:datastoreItem>
</file>

<file path=customXml/itemProps2.xml><?xml version="1.0" encoding="utf-8"?>
<ds:datastoreItem xmlns:ds="http://schemas.openxmlformats.org/officeDocument/2006/customXml" ds:itemID="{65F57EED-4694-4BD6-AF13-5E7238CF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66d6b57a-8878-449b-bf18-cbec9d2d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DFD0-0BFD-4097-B66A-B5E2A28C7B02}">
  <ds:schemaRefs>
    <ds:schemaRef ds:uri="http://schemas.microsoft.com/sharepoint/v3"/>
    <ds:schemaRef ds:uri="c00b9b4d-7f79-474c-ada1-1bbc47134fcc"/>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a95247a4-6a6b-40fb-87b6-0fb2f012c536"/>
    <ds:schemaRef ds:uri="d81c2681-db7b-4a56-9abd-a3238a78f6b2"/>
    <ds:schemaRef ds:uri="http://purl.org/dc/terms/"/>
    <ds:schemaRef ds:uri="f955cd0e-1d6d-436f-8ac5-e785274a8c16"/>
    <ds:schemaRef ds:uri="http://schemas.microsoft.com/office/2006/metadata/properties"/>
    <ds:schemaRef ds:uri="http://purl.org/dc/dcmitype/"/>
    <ds:schemaRef ds:uri="8a0f7cc3-c266-472c-a05b-c6f864bb8450"/>
    <ds:schemaRef ds:uri="fe39d773-a83d-4623-ae74-f25711a76616"/>
  </ds:schemaRefs>
</ds:datastoreItem>
</file>

<file path=customXml/itemProps4.xml><?xml version="1.0" encoding="utf-8"?>
<ds:datastoreItem xmlns:ds="http://schemas.openxmlformats.org/officeDocument/2006/customXml" ds:itemID="{6A8AD963-F679-450D-A20C-240FB221FB78}">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Investment Scheme</dc:title>
  <dc:subject/>
  <dc:creator>James Davis</dc:creator>
  <cp:keywords/>
  <dc:description/>
  <cp:lastModifiedBy>Maclean, Mandy</cp:lastModifiedBy>
  <cp:revision>5</cp:revision>
  <dcterms:created xsi:type="dcterms:W3CDTF">2025-02-06T04:07:00Z</dcterms:created>
  <dcterms:modified xsi:type="dcterms:W3CDTF">2025-02-06T04:11:00Z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Order">
    <vt:r8>127700</vt:r8>
  </property>
  <property fmtid="{D5CDD505-2E9C-101B-9397-08002B2CF9AE}" pid="4" name="ClassificationContentMarkingHeaderText">
    <vt:lpwstr>OFFICIAL</vt:lpwstr>
  </property>
  <property fmtid="{D5CDD505-2E9C-101B-9397-08002B2CF9AE}" pid="5" name="MediaServiceImageTags">
    <vt:lpwstr/>
  </property>
  <property fmtid="{D5CDD505-2E9C-101B-9397-08002B2CF9AE}" pid="6" name="ContentTypeId">
    <vt:lpwstr>0x010100BF60385D6BF2DD4DACED50AE18F483D0</vt:lpwstr>
  </property>
  <property fmtid="{D5CDD505-2E9C-101B-9397-08002B2CF9AE}" pid="7" name="ClassificationContentMarkingHeaderFontProps">
    <vt:lpwstr>#ff0000,12,Calibri</vt:lpwstr>
  </property>
  <property fmtid="{D5CDD505-2E9C-101B-9397-08002B2CF9AE}" pid="8" name="ClassificationContentMarkingFooterShapeIds">
    <vt:lpwstr>2c8d5d40,423d4bac,1e4dffa5</vt:lpwstr>
  </property>
  <property fmtid="{D5CDD505-2E9C-101B-9397-08002B2CF9AE}" pid="9" name="ClassificationContentMarkingHeaderShapeIds">
    <vt:lpwstr>21a9d55f,3aad0f44,7d0737b1</vt:lpwstr>
  </property>
  <property fmtid="{D5CDD505-2E9C-101B-9397-08002B2CF9AE}" pid="10" name="ClassificationContentMarkingFooterFontProps">
    <vt:lpwstr>#ff0000,12,Calibri</vt:lpwstr>
  </property>
  <property fmtid="{D5CDD505-2E9C-101B-9397-08002B2CF9AE}" pid="11" name="eTheme">
    <vt:lpwstr>1</vt:lpwstr>
  </property>
  <property fmtid="{D5CDD505-2E9C-101B-9397-08002B2CF9AE}" pid="12" name="eTopic">
    <vt:lpwstr>69;#Funding agreements|ce1d346c-dc3a-41ee-b9ee-bc25da13a02f</vt:lpwstr>
  </property>
  <property fmtid="{D5CDD505-2E9C-101B-9397-08002B2CF9AE}" pid="13" name="eActivity">
    <vt:lpwstr>70</vt:lpwstr>
  </property>
  <property fmtid="{D5CDD505-2E9C-101B-9397-08002B2CF9AE}" pid="14" name="_dlc_DocIdItemGuid">
    <vt:lpwstr>f33bf250-6156-4271-bd9e-f9238b4095c0</vt:lpwstr>
  </property>
  <property fmtid="{D5CDD505-2E9C-101B-9397-08002B2CF9AE}" pid="15" name="TSYStatus">
    <vt:lpwstr/>
  </property>
  <property fmtid="{D5CDD505-2E9C-101B-9397-08002B2CF9AE}" pid="16" name="SPPCode">
    <vt:lpwstr/>
  </property>
  <property fmtid="{D5CDD505-2E9C-101B-9397-08002B2CF9AE}" pid="17" name="eDocumentType">
    <vt:lpwstr>28;#Agreement (Right of use or Memorandum of understanding)|f8448f88-8343-4d6d-a573-2505a5b4876a</vt:lpwstr>
  </property>
  <property fmtid="{D5CDD505-2E9C-101B-9397-08002B2CF9AE}" pid="18" name="MSIP_Label_4f932d64-9ab1-4d9b-81d2-a3a8b82dd47d_Enabled">
    <vt:lpwstr>true</vt:lpwstr>
  </property>
  <property fmtid="{D5CDD505-2E9C-101B-9397-08002B2CF9AE}" pid="19" name="MSIP_Label_4f932d64-9ab1-4d9b-81d2-a3a8b82dd47d_SetDate">
    <vt:lpwstr>2025-02-06T04:06:30Z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e6859505-d8d6-48bb-b062-b6597487b0bc</vt:lpwstr>
  </property>
  <property fmtid="{D5CDD505-2E9C-101B-9397-08002B2CF9AE}" pid="24" name="MSIP_Label_4f932d64-9ab1-4d9b-81d2-a3a8b82dd47d_ContentBits">
    <vt:lpwstr>0</vt:lpwstr>
  </property>
</Properties>
</file>