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786A7" w14:textId="77777777" w:rsidR="00213D42" w:rsidRDefault="00213D42" w:rsidP="00213D42">
      <w:pPr>
        <w:pStyle w:val="Heading9"/>
        <w:jc w:val="right"/>
        <w:rPr>
          <w:rStyle w:val="ParagraphnumberingChar"/>
          <w:rFonts w:eastAsiaTheme="majorEastAsia"/>
          <w:i w:val="0"/>
          <w:sz w:val="28"/>
          <w:szCs w:val="28"/>
        </w:rPr>
      </w:pPr>
      <w:r>
        <w:rPr>
          <w:i w:val="0"/>
          <w:sz w:val="28"/>
          <w:szCs w:val="28"/>
        </w:rPr>
        <w:t>Schedule</w:t>
      </w:r>
    </w:p>
    <w:p w14:paraId="5D0A5A60" w14:textId="25A0F97B" w:rsidR="00C91B5F" w:rsidRDefault="00167B01" w:rsidP="00C91B5F">
      <w:pPr>
        <w:pStyle w:val="Title"/>
      </w:pPr>
      <w:r>
        <w:t xml:space="preserve">Health Innovation Fund </w:t>
      </w:r>
      <w:r w:rsidR="0043135B">
        <w:t xml:space="preserve">– </w:t>
      </w:r>
      <w:r>
        <w:t>Stage Two</w:t>
      </w:r>
    </w:p>
    <w:p w14:paraId="5FFCBF02" w14:textId="3202E4F7" w:rsidR="00213D42" w:rsidRPr="00213D42" w:rsidRDefault="00213D42" w:rsidP="004E2EB6">
      <w:pPr>
        <w:pStyle w:val="Subtitle"/>
      </w:pPr>
      <w:r>
        <w:t>FEDERATION FUNDING AGREEMENT – HEALTH</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33"/>
        <w:gridCol w:w="7796"/>
      </w:tblGrid>
      <w:tr w:rsidR="00C91B5F" w:rsidRPr="00F00A18" w14:paraId="2AEBF62F" w14:textId="77777777" w:rsidTr="005D3905">
        <w:tc>
          <w:tcPr>
            <w:tcW w:w="9629" w:type="dxa"/>
            <w:gridSpan w:val="2"/>
            <w:shd w:val="clear" w:color="auto" w:fill="DEEAF6" w:themeFill="accent1" w:themeFillTint="33"/>
          </w:tcPr>
          <w:p w14:paraId="57E9443E" w14:textId="77777777" w:rsidR="00C91B5F" w:rsidRPr="00F00A18" w:rsidRDefault="00C91B5F" w:rsidP="005D3905">
            <w:pPr>
              <w:pStyle w:val="Tableformat"/>
              <w:rPr>
                <w:b/>
                <w:color w:val="auto"/>
              </w:rPr>
            </w:pPr>
            <w:r w:rsidRPr="00F00A18">
              <w:rPr>
                <w:b/>
                <w:color w:val="auto"/>
              </w:rPr>
              <w:t>Table 1: Formalities and operation of schedule</w:t>
            </w:r>
          </w:p>
        </w:tc>
      </w:tr>
      <w:tr w:rsidR="00C91B5F" w:rsidRPr="00F00A18" w14:paraId="4F1C327C" w14:textId="77777777" w:rsidTr="00F70C2F">
        <w:tc>
          <w:tcPr>
            <w:tcW w:w="1833" w:type="dxa"/>
            <w:shd w:val="clear" w:color="auto" w:fill="auto"/>
          </w:tcPr>
          <w:p w14:paraId="395045FC" w14:textId="77777777" w:rsidR="00C91B5F" w:rsidRPr="00F00A18" w:rsidRDefault="00C91B5F" w:rsidP="005D3905">
            <w:pPr>
              <w:pStyle w:val="Tableformat"/>
              <w:rPr>
                <w:color w:val="auto"/>
              </w:rPr>
            </w:pPr>
            <w:r w:rsidRPr="00F00A18">
              <w:rPr>
                <w:color w:val="auto"/>
              </w:rPr>
              <w:t>Parties</w:t>
            </w:r>
          </w:p>
        </w:tc>
        <w:tc>
          <w:tcPr>
            <w:tcW w:w="7796" w:type="dxa"/>
            <w:shd w:val="clear" w:color="auto" w:fill="auto"/>
          </w:tcPr>
          <w:p w14:paraId="3F1CCE1E" w14:textId="0E500429" w:rsidR="00C91B5F" w:rsidRPr="00F00A18" w:rsidRDefault="00C91B5F" w:rsidP="004E2EB6">
            <w:pPr>
              <w:pStyle w:val="Tableformat"/>
              <w:rPr>
                <w:color w:val="auto"/>
              </w:rPr>
            </w:pPr>
            <w:r w:rsidRPr="00F00A18">
              <w:rPr>
                <w:color w:val="auto"/>
              </w:rPr>
              <w:t>Commonwealth</w:t>
            </w:r>
            <w:r w:rsidR="00310988">
              <w:rPr>
                <w:color w:val="auto"/>
              </w:rPr>
              <w:t xml:space="preserve"> </w:t>
            </w:r>
            <w:r w:rsidR="004E2EB6">
              <w:rPr>
                <w:color w:val="auto"/>
              </w:rPr>
              <w:t xml:space="preserve">and </w:t>
            </w:r>
            <w:r w:rsidR="008305F3">
              <w:rPr>
                <w:color w:val="auto"/>
              </w:rPr>
              <w:t>Victoria</w:t>
            </w:r>
            <w:r w:rsidRPr="00F00A18">
              <w:rPr>
                <w:color w:val="auto"/>
              </w:rPr>
              <w:t xml:space="preserve"> </w:t>
            </w:r>
          </w:p>
        </w:tc>
      </w:tr>
      <w:tr w:rsidR="00C91B5F" w:rsidRPr="00F00A18" w14:paraId="6CEC776D" w14:textId="77777777" w:rsidTr="00EC227D">
        <w:tc>
          <w:tcPr>
            <w:tcW w:w="1833" w:type="dxa"/>
            <w:tcBorders>
              <w:bottom w:val="single" w:sz="4" w:space="0" w:color="4472C4" w:themeColor="accent5"/>
            </w:tcBorders>
            <w:shd w:val="clear" w:color="auto" w:fill="auto"/>
          </w:tcPr>
          <w:p w14:paraId="07C993DF" w14:textId="77777777" w:rsidR="00C91B5F" w:rsidRPr="00F00A18" w:rsidRDefault="00C91B5F" w:rsidP="005D3905">
            <w:pPr>
              <w:pStyle w:val="Tableformat"/>
              <w:rPr>
                <w:color w:val="auto"/>
              </w:rPr>
            </w:pPr>
            <w:r w:rsidRPr="00F00A18">
              <w:rPr>
                <w:color w:val="auto"/>
              </w:rPr>
              <w:t>Duration</w:t>
            </w:r>
          </w:p>
        </w:tc>
        <w:tc>
          <w:tcPr>
            <w:tcW w:w="7796" w:type="dxa"/>
            <w:tcBorders>
              <w:bottom w:val="single" w:sz="4" w:space="0" w:color="4472C4" w:themeColor="accent5"/>
            </w:tcBorders>
            <w:shd w:val="clear" w:color="auto" w:fill="auto"/>
          </w:tcPr>
          <w:p w14:paraId="5B3A76CD" w14:textId="7C5290D0" w:rsidR="00C91B5F" w:rsidRPr="00F00A18" w:rsidRDefault="00C91B5F" w:rsidP="003C0664">
            <w:pPr>
              <w:pStyle w:val="Tableformat"/>
              <w:rPr>
                <w:color w:val="auto"/>
              </w:rPr>
            </w:pPr>
            <w:r w:rsidRPr="00F00A18">
              <w:rPr>
                <w:color w:val="auto"/>
              </w:rPr>
              <w:t xml:space="preserve">This Schedule is expected to expire on </w:t>
            </w:r>
            <w:r w:rsidR="002E193C" w:rsidRPr="00410699">
              <w:rPr>
                <w:color w:val="auto"/>
              </w:rPr>
              <w:t xml:space="preserve">30 </w:t>
            </w:r>
            <w:r w:rsidR="003C0664">
              <w:rPr>
                <w:color w:val="auto"/>
              </w:rPr>
              <w:t xml:space="preserve">September </w:t>
            </w:r>
            <w:r w:rsidR="0057182F">
              <w:rPr>
                <w:color w:val="auto"/>
              </w:rPr>
              <w:t>2024</w:t>
            </w:r>
            <w:r w:rsidR="00832267">
              <w:t xml:space="preserve"> </w:t>
            </w:r>
            <w:r w:rsidR="00832267" w:rsidRPr="00832267">
              <w:rPr>
                <w:color w:val="auto"/>
              </w:rPr>
              <w:t>or on completion of the project, including final performance reporting.</w:t>
            </w:r>
          </w:p>
        </w:tc>
      </w:tr>
      <w:tr w:rsidR="00C91B5F" w:rsidRPr="00F00A18" w14:paraId="370F261A" w14:textId="77777777" w:rsidTr="00EC227D">
        <w:tc>
          <w:tcPr>
            <w:tcW w:w="183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tcPr>
          <w:p w14:paraId="203E2164" w14:textId="070095B9" w:rsidR="00C91B5F" w:rsidRDefault="00C91B5F" w:rsidP="00C05D7A">
            <w:pPr>
              <w:pStyle w:val="Tableformat"/>
              <w:spacing w:before="0" w:after="0"/>
              <w:rPr>
                <w:color w:val="auto"/>
              </w:rPr>
            </w:pPr>
            <w:r w:rsidRPr="00F00A18">
              <w:rPr>
                <w:color w:val="auto"/>
              </w:rPr>
              <w:t>Purpose</w:t>
            </w:r>
          </w:p>
          <w:p w14:paraId="46AE9273" w14:textId="301FC941" w:rsidR="00C05D7A" w:rsidRPr="00F00A18" w:rsidRDefault="00C05D7A" w:rsidP="00EC227D">
            <w:pPr>
              <w:pStyle w:val="Tableformat"/>
              <w:spacing w:before="0" w:after="0"/>
              <w:jc w:val="right"/>
              <w:rPr>
                <w:color w:val="auto"/>
              </w:rPr>
            </w:pPr>
          </w:p>
        </w:tc>
        <w:tc>
          <w:tcPr>
            <w:tcW w:w="779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tcPr>
          <w:p w14:paraId="5250ACC2" w14:textId="77777777" w:rsidR="008A59AF" w:rsidRDefault="00C91B5F" w:rsidP="00C05D7A">
            <w:pPr>
              <w:pStyle w:val="Tableformat"/>
              <w:spacing w:after="0"/>
              <w:rPr>
                <w:color w:val="auto"/>
              </w:rPr>
            </w:pPr>
            <w:r w:rsidRPr="00F00A18">
              <w:rPr>
                <w:color w:val="auto"/>
              </w:rPr>
              <w:t xml:space="preserve">This Schedule will support the </w:t>
            </w:r>
            <w:r w:rsidRPr="002E193C">
              <w:rPr>
                <w:color w:val="auto"/>
              </w:rPr>
              <w:t>delivery of</w:t>
            </w:r>
            <w:r w:rsidR="008A59AF">
              <w:rPr>
                <w:color w:val="auto"/>
              </w:rPr>
              <w:t>:</w:t>
            </w:r>
          </w:p>
          <w:p w14:paraId="229AD9AD" w14:textId="0D279EA7" w:rsidR="00F77AA5" w:rsidRPr="00B50981" w:rsidRDefault="00F77AA5" w:rsidP="003C0664">
            <w:pPr>
              <w:pStyle w:val="Tableformat"/>
              <w:rPr>
                <w:color w:val="auto"/>
              </w:rPr>
            </w:pPr>
            <w:r w:rsidRPr="00B50981">
              <w:rPr>
                <w:color w:val="auto"/>
              </w:rPr>
              <w:t>A project that promotes post-pandemic recovery and system sustainability in Victoria through new funding and care models.</w:t>
            </w:r>
          </w:p>
          <w:p w14:paraId="3DB8A13B" w14:textId="0E1AAE72" w:rsidR="003C0664" w:rsidRDefault="003C0664" w:rsidP="003C0664">
            <w:pPr>
              <w:pStyle w:val="Tableformat"/>
              <w:rPr>
                <w:color w:val="auto"/>
              </w:rPr>
            </w:pPr>
            <w:r>
              <w:rPr>
                <w:color w:val="auto"/>
              </w:rPr>
              <w:t>The project</w:t>
            </w:r>
            <w:r w:rsidRPr="000103F2">
              <w:rPr>
                <w:color w:val="auto"/>
              </w:rPr>
              <w:t xml:space="preserve"> </w:t>
            </w:r>
            <w:r>
              <w:rPr>
                <w:color w:val="auto"/>
              </w:rPr>
              <w:t xml:space="preserve">involves </w:t>
            </w:r>
            <w:r w:rsidR="003E6E9A">
              <w:rPr>
                <w:color w:val="auto"/>
              </w:rPr>
              <w:t>four</w:t>
            </w:r>
            <w:r w:rsidR="00F95D42">
              <w:rPr>
                <w:color w:val="auto"/>
              </w:rPr>
              <w:t xml:space="preserve"> activities that adv</w:t>
            </w:r>
            <w:r w:rsidR="0052311F">
              <w:rPr>
                <w:color w:val="auto"/>
              </w:rPr>
              <w:t>ance</w:t>
            </w:r>
            <w:r w:rsidR="00F95D42">
              <w:rPr>
                <w:color w:val="auto"/>
              </w:rPr>
              <w:t xml:space="preserve"> the National Health Reform Agreement long-term health reform agenda including:</w:t>
            </w:r>
          </w:p>
          <w:p w14:paraId="6F0E2893" w14:textId="77777777" w:rsidR="003C0664" w:rsidRPr="00704B6D" w:rsidRDefault="003C0664" w:rsidP="003C0664">
            <w:pPr>
              <w:pStyle w:val="Tableformat"/>
              <w:numPr>
                <w:ilvl w:val="0"/>
                <w:numId w:val="9"/>
              </w:numPr>
              <w:rPr>
                <w:color w:val="auto"/>
              </w:rPr>
            </w:pPr>
            <w:r w:rsidRPr="00704B6D">
              <w:rPr>
                <w:color w:val="auto"/>
              </w:rPr>
              <w:t xml:space="preserve">Developing </w:t>
            </w:r>
            <w:proofErr w:type="spellStart"/>
            <w:r w:rsidRPr="00704B6D">
              <w:rPr>
                <w:b/>
                <w:bCs/>
                <w:color w:val="auto"/>
              </w:rPr>
              <w:t>standardised</w:t>
            </w:r>
            <w:proofErr w:type="spellEnd"/>
            <w:r w:rsidRPr="00704B6D">
              <w:rPr>
                <w:b/>
                <w:bCs/>
                <w:color w:val="auto"/>
              </w:rPr>
              <w:t xml:space="preserve"> referral criteria </w:t>
            </w:r>
            <w:r w:rsidRPr="00704B6D">
              <w:rPr>
                <w:bCs/>
                <w:color w:val="auto"/>
              </w:rPr>
              <w:t>and care pathways</w:t>
            </w:r>
            <w:r w:rsidRPr="00704B6D">
              <w:rPr>
                <w:color w:val="auto"/>
              </w:rPr>
              <w:t xml:space="preserve"> for specific high-volume procedures</w:t>
            </w:r>
            <w:r w:rsidRPr="00022D1C">
              <w:rPr>
                <w:color w:val="auto"/>
              </w:rPr>
              <w:t xml:space="preserve"> to ensure patients only receive surgery if it is the best option for them</w:t>
            </w:r>
            <w:r w:rsidRPr="00704B6D">
              <w:rPr>
                <w:color w:val="auto"/>
              </w:rPr>
              <w:t>, and to identify and educate patients with modifiable risks among the patients to undergo surgery.</w:t>
            </w:r>
          </w:p>
          <w:p w14:paraId="0D378EEF" w14:textId="7BBD4A5D" w:rsidR="003C0664" w:rsidRPr="007A71FF" w:rsidRDefault="00F95D42" w:rsidP="003C0664">
            <w:pPr>
              <w:pStyle w:val="Tableformat"/>
              <w:numPr>
                <w:ilvl w:val="0"/>
                <w:numId w:val="9"/>
              </w:numPr>
              <w:rPr>
                <w:color w:val="auto"/>
              </w:rPr>
            </w:pPr>
            <w:r>
              <w:rPr>
                <w:color w:val="auto"/>
              </w:rPr>
              <w:t>Rapid surgery throughput - s</w:t>
            </w:r>
            <w:r w:rsidR="003C0664" w:rsidRPr="007A71FF">
              <w:rPr>
                <w:color w:val="auto"/>
              </w:rPr>
              <w:t xml:space="preserve">tanding up and scaling </w:t>
            </w:r>
            <w:r w:rsidR="003C0664" w:rsidRPr="006A0DBD">
              <w:rPr>
                <w:bCs/>
                <w:color w:val="auto"/>
              </w:rPr>
              <w:t>innovative same day surgical models</w:t>
            </w:r>
            <w:r w:rsidR="003C0664" w:rsidRPr="006A0DBD">
              <w:rPr>
                <w:color w:val="auto"/>
              </w:rPr>
              <w:t xml:space="preserve"> in key specialties, as well as </w:t>
            </w:r>
            <w:r w:rsidR="003C0664" w:rsidRPr="004247E7">
              <w:rPr>
                <w:b/>
                <w:bCs/>
                <w:color w:val="auto"/>
              </w:rPr>
              <w:t>reducing length of stay</w:t>
            </w:r>
            <w:r w:rsidR="003C0664" w:rsidRPr="006A0DBD">
              <w:rPr>
                <w:bCs/>
                <w:color w:val="auto"/>
              </w:rPr>
              <w:t xml:space="preserve"> </w:t>
            </w:r>
            <w:r>
              <w:rPr>
                <w:color w:val="auto"/>
              </w:rPr>
              <w:t>for patients</w:t>
            </w:r>
            <w:r w:rsidR="005C6E84">
              <w:rPr>
                <w:color w:val="auto"/>
              </w:rPr>
              <w:t>.</w:t>
            </w:r>
          </w:p>
          <w:p w14:paraId="727F167B" w14:textId="77777777" w:rsidR="003E6E9A" w:rsidRDefault="003C0664" w:rsidP="003E6E9A">
            <w:pPr>
              <w:pStyle w:val="Tableformat"/>
              <w:numPr>
                <w:ilvl w:val="0"/>
                <w:numId w:val="9"/>
              </w:numPr>
              <w:rPr>
                <w:color w:val="auto"/>
              </w:rPr>
            </w:pPr>
            <w:r>
              <w:rPr>
                <w:color w:val="auto"/>
              </w:rPr>
              <w:t xml:space="preserve">Working with the Independent Hospital Pricing Authority to develop </w:t>
            </w:r>
            <w:r w:rsidRPr="002B26EB">
              <w:rPr>
                <w:b/>
                <w:bCs/>
                <w:color w:val="auto"/>
              </w:rPr>
              <w:t>new</w:t>
            </w:r>
            <w:r>
              <w:rPr>
                <w:color w:val="auto"/>
              </w:rPr>
              <w:t xml:space="preserve"> </w:t>
            </w:r>
            <w:r w:rsidRPr="007A71FF">
              <w:rPr>
                <w:b/>
                <w:bCs/>
                <w:color w:val="auto"/>
              </w:rPr>
              <w:t xml:space="preserve">funding </w:t>
            </w:r>
            <w:r>
              <w:rPr>
                <w:b/>
                <w:bCs/>
                <w:color w:val="auto"/>
              </w:rPr>
              <w:t>models</w:t>
            </w:r>
            <w:r w:rsidRPr="007A71FF">
              <w:rPr>
                <w:color w:val="auto"/>
              </w:rPr>
              <w:t xml:space="preserve"> </w:t>
            </w:r>
            <w:r w:rsidR="005C6E84">
              <w:rPr>
                <w:color w:val="auto"/>
              </w:rPr>
              <w:t xml:space="preserve">for joint replacement </w:t>
            </w:r>
            <w:r w:rsidRPr="007A71FF">
              <w:rPr>
                <w:color w:val="auto"/>
              </w:rPr>
              <w:t>to drive greater incentives and flexibilities to improve care</w:t>
            </w:r>
            <w:r w:rsidR="005C6E84">
              <w:rPr>
                <w:color w:val="auto"/>
              </w:rPr>
              <w:t>.</w:t>
            </w:r>
          </w:p>
          <w:p w14:paraId="5E59D361" w14:textId="27C19D88" w:rsidR="003E6E9A" w:rsidRPr="003E6E9A" w:rsidRDefault="00022D1C" w:rsidP="003E6E9A">
            <w:pPr>
              <w:pStyle w:val="Tableformat"/>
              <w:numPr>
                <w:ilvl w:val="0"/>
                <w:numId w:val="9"/>
              </w:numPr>
              <w:rPr>
                <w:color w:val="auto"/>
              </w:rPr>
            </w:pPr>
            <w:r>
              <w:rPr>
                <w:color w:val="auto"/>
              </w:rPr>
              <w:t xml:space="preserve">Conducting a </w:t>
            </w:r>
            <w:r w:rsidRPr="00175957">
              <w:rPr>
                <w:b/>
                <w:color w:val="auto"/>
              </w:rPr>
              <w:t>waitlist audit</w:t>
            </w:r>
            <w:r>
              <w:rPr>
                <w:color w:val="auto"/>
              </w:rPr>
              <w:t xml:space="preserve"> and establishing </w:t>
            </w:r>
            <w:r w:rsidRPr="00175957">
              <w:rPr>
                <w:b/>
                <w:color w:val="auto"/>
              </w:rPr>
              <w:t>gatekeeping processes</w:t>
            </w:r>
            <w:r>
              <w:rPr>
                <w:color w:val="auto"/>
              </w:rPr>
              <w:t xml:space="preserve"> to reduce</w:t>
            </w:r>
            <w:r w:rsidR="003E6E9A">
              <w:rPr>
                <w:color w:val="auto"/>
              </w:rPr>
              <w:t xml:space="preserve"> </w:t>
            </w:r>
            <w:r w:rsidR="003E6E9A" w:rsidRPr="003E6E9A">
              <w:rPr>
                <w:color w:val="auto"/>
                <w:lang w:val="en-AU"/>
              </w:rPr>
              <w:t>use of procedures with limited evidence of clinical benefit for specific clinical indications</w:t>
            </w:r>
            <w:r>
              <w:rPr>
                <w:color w:val="auto"/>
                <w:lang w:val="en-AU"/>
              </w:rPr>
              <w:t xml:space="preserve"> </w:t>
            </w:r>
            <w:r w:rsidR="003E6E9A">
              <w:rPr>
                <w:color w:val="auto"/>
                <w:lang w:val="en-AU"/>
              </w:rPr>
              <w:t>– ensuring patients get the care that is right for them.</w:t>
            </w:r>
          </w:p>
        </w:tc>
      </w:tr>
      <w:tr w:rsidR="00C91B5F" w:rsidRPr="00F00A18" w14:paraId="395139D3" w14:textId="77777777" w:rsidTr="00C359BD">
        <w:trPr>
          <w:trHeight w:val="2905"/>
        </w:trPr>
        <w:tc>
          <w:tcPr>
            <w:tcW w:w="1833" w:type="dxa"/>
            <w:tcBorders>
              <w:top w:val="single" w:sz="4" w:space="0" w:color="4472C4" w:themeColor="accent5"/>
            </w:tcBorders>
            <w:shd w:val="clear" w:color="auto" w:fill="auto"/>
          </w:tcPr>
          <w:p w14:paraId="5B358291" w14:textId="77777777" w:rsidR="00C91B5F" w:rsidRPr="002B43AD" w:rsidRDefault="00C91B5F" w:rsidP="005D3905">
            <w:pPr>
              <w:pStyle w:val="Tableformat"/>
              <w:rPr>
                <w:color w:val="auto"/>
              </w:rPr>
            </w:pPr>
            <w:r w:rsidRPr="002B43AD">
              <w:rPr>
                <w:color w:val="auto"/>
              </w:rPr>
              <w:t>Estimated financial contributions</w:t>
            </w:r>
          </w:p>
        </w:tc>
        <w:tc>
          <w:tcPr>
            <w:tcW w:w="7796" w:type="dxa"/>
            <w:tcBorders>
              <w:top w:val="single" w:sz="4" w:space="0" w:color="4472C4" w:themeColor="accent5"/>
            </w:tcBorders>
            <w:shd w:val="clear" w:color="auto" w:fill="auto"/>
          </w:tcPr>
          <w:p w14:paraId="2EDEEDB0" w14:textId="1B53662D" w:rsidR="00C91B5F" w:rsidRPr="002B43AD" w:rsidRDefault="00EB55A8" w:rsidP="003C0664">
            <w:pPr>
              <w:pStyle w:val="Tableformat"/>
              <w:rPr>
                <w:color w:val="auto"/>
              </w:rPr>
            </w:pPr>
            <w:r w:rsidRPr="002B43AD">
              <w:rPr>
                <w:noProof/>
                <w:color w:val="auto"/>
                <w:lang w:val="en-AU"/>
              </w:rPr>
              <mc:AlternateContent>
                <mc:Choice Requires="wps">
                  <w:drawing>
                    <wp:anchor distT="45720" distB="45720" distL="114300" distR="114300" simplePos="0" relativeHeight="251658240" behindDoc="0" locked="0" layoutInCell="1" allowOverlap="1" wp14:anchorId="0C5C069E" wp14:editId="7DBC4294">
                      <wp:simplePos x="0" y="0"/>
                      <wp:positionH relativeFrom="column">
                        <wp:posOffset>-62230</wp:posOffset>
                      </wp:positionH>
                      <wp:positionV relativeFrom="paragraph">
                        <wp:posOffset>603885</wp:posOffset>
                      </wp:positionV>
                      <wp:extent cx="5133340" cy="1257300"/>
                      <wp:effectExtent l="0" t="0" r="0" b="0"/>
                      <wp:wrapSquare wrapText="bothSides"/>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1257300"/>
                              </a:xfrm>
                              <a:prstGeom prst="rect">
                                <a:avLst/>
                              </a:prstGeom>
                              <a:solidFill>
                                <a:srgbClr val="FFFFFF"/>
                              </a:solidFill>
                              <a:ln w="9525">
                                <a:noFill/>
                                <a:miter lim="800000"/>
                                <a:headEnd/>
                                <a:tailEnd/>
                              </a:ln>
                            </wps:spPr>
                            <wps:txbx>
                              <w:txbxContent>
                                <w:tbl>
                                  <w:tblPr>
                                    <w:tblW w:w="0" w:type="auto"/>
                                    <w:tblLook w:val="01E0" w:firstRow="1" w:lastRow="1" w:firstColumn="1" w:lastColumn="1" w:noHBand="0" w:noVBand="0"/>
                                  </w:tblPr>
                                  <w:tblGrid>
                                    <w:gridCol w:w="5386"/>
                                    <w:gridCol w:w="942"/>
                                    <w:gridCol w:w="943"/>
                                  </w:tblGrid>
                                  <w:tr w:rsidR="00FD31D3" w:rsidRPr="00101AB3" w14:paraId="5D85ACF8" w14:textId="77777777" w:rsidTr="004E2EB6">
                                    <w:trPr>
                                      <w:cantSplit/>
                                    </w:trPr>
                                    <w:tc>
                                      <w:tcPr>
                                        <w:tcW w:w="5386" w:type="dxa"/>
                                        <w:tcBorders>
                                          <w:top w:val="single" w:sz="4" w:space="0" w:color="auto"/>
                                          <w:bottom w:val="single" w:sz="4" w:space="0" w:color="auto"/>
                                        </w:tcBorders>
                                      </w:tcPr>
                                      <w:p w14:paraId="0A042F53" w14:textId="77777777" w:rsidR="00213D42" w:rsidRDefault="00213D42" w:rsidP="00213D42">
                                        <w:pPr>
                                          <w:keepNext/>
                                          <w:keepLines/>
                                          <w:spacing w:before="40" w:after="40"/>
                                          <w:ind w:left="-111"/>
                                          <w:rPr>
                                            <w:b/>
                                            <w:sz w:val="21"/>
                                            <w:szCs w:val="21"/>
                                          </w:rPr>
                                        </w:pPr>
                                        <w:r>
                                          <w:rPr>
                                            <w:b/>
                                            <w:sz w:val="21"/>
                                            <w:szCs w:val="21"/>
                                          </w:rPr>
                                          <w:t>Table 1</w:t>
                                        </w:r>
                                      </w:p>
                                      <w:p w14:paraId="3CF8FADC" w14:textId="415047D0" w:rsidR="00FD31D3" w:rsidRPr="005D39DD" w:rsidRDefault="00213D42" w:rsidP="00213D42">
                                        <w:pPr>
                                          <w:keepNext/>
                                          <w:keepLines/>
                                          <w:spacing w:before="40" w:after="40"/>
                                          <w:ind w:left="-111"/>
                                          <w:rPr>
                                            <w:b/>
                                            <w:sz w:val="21"/>
                                            <w:szCs w:val="21"/>
                                          </w:rPr>
                                        </w:pPr>
                                        <w:r>
                                          <w:rPr>
                                            <w:b/>
                                            <w:sz w:val="21"/>
                                            <w:szCs w:val="21"/>
                                          </w:rPr>
                                          <w:t>($ million)</w:t>
                                        </w:r>
                                      </w:p>
                                    </w:tc>
                                    <w:tc>
                                      <w:tcPr>
                                        <w:tcW w:w="942" w:type="dxa"/>
                                        <w:tcBorders>
                                          <w:top w:val="single" w:sz="4" w:space="0" w:color="auto"/>
                                          <w:bottom w:val="single" w:sz="4" w:space="0" w:color="auto"/>
                                        </w:tcBorders>
                                        <w:vAlign w:val="bottom"/>
                                      </w:tcPr>
                                      <w:p w14:paraId="36BC9560" w14:textId="090E3B6B" w:rsidR="00FD31D3" w:rsidRPr="005D39DD" w:rsidRDefault="00C359BD" w:rsidP="00213D42">
                                        <w:pPr>
                                          <w:keepNext/>
                                          <w:keepLines/>
                                          <w:spacing w:before="40" w:after="40"/>
                                          <w:jc w:val="right"/>
                                          <w:rPr>
                                            <w:b/>
                                            <w:sz w:val="21"/>
                                            <w:szCs w:val="21"/>
                                          </w:rPr>
                                        </w:pPr>
                                        <w:r>
                                          <w:rPr>
                                            <w:b/>
                                            <w:sz w:val="21"/>
                                            <w:szCs w:val="21"/>
                                          </w:rPr>
                                          <w:t>2020-21</w:t>
                                        </w:r>
                                      </w:p>
                                    </w:tc>
                                    <w:tc>
                                      <w:tcPr>
                                        <w:tcW w:w="943" w:type="dxa"/>
                                        <w:tcBorders>
                                          <w:top w:val="single" w:sz="4" w:space="0" w:color="auto"/>
                                          <w:bottom w:val="single" w:sz="4" w:space="0" w:color="auto"/>
                                        </w:tcBorders>
                                        <w:vAlign w:val="bottom"/>
                                      </w:tcPr>
                                      <w:p w14:paraId="7BBB5A57" w14:textId="77777777" w:rsidR="00FD31D3" w:rsidRPr="005D39DD" w:rsidRDefault="00FD31D3" w:rsidP="00D60101">
                                        <w:pPr>
                                          <w:keepNext/>
                                          <w:keepLines/>
                                          <w:spacing w:before="40" w:after="40"/>
                                          <w:jc w:val="right"/>
                                          <w:rPr>
                                            <w:b/>
                                            <w:sz w:val="21"/>
                                            <w:szCs w:val="21"/>
                                          </w:rPr>
                                        </w:pPr>
                                        <w:r w:rsidRPr="005D39DD">
                                          <w:rPr>
                                            <w:b/>
                                            <w:sz w:val="21"/>
                                            <w:szCs w:val="21"/>
                                          </w:rPr>
                                          <w:t>Total</w:t>
                                        </w:r>
                                      </w:p>
                                    </w:tc>
                                  </w:tr>
                                  <w:tr w:rsidR="00FD31D3" w:rsidRPr="00101AB3" w14:paraId="7558A8D5" w14:textId="77777777" w:rsidTr="00C359BD">
                                    <w:trPr>
                                      <w:cantSplit/>
                                    </w:trPr>
                                    <w:tc>
                                      <w:tcPr>
                                        <w:tcW w:w="5386" w:type="dxa"/>
                                        <w:tcBorders>
                                          <w:top w:val="single" w:sz="4" w:space="0" w:color="auto"/>
                                        </w:tcBorders>
                                      </w:tcPr>
                                      <w:p w14:paraId="6C499F8D" w14:textId="77777777" w:rsidR="00FD31D3" w:rsidRPr="005D39DD" w:rsidRDefault="00FD31D3" w:rsidP="007E44E6">
                                        <w:pPr>
                                          <w:keepNext/>
                                          <w:keepLines/>
                                          <w:spacing w:before="60" w:after="60"/>
                                          <w:ind w:left="-111"/>
                                          <w:rPr>
                                            <w:b/>
                                            <w:sz w:val="21"/>
                                            <w:szCs w:val="21"/>
                                          </w:rPr>
                                        </w:pPr>
                                        <w:r w:rsidRPr="005D39DD">
                                          <w:rPr>
                                            <w:b/>
                                            <w:sz w:val="21"/>
                                            <w:szCs w:val="21"/>
                                          </w:rPr>
                                          <w:t>Estimated total budget</w:t>
                                        </w:r>
                                      </w:p>
                                    </w:tc>
                                    <w:tc>
                                      <w:tcPr>
                                        <w:tcW w:w="942" w:type="dxa"/>
                                        <w:tcBorders>
                                          <w:top w:val="single" w:sz="4" w:space="0" w:color="auto"/>
                                        </w:tcBorders>
                                      </w:tcPr>
                                      <w:p w14:paraId="5F7ACEEB" w14:textId="60013D1C" w:rsidR="00FD31D3" w:rsidRPr="00CD7362" w:rsidRDefault="00C359BD" w:rsidP="00B44A1B">
                                        <w:pPr>
                                          <w:keepNext/>
                                          <w:keepLines/>
                                          <w:spacing w:before="40" w:after="40"/>
                                          <w:jc w:val="right"/>
                                          <w:rPr>
                                            <w:b/>
                                            <w:sz w:val="21"/>
                                            <w:szCs w:val="21"/>
                                          </w:rPr>
                                        </w:pPr>
                                        <w:r>
                                          <w:rPr>
                                            <w:b/>
                                            <w:sz w:val="21"/>
                                            <w:szCs w:val="21"/>
                                          </w:rPr>
                                          <w:t>13.032</w:t>
                                        </w:r>
                                      </w:p>
                                    </w:tc>
                                    <w:tc>
                                      <w:tcPr>
                                        <w:tcW w:w="943" w:type="dxa"/>
                                        <w:tcBorders>
                                          <w:top w:val="single" w:sz="4" w:space="0" w:color="auto"/>
                                        </w:tcBorders>
                                      </w:tcPr>
                                      <w:p w14:paraId="05610064" w14:textId="2BAD4EF4" w:rsidR="00FD31D3" w:rsidRPr="00CD7362" w:rsidRDefault="008305F3" w:rsidP="007E44E6">
                                        <w:pPr>
                                          <w:keepNext/>
                                          <w:keepLines/>
                                          <w:spacing w:before="40" w:after="40"/>
                                          <w:jc w:val="right"/>
                                          <w:rPr>
                                            <w:b/>
                                            <w:sz w:val="21"/>
                                            <w:szCs w:val="21"/>
                                          </w:rPr>
                                        </w:pPr>
                                        <w:r>
                                          <w:rPr>
                                            <w:b/>
                                            <w:sz w:val="21"/>
                                            <w:szCs w:val="21"/>
                                          </w:rPr>
                                          <w:t>13.032</w:t>
                                        </w:r>
                                      </w:p>
                                    </w:tc>
                                  </w:tr>
                                  <w:tr w:rsidR="00C359BD" w:rsidRPr="00101AB3" w14:paraId="44418A42" w14:textId="77777777" w:rsidTr="00C359BD">
                                    <w:trPr>
                                      <w:cantSplit/>
                                    </w:trPr>
                                    <w:tc>
                                      <w:tcPr>
                                        <w:tcW w:w="5386" w:type="dxa"/>
                                      </w:tcPr>
                                      <w:p w14:paraId="4E7543D7" w14:textId="3A567A0D" w:rsidR="00C359BD" w:rsidRPr="004E2EB6" w:rsidRDefault="00C359BD" w:rsidP="00C359BD">
                                        <w:pPr>
                                          <w:keepNext/>
                                          <w:keepLines/>
                                          <w:spacing w:before="60" w:after="60"/>
                                          <w:ind w:left="-111"/>
                                          <w:rPr>
                                            <w:bCs/>
                                            <w:sz w:val="21"/>
                                            <w:szCs w:val="21"/>
                                          </w:rPr>
                                        </w:pPr>
                                        <w:r w:rsidRPr="004E2EB6">
                                          <w:rPr>
                                            <w:bCs/>
                                            <w:sz w:val="21"/>
                                            <w:szCs w:val="21"/>
                                          </w:rPr>
                                          <w:t>Less estimated National Partnership Payments</w:t>
                                        </w:r>
                                      </w:p>
                                    </w:tc>
                                    <w:tc>
                                      <w:tcPr>
                                        <w:tcW w:w="942" w:type="dxa"/>
                                      </w:tcPr>
                                      <w:p w14:paraId="03B86ABF" w14:textId="7CB4B893" w:rsidR="00C359BD" w:rsidRPr="004E2EB6" w:rsidRDefault="00C359BD" w:rsidP="00C359BD">
                                        <w:pPr>
                                          <w:keepNext/>
                                          <w:keepLines/>
                                          <w:spacing w:before="40" w:after="40"/>
                                          <w:jc w:val="right"/>
                                          <w:rPr>
                                            <w:bCs/>
                                            <w:sz w:val="21"/>
                                            <w:szCs w:val="21"/>
                                          </w:rPr>
                                        </w:pPr>
                                        <w:r w:rsidRPr="004E2EB6">
                                          <w:rPr>
                                            <w:bCs/>
                                            <w:sz w:val="21"/>
                                            <w:szCs w:val="21"/>
                                          </w:rPr>
                                          <w:t>13.032</w:t>
                                        </w:r>
                                      </w:p>
                                    </w:tc>
                                    <w:tc>
                                      <w:tcPr>
                                        <w:tcW w:w="943" w:type="dxa"/>
                                      </w:tcPr>
                                      <w:p w14:paraId="54E3DA7B" w14:textId="3C19E959" w:rsidR="00C359BD" w:rsidRPr="004E2EB6" w:rsidRDefault="00C359BD" w:rsidP="00C359BD">
                                        <w:pPr>
                                          <w:keepNext/>
                                          <w:keepLines/>
                                          <w:spacing w:before="40" w:after="40"/>
                                          <w:jc w:val="right"/>
                                          <w:rPr>
                                            <w:bCs/>
                                            <w:sz w:val="21"/>
                                            <w:szCs w:val="21"/>
                                          </w:rPr>
                                        </w:pPr>
                                        <w:r w:rsidRPr="004E2EB6">
                                          <w:rPr>
                                            <w:bCs/>
                                            <w:sz w:val="21"/>
                                            <w:szCs w:val="21"/>
                                          </w:rPr>
                                          <w:t>13.032</w:t>
                                        </w:r>
                                      </w:p>
                                    </w:tc>
                                  </w:tr>
                                  <w:tr w:rsidR="00C359BD" w:rsidRPr="00101AB3" w14:paraId="44EA8C00" w14:textId="77777777" w:rsidTr="00C359BD">
                                    <w:trPr>
                                      <w:cantSplit/>
                                    </w:trPr>
                                    <w:tc>
                                      <w:tcPr>
                                        <w:tcW w:w="5386" w:type="dxa"/>
                                      </w:tcPr>
                                      <w:p w14:paraId="6F259F25" w14:textId="63A92D91" w:rsidR="00C359BD" w:rsidRPr="004E2EB6" w:rsidRDefault="00C359BD" w:rsidP="007E44E6">
                                        <w:pPr>
                                          <w:keepNext/>
                                          <w:keepLines/>
                                          <w:spacing w:before="60" w:after="60"/>
                                          <w:ind w:left="-111"/>
                                          <w:rPr>
                                            <w:bCs/>
                                            <w:sz w:val="21"/>
                                            <w:szCs w:val="21"/>
                                          </w:rPr>
                                        </w:pPr>
                                        <w:r w:rsidRPr="004E2EB6">
                                          <w:rPr>
                                            <w:bCs/>
                                            <w:sz w:val="21"/>
                                            <w:szCs w:val="21"/>
                                          </w:rPr>
                                          <w:t>Balance of non-Commonwealth contributions</w:t>
                                        </w:r>
                                      </w:p>
                                    </w:tc>
                                    <w:tc>
                                      <w:tcPr>
                                        <w:tcW w:w="942" w:type="dxa"/>
                                      </w:tcPr>
                                      <w:p w14:paraId="11574608" w14:textId="73AB7BAD" w:rsidR="00C359BD" w:rsidRPr="004E2EB6" w:rsidRDefault="00C359BD" w:rsidP="00B44A1B">
                                        <w:pPr>
                                          <w:keepNext/>
                                          <w:keepLines/>
                                          <w:spacing w:before="40" w:after="40"/>
                                          <w:jc w:val="right"/>
                                          <w:rPr>
                                            <w:bCs/>
                                            <w:sz w:val="21"/>
                                            <w:szCs w:val="21"/>
                                          </w:rPr>
                                        </w:pPr>
                                        <w:r w:rsidRPr="004E2EB6">
                                          <w:rPr>
                                            <w:bCs/>
                                            <w:sz w:val="21"/>
                                            <w:szCs w:val="21"/>
                                          </w:rPr>
                                          <w:t>0.</w:t>
                                        </w:r>
                                        <w:r w:rsidR="00213D42" w:rsidRPr="004E2EB6">
                                          <w:rPr>
                                            <w:bCs/>
                                            <w:sz w:val="21"/>
                                            <w:szCs w:val="21"/>
                                          </w:rPr>
                                          <w:t>00</w:t>
                                        </w:r>
                                        <w:r w:rsidRPr="004E2EB6">
                                          <w:rPr>
                                            <w:bCs/>
                                            <w:sz w:val="21"/>
                                            <w:szCs w:val="21"/>
                                          </w:rPr>
                                          <w:t>0</w:t>
                                        </w:r>
                                      </w:p>
                                    </w:tc>
                                    <w:tc>
                                      <w:tcPr>
                                        <w:tcW w:w="943" w:type="dxa"/>
                                      </w:tcPr>
                                      <w:p w14:paraId="5C26507C" w14:textId="6C8EF607" w:rsidR="00C359BD" w:rsidRPr="004E2EB6" w:rsidRDefault="00C359BD" w:rsidP="007E44E6">
                                        <w:pPr>
                                          <w:keepNext/>
                                          <w:keepLines/>
                                          <w:spacing w:before="40" w:after="40"/>
                                          <w:jc w:val="right"/>
                                          <w:rPr>
                                            <w:bCs/>
                                            <w:sz w:val="21"/>
                                            <w:szCs w:val="21"/>
                                          </w:rPr>
                                        </w:pPr>
                                        <w:r w:rsidRPr="004E2EB6">
                                          <w:rPr>
                                            <w:bCs/>
                                            <w:sz w:val="21"/>
                                            <w:szCs w:val="21"/>
                                          </w:rPr>
                                          <w:t>0.</w:t>
                                        </w:r>
                                        <w:r w:rsidR="00213D42" w:rsidRPr="004E2EB6">
                                          <w:rPr>
                                            <w:bCs/>
                                            <w:sz w:val="21"/>
                                            <w:szCs w:val="21"/>
                                          </w:rPr>
                                          <w:t>00</w:t>
                                        </w:r>
                                        <w:r w:rsidRPr="004E2EB6">
                                          <w:rPr>
                                            <w:bCs/>
                                            <w:sz w:val="21"/>
                                            <w:szCs w:val="21"/>
                                          </w:rPr>
                                          <w:t>0</w:t>
                                        </w:r>
                                      </w:p>
                                    </w:tc>
                                  </w:tr>
                                </w:tbl>
                                <w:p w14:paraId="05AB94BB" w14:textId="77777777" w:rsidR="00C91B5F" w:rsidRPr="00101AB3" w:rsidRDefault="00C91B5F" w:rsidP="00C359B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C069E" id="_x0000_t202" coordsize="21600,21600" o:spt="202" path="m,l,21600r21600,l21600,xe">
                      <v:stroke joinstyle="miter"/>
                      <v:path gradientshapeok="t" o:connecttype="rect"/>
                    </v:shapetype>
                    <v:shape id="Text Box 2" o:spid="_x0000_s1026" type="#_x0000_t202" style="position:absolute;margin-left:-4.9pt;margin-top:47.55pt;width:404.2pt;height:9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" stroked="f">
                      <v:textbox>
                        <w:txbxContent>
                          <w:tbl>
                            <w:tblPr>
                              <w:tblW w:w="0" w:type="auto"/>
                              <w:tblLook w:val="01E0" w:firstRow="1" w:lastRow="1" w:firstColumn="1" w:lastColumn="1" w:noHBand="0" w:noVBand="0"/>
                            </w:tblPr>
                            <w:tblGrid>
                              <w:gridCol w:w="5386"/>
                              <w:gridCol w:w="942"/>
                              <w:gridCol w:w="943"/>
                            </w:tblGrid>
                            <w:tr w:rsidR="00FD31D3" w:rsidRPr="00101AB3" w14:paraId="5D85ACF8" w14:textId="77777777" w:rsidTr="004E2EB6">
                              <w:trPr>
                                <w:cantSplit/>
                              </w:trPr>
                              <w:tc>
                                <w:tcPr>
                                  <w:tcW w:w="5386" w:type="dxa"/>
                                  <w:tcBorders>
                                    <w:top w:val="single" w:sz="4" w:space="0" w:color="auto"/>
                                    <w:bottom w:val="single" w:sz="4" w:space="0" w:color="auto"/>
                                  </w:tcBorders>
                                </w:tcPr>
                                <w:p w14:paraId="0A042F53" w14:textId="77777777" w:rsidR="00213D42" w:rsidRDefault="00213D42" w:rsidP="00213D42">
                                  <w:pPr>
                                    <w:keepNext/>
                                    <w:keepLines/>
                                    <w:spacing w:before="40" w:after="40"/>
                                    <w:ind w:left="-111"/>
                                    <w:rPr>
                                      <w:b/>
                                      <w:sz w:val="21"/>
                                      <w:szCs w:val="21"/>
                                    </w:rPr>
                                  </w:pPr>
                                  <w:r>
                                    <w:rPr>
                                      <w:b/>
                                      <w:sz w:val="21"/>
                                      <w:szCs w:val="21"/>
                                    </w:rPr>
                                    <w:t>Table 1</w:t>
                                  </w:r>
                                </w:p>
                                <w:p w14:paraId="3CF8FADC" w14:textId="415047D0" w:rsidR="00FD31D3" w:rsidRPr="005D39DD" w:rsidRDefault="00213D42" w:rsidP="00213D42">
                                  <w:pPr>
                                    <w:keepNext/>
                                    <w:keepLines/>
                                    <w:spacing w:before="40" w:after="40"/>
                                    <w:ind w:left="-111"/>
                                    <w:rPr>
                                      <w:b/>
                                      <w:sz w:val="21"/>
                                      <w:szCs w:val="21"/>
                                    </w:rPr>
                                  </w:pPr>
                                  <w:r>
                                    <w:rPr>
                                      <w:b/>
                                      <w:sz w:val="21"/>
                                      <w:szCs w:val="21"/>
                                    </w:rPr>
                                    <w:t>($ million)</w:t>
                                  </w:r>
                                </w:p>
                              </w:tc>
                              <w:tc>
                                <w:tcPr>
                                  <w:tcW w:w="942" w:type="dxa"/>
                                  <w:tcBorders>
                                    <w:top w:val="single" w:sz="4" w:space="0" w:color="auto"/>
                                    <w:bottom w:val="single" w:sz="4" w:space="0" w:color="auto"/>
                                  </w:tcBorders>
                                  <w:vAlign w:val="bottom"/>
                                </w:tcPr>
                                <w:p w14:paraId="36BC9560" w14:textId="090E3B6B" w:rsidR="00FD31D3" w:rsidRPr="005D39DD" w:rsidRDefault="00C359BD" w:rsidP="00213D42">
                                  <w:pPr>
                                    <w:keepNext/>
                                    <w:keepLines/>
                                    <w:spacing w:before="40" w:after="40"/>
                                    <w:jc w:val="right"/>
                                    <w:rPr>
                                      <w:b/>
                                      <w:sz w:val="21"/>
                                      <w:szCs w:val="21"/>
                                    </w:rPr>
                                  </w:pPr>
                                  <w:r>
                                    <w:rPr>
                                      <w:b/>
                                      <w:sz w:val="21"/>
                                      <w:szCs w:val="21"/>
                                    </w:rPr>
                                    <w:t>2020-21</w:t>
                                  </w:r>
                                </w:p>
                              </w:tc>
                              <w:tc>
                                <w:tcPr>
                                  <w:tcW w:w="943" w:type="dxa"/>
                                  <w:tcBorders>
                                    <w:top w:val="single" w:sz="4" w:space="0" w:color="auto"/>
                                    <w:bottom w:val="single" w:sz="4" w:space="0" w:color="auto"/>
                                  </w:tcBorders>
                                  <w:vAlign w:val="bottom"/>
                                </w:tcPr>
                                <w:p w14:paraId="7BBB5A57" w14:textId="77777777" w:rsidR="00FD31D3" w:rsidRPr="005D39DD" w:rsidRDefault="00FD31D3" w:rsidP="00D60101">
                                  <w:pPr>
                                    <w:keepNext/>
                                    <w:keepLines/>
                                    <w:spacing w:before="40" w:after="40"/>
                                    <w:jc w:val="right"/>
                                    <w:rPr>
                                      <w:b/>
                                      <w:sz w:val="21"/>
                                      <w:szCs w:val="21"/>
                                    </w:rPr>
                                  </w:pPr>
                                  <w:r w:rsidRPr="005D39DD">
                                    <w:rPr>
                                      <w:b/>
                                      <w:sz w:val="21"/>
                                      <w:szCs w:val="21"/>
                                    </w:rPr>
                                    <w:t>Total</w:t>
                                  </w:r>
                                </w:p>
                              </w:tc>
                            </w:tr>
                            <w:tr w:rsidR="00FD31D3" w:rsidRPr="00101AB3" w14:paraId="7558A8D5" w14:textId="77777777" w:rsidTr="00C359BD">
                              <w:trPr>
                                <w:cantSplit/>
                              </w:trPr>
                              <w:tc>
                                <w:tcPr>
                                  <w:tcW w:w="5386" w:type="dxa"/>
                                  <w:tcBorders>
                                    <w:top w:val="single" w:sz="4" w:space="0" w:color="auto"/>
                                  </w:tcBorders>
                                </w:tcPr>
                                <w:p w14:paraId="6C499F8D" w14:textId="77777777" w:rsidR="00FD31D3" w:rsidRPr="005D39DD" w:rsidRDefault="00FD31D3" w:rsidP="007E44E6">
                                  <w:pPr>
                                    <w:keepNext/>
                                    <w:keepLines/>
                                    <w:spacing w:before="60" w:after="60"/>
                                    <w:ind w:left="-111"/>
                                    <w:rPr>
                                      <w:b/>
                                      <w:sz w:val="21"/>
                                      <w:szCs w:val="21"/>
                                    </w:rPr>
                                  </w:pPr>
                                  <w:r w:rsidRPr="005D39DD">
                                    <w:rPr>
                                      <w:b/>
                                      <w:sz w:val="21"/>
                                      <w:szCs w:val="21"/>
                                    </w:rPr>
                                    <w:t>Estimated total budget</w:t>
                                  </w:r>
                                </w:p>
                              </w:tc>
                              <w:tc>
                                <w:tcPr>
                                  <w:tcW w:w="942" w:type="dxa"/>
                                  <w:tcBorders>
                                    <w:top w:val="single" w:sz="4" w:space="0" w:color="auto"/>
                                  </w:tcBorders>
                                </w:tcPr>
                                <w:p w14:paraId="5F7ACEEB" w14:textId="60013D1C" w:rsidR="00FD31D3" w:rsidRPr="00CD7362" w:rsidRDefault="00C359BD" w:rsidP="00B44A1B">
                                  <w:pPr>
                                    <w:keepNext/>
                                    <w:keepLines/>
                                    <w:spacing w:before="40" w:after="40"/>
                                    <w:jc w:val="right"/>
                                    <w:rPr>
                                      <w:b/>
                                      <w:sz w:val="21"/>
                                      <w:szCs w:val="21"/>
                                    </w:rPr>
                                  </w:pPr>
                                  <w:r>
                                    <w:rPr>
                                      <w:b/>
                                      <w:sz w:val="21"/>
                                      <w:szCs w:val="21"/>
                                    </w:rPr>
                                    <w:t>13.032</w:t>
                                  </w:r>
                                </w:p>
                              </w:tc>
                              <w:tc>
                                <w:tcPr>
                                  <w:tcW w:w="943" w:type="dxa"/>
                                  <w:tcBorders>
                                    <w:top w:val="single" w:sz="4" w:space="0" w:color="auto"/>
                                  </w:tcBorders>
                                </w:tcPr>
                                <w:p w14:paraId="05610064" w14:textId="2BAD4EF4" w:rsidR="00FD31D3" w:rsidRPr="00CD7362" w:rsidRDefault="008305F3" w:rsidP="007E44E6">
                                  <w:pPr>
                                    <w:keepNext/>
                                    <w:keepLines/>
                                    <w:spacing w:before="40" w:after="40"/>
                                    <w:jc w:val="right"/>
                                    <w:rPr>
                                      <w:b/>
                                      <w:sz w:val="21"/>
                                      <w:szCs w:val="21"/>
                                    </w:rPr>
                                  </w:pPr>
                                  <w:r>
                                    <w:rPr>
                                      <w:b/>
                                      <w:sz w:val="21"/>
                                      <w:szCs w:val="21"/>
                                    </w:rPr>
                                    <w:t>13.032</w:t>
                                  </w:r>
                                </w:p>
                              </w:tc>
                            </w:tr>
                            <w:tr w:rsidR="00C359BD" w:rsidRPr="00101AB3" w14:paraId="44418A42" w14:textId="77777777" w:rsidTr="00C359BD">
                              <w:trPr>
                                <w:cantSplit/>
                              </w:trPr>
                              <w:tc>
                                <w:tcPr>
                                  <w:tcW w:w="5386" w:type="dxa"/>
                                </w:tcPr>
                                <w:p w14:paraId="4E7543D7" w14:textId="3A567A0D" w:rsidR="00C359BD" w:rsidRPr="004E2EB6" w:rsidRDefault="00C359BD" w:rsidP="00C359BD">
                                  <w:pPr>
                                    <w:keepNext/>
                                    <w:keepLines/>
                                    <w:spacing w:before="60" w:after="60"/>
                                    <w:ind w:left="-111"/>
                                    <w:rPr>
                                      <w:bCs/>
                                      <w:sz w:val="21"/>
                                      <w:szCs w:val="21"/>
                                    </w:rPr>
                                  </w:pPr>
                                  <w:r w:rsidRPr="004E2EB6">
                                    <w:rPr>
                                      <w:bCs/>
                                      <w:sz w:val="21"/>
                                      <w:szCs w:val="21"/>
                                    </w:rPr>
                                    <w:t>Less estimated National Partnership Payments</w:t>
                                  </w:r>
                                </w:p>
                              </w:tc>
                              <w:tc>
                                <w:tcPr>
                                  <w:tcW w:w="942" w:type="dxa"/>
                                </w:tcPr>
                                <w:p w14:paraId="03B86ABF" w14:textId="7CB4B893" w:rsidR="00C359BD" w:rsidRPr="004E2EB6" w:rsidRDefault="00C359BD" w:rsidP="00C359BD">
                                  <w:pPr>
                                    <w:keepNext/>
                                    <w:keepLines/>
                                    <w:spacing w:before="40" w:after="40"/>
                                    <w:jc w:val="right"/>
                                    <w:rPr>
                                      <w:bCs/>
                                      <w:sz w:val="21"/>
                                      <w:szCs w:val="21"/>
                                    </w:rPr>
                                  </w:pPr>
                                  <w:r w:rsidRPr="004E2EB6">
                                    <w:rPr>
                                      <w:bCs/>
                                      <w:sz w:val="21"/>
                                      <w:szCs w:val="21"/>
                                    </w:rPr>
                                    <w:t>13.032</w:t>
                                  </w:r>
                                </w:p>
                              </w:tc>
                              <w:tc>
                                <w:tcPr>
                                  <w:tcW w:w="943" w:type="dxa"/>
                                </w:tcPr>
                                <w:p w14:paraId="54E3DA7B" w14:textId="3C19E959" w:rsidR="00C359BD" w:rsidRPr="004E2EB6" w:rsidRDefault="00C359BD" w:rsidP="00C359BD">
                                  <w:pPr>
                                    <w:keepNext/>
                                    <w:keepLines/>
                                    <w:spacing w:before="40" w:after="40"/>
                                    <w:jc w:val="right"/>
                                    <w:rPr>
                                      <w:bCs/>
                                      <w:sz w:val="21"/>
                                      <w:szCs w:val="21"/>
                                    </w:rPr>
                                  </w:pPr>
                                  <w:r w:rsidRPr="004E2EB6">
                                    <w:rPr>
                                      <w:bCs/>
                                      <w:sz w:val="21"/>
                                      <w:szCs w:val="21"/>
                                    </w:rPr>
                                    <w:t>13.032</w:t>
                                  </w:r>
                                </w:p>
                              </w:tc>
                            </w:tr>
                            <w:tr w:rsidR="00C359BD" w:rsidRPr="00101AB3" w14:paraId="44EA8C00" w14:textId="77777777" w:rsidTr="00C359BD">
                              <w:trPr>
                                <w:cantSplit/>
                              </w:trPr>
                              <w:tc>
                                <w:tcPr>
                                  <w:tcW w:w="5386" w:type="dxa"/>
                                </w:tcPr>
                                <w:p w14:paraId="6F259F25" w14:textId="63A92D91" w:rsidR="00C359BD" w:rsidRPr="004E2EB6" w:rsidRDefault="00C359BD" w:rsidP="007E44E6">
                                  <w:pPr>
                                    <w:keepNext/>
                                    <w:keepLines/>
                                    <w:spacing w:before="60" w:after="60"/>
                                    <w:ind w:left="-111"/>
                                    <w:rPr>
                                      <w:bCs/>
                                      <w:sz w:val="21"/>
                                      <w:szCs w:val="21"/>
                                    </w:rPr>
                                  </w:pPr>
                                  <w:r w:rsidRPr="004E2EB6">
                                    <w:rPr>
                                      <w:bCs/>
                                      <w:sz w:val="21"/>
                                      <w:szCs w:val="21"/>
                                    </w:rPr>
                                    <w:t>Balance of non-Commonwealth contributions</w:t>
                                  </w:r>
                                </w:p>
                              </w:tc>
                              <w:tc>
                                <w:tcPr>
                                  <w:tcW w:w="942" w:type="dxa"/>
                                </w:tcPr>
                                <w:p w14:paraId="11574608" w14:textId="73AB7BAD" w:rsidR="00C359BD" w:rsidRPr="004E2EB6" w:rsidRDefault="00C359BD" w:rsidP="00B44A1B">
                                  <w:pPr>
                                    <w:keepNext/>
                                    <w:keepLines/>
                                    <w:spacing w:before="40" w:after="40"/>
                                    <w:jc w:val="right"/>
                                    <w:rPr>
                                      <w:bCs/>
                                      <w:sz w:val="21"/>
                                      <w:szCs w:val="21"/>
                                    </w:rPr>
                                  </w:pPr>
                                  <w:r w:rsidRPr="004E2EB6">
                                    <w:rPr>
                                      <w:bCs/>
                                      <w:sz w:val="21"/>
                                      <w:szCs w:val="21"/>
                                    </w:rPr>
                                    <w:t>0.</w:t>
                                  </w:r>
                                  <w:r w:rsidR="00213D42" w:rsidRPr="004E2EB6">
                                    <w:rPr>
                                      <w:bCs/>
                                      <w:sz w:val="21"/>
                                      <w:szCs w:val="21"/>
                                    </w:rPr>
                                    <w:t>00</w:t>
                                  </w:r>
                                  <w:r w:rsidRPr="004E2EB6">
                                    <w:rPr>
                                      <w:bCs/>
                                      <w:sz w:val="21"/>
                                      <w:szCs w:val="21"/>
                                    </w:rPr>
                                    <w:t>0</w:t>
                                  </w:r>
                                </w:p>
                              </w:tc>
                              <w:tc>
                                <w:tcPr>
                                  <w:tcW w:w="943" w:type="dxa"/>
                                </w:tcPr>
                                <w:p w14:paraId="5C26507C" w14:textId="6C8EF607" w:rsidR="00C359BD" w:rsidRPr="004E2EB6" w:rsidRDefault="00C359BD" w:rsidP="007E44E6">
                                  <w:pPr>
                                    <w:keepNext/>
                                    <w:keepLines/>
                                    <w:spacing w:before="40" w:after="40"/>
                                    <w:jc w:val="right"/>
                                    <w:rPr>
                                      <w:bCs/>
                                      <w:sz w:val="21"/>
                                      <w:szCs w:val="21"/>
                                    </w:rPr>
                                  </w:pPr>
                                  <w:r w:rsidRPr="004E2EB6">
                                    <w:rPr>
                                      <w:bCs/>
                                      <w:sz w:val="21"/>
                                      <w:szCs w:val="21"/>
                                    </w:rPr>
                                    <w:t>0.</w:t>
                                  </w:r>
                                  <w:r w:rsidR="00213D42" w:rsidRPr="004E2EB6">
                                    <w:rPr>
                                      <w:bCs/>
                                      <w:sz w:val="21"/>
                                      <w:szCs w:val="21"/>
                                    </w:rPr>
                                    <w:t>00</w:t>
                                  </w:r>
                                  <w:r w:rsidRPr="004E2EB6">
                                    <w:rPr>
                                      <w:bCs/>
                                      <w:sz w:val="21"/>
                                      <w:szCs w:val="21"/>
                                    </w:rPr>
                                    <w:t>0</w:t>
                                  </w:r>
                                </w:p>
                              </w:tc>
                            </w:tr>
                          </w:tbl>
                          <w:p w14:paraId="05AB94BB" w14:textId="77777777" w:rsidR="00C91B5F" w:rsidRPr="00101AB3" w:rsidRDefault="00C91B5F" w:rsidP="00C359BD">
                            <w:pPr>
                              <w:rPr>
                                <w:sz w:val="18"/>
                                <w:szCs w:val="18"/>
                              </w:rPr>
                            </w:pPr>
                          </w:p>
                        </w:txbxContent>
                      </v:textbox>
                      <w10:wrap type="square"/>
                    </v:shape>
                  </w:pict>
                </mc:Fallback>
              </mc:AlternateContent>
            </w:r>
            <w:r w:rsidR="00C91B5F" w:rsidRPr="002B43AD">
              <w:rPr>
                <w:color w:val="auto"/>
              </w:rPr>
              <w:t>The Commonwealth will provide an estimated total financial</w:t>
            </w:r>
            <w:r w:rsidR="00015133" w:rsidRPr="002B43AD">
              <w:rPr>
                <w:color w:val="auto"/>
              </w:rPr>
              <w:t xml:space="preserve"> con</w:t>
            </w:r>
            <w:r w:rsidRPr="002B43AD">
              <w:rPr>
                <w:color w:val="auto"/>
              </w:rPr>
              <w:t xml:space="preserve">tribution to </w:t>
            </w:r>
            <w:r>
              <w:rPr>
                <w:color w:val="auto"/>
              </w:rPr>
              <w:t>Victoria</w:t>
            </w:r>
            <w:r w:rsidRPr="002B43AD">
              <w:rPr>
                <w:color w:val="auto"/>
              </w:rPr>
              <w:t xml:space="preserve"> of </w:t>
            </w:r>
            <w:r w:rsidRPr="00D25564">
              <w:rPr>
                <w:color w:val="auto"/>
              </w:rPr>
              <w:t>$13</w:t>
            </w:r>
            <w:r w:rsidR="00213D42">
              <w:rPr>
                <w:color w:val="auto"/>
              </w:rPr>
              <w:t>.</w:t>
            </w:r>
            <w:r w:rsidRPr="00D25564">
              <w:rPr>
                <w:color w:val="auto"/>
              </w:rPr>
              <w:t>032</w:t>
            </w:r>
            <w:r w:rsidR="00213D42">
              <w:rPr>
                <w:color w:val="auto"/>
              </w:rPr>
              <w:t xml:space="preserve"> million</w:t>
            </w:r>
            <w:r w:rsidRPr="002B43AD">
              <w:rPr>
                <w:color w:val="auto"/>
              </w:rPr>
              <w:t xml:space="preserve"> in respect of this Schedule.</w:t>
            </w:r>
          </w:p>
        </w:tc>
      </w:tr>
    </w:tbl>
    <w:p w14:paraId="68D058FB" w14:textId="77777777" w:rsidR="003120C3" w:rsidRDefault="003120C3">
      <w:r>
        <w:rPr>
          <w:iCs/>
        </w:rPr>
        <w:br w:type="page"/>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33"/>
        <w:gridCol w:w="7796"/>
      </w:tblGrid>
      <w:tr w:rsidR="00C91B5F" w:rsidRPr="00F00A18" w14:paraId="43ACB364" w14:textId="77777777" w:rsidTr="00EB55A8">
        <w:trPr>
          <w:trHeight w:val="973"/>
        </w:trPr>
        <w:tc>
          <w:tcPr>
            <w:tcW w:w="1833" w:type="dxa"/>
            <w:shd w:val="clear" w:color="auto" w:fill="auto"/>
          </w:tcPr>
          <w:p w14:paraId="7C243907" w14:textId="01D1CDC9" w:rsidR="00C91B5F" w:rsidRPr="002B43AD" w:rsidRDefault="00C91B5F" w:rsidP="005D3905">
            <w:pPr>
              <w:pStyle w:val="Tableformat"/>
              <w:rPr>
                <w:i/>
                <w:color w:val="auto"/>
              </w:rPr>
            </w:pPr>
            <w:r w:rsidRPr="004E2EB6">
              <w:rPr>
                <w:iCs w:val="0"/>
                <w:color w:val="auto"/>
              </w:rPr>
              <w:lastRenderedPageBreak/>
              <w:t>Additional terms</w:t>
            </w:r>
          </w:p>
        </w:tc>
        <w:tc>
          <w:tcPr>
            <w:tcW w:w="7796" w:type="dxa"/>
            <w:shd w:val="clear" w:color="auto" w:fill="auto"/>
          </w:tcPr>
          <w:p w14:paraId="692ECE49" w14:textId="633A46DF" w:rsidR="001D2686" w:rsidRPr="002B43AD" w:rsidRDefault="005C6B9F" w:rsidP="005C6B9F">
            <w:pPr>
              <w:pStyle w:val="Tableformat"/>
              <w:spacing w:after="200"/>
              <w:rPr>
                <w:i/>
                <w:color w:val="auto"/>
              </w:rPr>
            </w:pPr>
            <w:r w:rsidRPr="004E2EB6">
              <w:rPr>
                <w:color w:val="auto"/>
              </w:rPr>
              <w:t>Health Service activity</w:t>
            </w:r>
            <w:r w:rsidR="005C65E8" w:rsidRPr="004E2EB6">
              <w:rPr>
                <w:color w:val="auto"/>
              </w:rPr>
              <w:t xml:space="preserve"> will not be funded through this Agreement if the same service, or any part of the same service, is funded through any other Commonwealth program</w:t>
            </w:r>
            <w:r w:rsidRPr="004E2EB6">
              <w:rPr>
                <w:color w:val="auto"/>
              </w:rPr>
              <w:t xml:space="preserve"> or agreement</w:t>
            </w:r>
            <w:r w:rsidR="005C65E8" w:rsidRPr="004E2EB6">
              <w:rPr>
                <w:color w:val="auto"/>
              </w:rPr>
              <w:t xml:space="preserve">, including the </w:t>
            </w:r>
            <w:r w:rsidR="005C65E8" w:rsidRPr="004E2EB6">
              <w:rPr>
                <w:i/>
                <w:color w:val="auto"/>
              </w:rPr>
              <w:t>Addendum to the National Health Reform Agreement 2020-25</w:t>
            </w:r>
            <w:r w:rsidR="005C65E8" w:rsidRPr="004E2EB6">
              <w:rPr>
                <w:color w:val="auto"/>
              </w:rPr>
              <w:t xml:space="preserve"> and Hospital Services Payments under the </w:t>
            </w:r>
            <w:r w:rsidR="005C65E8" w:rsidRPr="004E2EB6">
              <w:rPr>
                <w:i/>
                <w:color w:val="auto"/>
              </w:rPr>
              <w:t>National Partnership on COVID-19 Response</w:t>
            </w:r>
            <w:r w:rsidR="005C65E8" w:rsidRPr="004E2EB6">
              <w:rPr>
                <w:color w:val="auto"/>
              </w:rPr>
              <w:t>.</w:t>
            </w:r>
          </w:p>
        </w:tc>
      </w:tr>
    </w:tbl>
    <w:p w14:paraId="45437156" w14:textId="52B6B746" w:rsidR="00C91B5F" w:rsidRPr="00F00A18" w:rsidRDefault="00C91B5F" w:rsidP="00C91B5F">
      <w:pPr>
        <w:sectPr w:rsidR="00C91B5F" w:rsidRPr="00F00A18" w:rsidSect="00FD7C4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chapStyle="9"/>
          <w:cols w:space="708"/>
          <w:titlePg/>
          <w:docGrid w:linePitch="360"/>
        </w:sect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64"/>
        <w:gridCol w:w="7499"/>
        <w:gridCol w:w="2088"/>
        <w:gridCol w:w="1699"/>
      </w:tblGrid>
      <w:tr w:rsidR="00C91B5F" w:rsidRPr="00F00A18" w14:paraId="41DDED88" w14:textId="77777777" w:rsidTr="005D3905">
        <w:tc>
          <w:tcPr>
            <w:tcW w:w="14550" w:type="dxa"/>
            <w:gridSpan w:val="4"/>
            <w:shd w:val="clear" w:color="auto" w:fill="DEEAF6" w:themeFill="accent1" w:themeFillTint="33"/>
          </w:tcPr>
          <w:p w14:paraId="475FD0E6" w14:textId="77777777" w:rsidR="00C91B5F" w:rsidRPr="00F00A18" w:rsidRDefault="00C91B5F" w:rsidP="005D3905">
            <w:pPr>
              <w:pStyle w:val="Tableformat"/>
              <w:rPr>
                <w:b/>
                <w:color w:val="auto"/>
              </w:rPr>
            </w:pPr>
            <w:r w:rsidRPr="00F00A18">
              <w:rPr>
                <w:b/>
                <w:color w:val="auto"/>
              </w:rPr>
              <w:lastRenderedPageBreak/>
              <w:t>Table 2: Performance requirements, reporting and payment summary</w:t>
            </w:r>
          </w:p>
        </w:tc>
      </w:tr>
      <w:tr w:rsidR="00C91B5F" w:rsidRPr="00F00A18" w14:paraId="5FEE8C3E" w14:textId="77777777" w:rsidTr="00410699">
        <w:tc>
          <w:tcPr>
            <w:tcW w:w="3264" w:type="dxa"/>
            <w:shd w:val="clear" w:color="auto" w:fill="F2F2F2" w:themeFill="background1" w:themeFillShade="F2"/>
          </w:tcPr>
          <w:p w14:paraId="79EE5C69" w14:textId="3CBDDEAF" w:rsidR="00C91B5F" w:rsidRPr="00F00A18" w:rsidRDefault="00C91B5F" w:rsidP="00410699">
            <w:pPr>
              <w:pStyle w:val="Tableformat"/>
              <w:rPr>
                <w:b/>
                <w:color w:val="auto"/>
              </w:rPr>
            </w:pPr>
            <w:r w:rsidRPr="00F00A18">
              <w:rPr>
                <w:b/>
                <w:color w:val="auto"/>
              </w:rPr>
              <w:t>Output</w:t>
            </w:r>
            <w:r w:rsidR="00410699">
              <w:rPr>
                <w:b/>
                <w:color w:val="auto"/>
              </w:rPr>
              <w:t>s</w:t>
            </w:r>
          </w:p>
        </w:tc>
        <w:tc>
          <w:tcPr>
            <w:tcW w:w="7499" w:type="dxa"/>
            <w:shd w:val="clear" w:color="auto" w:fill="F2F2F2" w:themeFill="background1" w:themeFillShade="F2"/>
          </w:tcPr>
          <w:p w14:paraId="485C1876" w14:textId="77777777" w:rsidR="00C91B5F" w:rsidRPr="00F00A18" w:rsidRDefault="00C91B5F" w:rsidP="005D3905">
            <w:pPr>
              <w:pStyle w:val="Tableformat"/>
              <w:rPr>
                <w:b/>
                <w:color w:val="auto"/>
              </w:rPr>
            </w:pPr>
            <w:r w:rsidRPr="00F00A18">
              <w:rPr>
                <w:b/>
                <w:color w:val="auto"/>
              </w:rPr>
              <w:t>Performance milestones</w:t>
            </w:r>
          </w:p>
        </w:tc>
        <w:tc>
          <w:tcPr>
            <w:tcW w:w="2088" w:type="dxa"/>
            <w:shd w:val="clear" w:color="auto" w:fill="F2F2F2" w:themeFill="background1" w:themeFillShade="F2"/>
          </w:tcPr>
          <w:p w14:paraId="10234B80" w14:textId="77777777" w:rsidR="00C91B5F" w:rsidRPr="00F00A18" w:rsidRDefault="00C91B5F"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35141ECE" w14:textId="77777777" w:rsidR="00C91B5F" w:rsidRPr="00F00A18" w:rsidRDefault="00C91B5F" w:rsidP="005D3905">
            <w:pPr>
              <w:pStyle w:val="Tableformat"/>
              <w:rPr>
                <w:b/>
                <w:color w:val="auto"/>
              </w:rPr>
            </w:pPr>
            <w:r w:rsidRPr="00F00A18">
              <w:rPr>
                <w:b/>
                <w:color w:val="auto"/>
              </w:rPr>
              <w:t>Payment</w:t>
            </w:r>
          </w:p>
        </w:tc>
      </w:tr>
      <w:tr w:rsidR="00A06E8D" w:rsidRPr="00F00A18" w14:paraId="2B94B69F" w14:textId="77777777" w:rsidTr="00410699">
        <w:tc>
          <w:tcPr>
            <w:tcW w:w="3264" w:type="dxa"/>
            <w:vMerge w:val="restart"/>
            <w:tcBorders>
              <w:top w:val="single" w:sz="8" w:space="0" w:color="4F81BD"/>
              <w:left w:val="single" w:sz="8" w:space="0" w:color="4F81BD"/>
              <w:right w:val="single" w:sz="8" w:space="0" w:color="4F81BD"/>
            </w:tcBorders>
          </w:tcPr>
          <w:p w14:paraId="2C2D15BA" w14:textId="5CF59281" w:rsidR="00A06E8D" w:rsidRPr="00EA23B6" w:rsidRDefault="00A06E8D" w:rsidP="00B44A1B">
            <w:pPr>
              <w:pStyle w:val="Milestonetable"/>
              <w:rPr>
                <w:b/>
                <w:color w:val="auto"/>
              </w:rPr>
            </w:pPr>
            <w:r w:rsidRPr="008305F3">
              <w:rPr>
                <w:b/>
                <w:color w:val="auto"/>
              </w:rPr>
              <w:t>Promoting post-pandemic recovery and healthcare sustainability through systematic reform to reduce surgical length of stay</w:t>
            </w:r>
            <w:r w:rsidRPr="008305F3">
              <w:rPr>
                <w:b/>
                <w:color w:val="auto"/>
              </w:rPr>
              <w:tab/>
            </w:r>
            <w:r w:rsidRPr="008305F3">
              <w:rPr>
                <w:b/>
                <w:color w:val="auto"/>
              </w:rPr>
              <w:tab/>
            </w:r>
          </w:p>
        </w:tc>
        <w:tc>
          <w:tcPr>
            <w:tcW w:w="7499" w:type="dxa"/>
            <w:tcBorders>
              <w:top w:val="single" w:sz="8" w:space="0" w:color="4F81BD"/>
              <w:left w:val="single" w:sz="8" w:space="0" w:color="4F81BD"/>
              <w:bottom w:val="single" w:sz="8" w:space="0" w:color="4F81BD"/>
              <w:right w:val="single" w:sz="8" w:space="0" w:color="4F81BD"/>
            </w:tcBorders>
            <w:shd w:val="clear" w:color="auto" w:fill="auto"/>
          </w:tcPr>
          <w:p w14:paraId="35DFAC18" w14:textId="00800F11" w:rsidR="00A06E8D" w:rsidRPr="00EA23B6" w:rsidRDefault="00A06E8D" w:rsidP="00B3798C">
            <w:pPr>
              <w:pStyle w:val="Milestonetable"/>
              <w:rPr>
                <w:color w:val="auto"/>
              </w:rPr>
            </w:pPr>
            <w:r w:rsidRPr="00EA23B6">
              <w:rPr>
                <w:color w:val="auto"/>
              </w:rPr>
              <w:t xml:space="preserve">Project plan </w:t>
            </w:r>
            <w:r>
              <w:rPr>
                <w:color w:val="auto"/>
              </w:rPr>
              <w:t xml:space="preserve">setting out the: </w:t>
            </w:r>
          </w:p>
          <w:p w14:paraId="07A11D22" w14:textId="77777777" w:rsidR="00A06E8D" w:rsidRPr="00EA23B6" w:rsidRDefault="00A06E8D" w:rsidP="005C6E84">
            <w:pPr>
              <w:pStyle w:val="Milestonetable"/>
              <w:numPr>
                <w:ilvl w:val="0"/>
                <w:numId w:val="6"/>
              </w:numPr>
              <w:rPr>
                <w:color w:val="auto"/>
              </w:rPr>
            </w:pPr>
            <w:r w:rsidRPr="00EA23B6">
              <w:rPr>
                <w:color w:val="auto"/>
              </w:rPr>
              <w:t>The project description/scope, activities, milestones (including timeframes), budget breakdown, target population, stakeholder engagement (including co-design), governance, success measures and evaluation.</w:t>
            </w:r>
          </w:p>
          <w:p w14:paraId="58A7541D" w14:textId="07FFA38F" w:rsidR="00A06E8D" w:rsidRPr="00EA23B6" w:rsidRDefault="00A06E8D" w:rsidP="00533344">
            <w:pPr>
              <w:pStyle w:val="Milestonetable"/>
              <w:numPr>
                <w:ilvl w:val="0"/>
                <w:numId w:val="6"/>
              </w:numPr>
              <w:rPr>
                <w:color w:val="auto"/>
              </w:rPr>
            </w:pPr>
            <w:r w:rsidRPr="00EA23B6">
              <w:rPr>
                <w:color w:val="auto"/>
              </w:rPr>
              <w:t>The plan should also include the risk management approach (with consideration of privacy impact if required).</w:t>
            </w:r>
          </w:p>
        </w:tc>
        <w:tc>
          <w:tcPr>
            <w:tcW w:w="2088" w:type="dxa"/>
            <w:tcBorders>
              <w:top w:val="single" w:sz="8" w:space="0" w:color="4F81BD"/>
              <w:left w:val="single" w:sz="8" w:space="0" w:color="4F81BD"/>
              <w:bottom w:val="single" w:sz="8" w:space="0" w:color="4F81BD"/>
              <w:right w:val="single" w:sz="8" w:space="0" w:color="4F81BD"/>
            </w:tcBorders>
            <w:shd w:val="clear" w:color="auto" w:fill="auto"/>
          </w:tcPr>
          <w:p w14:paraId="2652CAAE" w14:textId="7C46CF55" w:rsidR="00A06E8D" w:rsidRPr="00EA23B6" w:rsidRDefault="003120C3" w:rsidP="00410699">
            <w:pPr>
              <w:pStyle w:val="Milestonetable"/>
              <w:rPr>
                <w:color w:val="auto"/>
                <w:highlight w:val="yellow"/>
              </w:rPr>
            </w:pPr>
            <w:r>
              <w:rPr>
                <w:color w:val="auto"/>
              </w:rPr>
              <w:t xml:space="preserve">18 </w:t>
            </w:r>
            <w:r w:rsidR="00EF095B">
              <w:rPr>
                <w:color w:val="auto"/>
              </w:rPr>
              <w:t>June 2021</w:t>
            </w:r>
            <w:r w:rsidR="00A06E8D" w:rsidRPr="00EA23B6">
              <w:rPr>
                <w:color w:val="auto"/>
              </w:rPr>
              <w:t xml:space="preserve"> </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1364F80" w14:textId="3416AFC6" w:rsidR="00A06E8D" w:rsidRPr="00EA23B6" w:rsidRDefault="00A06E8D" w:rsidP="008305F3">
            <w:pPr>
              <w:pStyle w:val="Milestonetable"/>
              <w:jc w:val="right"/>
              <w:rPr>
                <w:color w:val="auto"/>
              </w:rPr>
            </w:pPr>
            <w:r w:rsidRPr="00EA23B6">
              <w:rPr>
                <w:color w:val="auto"/>
              </w:rPr>
              <w:t>$</w:t>
            </w:r>
            <w:r>
              <w:rPr>
                <w:color w:val="auto"/>
              </w:rPr>
              <w:t>13.032</w:t>
            </w:r>
            <w:r w:rsidR="00213D42">
              <w:rPr>
                <w:color w:val="auto"/>
              </w:rPr>
              <w:t>m</w:t>
            </w:r>
          </w:p>
        </w:tc>
      </w:tr>
      <w:tr w:rsidR="00A06E8D" w:rsidRPr="00F00A18" w14:paraId="14D6DFB2" w14:textId="77777777" w:rsidTr="00410699">
        <w:tc>
          <w:tcPr>
            <w:tcW w:w="3264" w:type="dxa"/>
            <w:vMerge/>
            <w:tcBorders>
              <w:left w:val="single" w:sz="8" w:space="0" w:color="4F81BD"/>
              <w:right w:val="single" w:sz="8" w:space="0" w:color="4F81BD"/>
            </w:tcBorders>
          </w:tcPr>
          <w:p w14:paraId="207C37FF" w14:textId="77777777" w:rsidR="00A06E8D" w:rsidRPr="00EA23B6" w:rsidRDefault="00A06E8D" w:rsidP="00B44A1B">
            <w:pPr>
              <w:pStyle w:val="Milestonetable"/>
              <w:rPr>
                <w:color w:val="auto"/>
              </w:rPr>
            </w:pPr>
          </w:p>
        </w:tc>
        <w:tc>
          <w:tcPr>
            <w:tcW w:w="7499" w:type="dxa"/>
            <w:tcBorders>
              <w:top w:val="single" w:sz="8" w:space="0" w:color="4F81BD"/>
              <w:left w:val="single" w:sz="8" w:space="0" w:color="4F81BD"/>
              <w:bottom w:val="single" w:sz="8" w:space="0" w:color="4F81BD"/>
              <w:right w:val="single" w:sz="8" w:space="0" w:color="4F81BD"/>
            </w:tcBorders>
            <w:shd w:val="clear" w:color="auto" w:fill="auto"/>
          </w:tcPr>
          <w:p w14:paraId="1618D095" w14:textId="77777777" w:rsidR="003923EE" w:rsidRDefault="00A06E8D" w:rsidP="004A565F">
            <w:pPr>
              <w:pStyle w:val="Milestonetable"/>
              <w:rPr>
                <w:color w:val="auto"/>
              </w:rPr>
            </w:pPr>
            <w:r>
              <w:rPr>
                <w:color w:val="auto"/>
              </w:rPr>
              <w:t>Annual p</w:t>
            </w:r>
            <w:r w:rsidRPr="00EA23B6">
              <w:rPr>
                <w:color w:val="auto"/>
              </w:rPr>
              <w:t xml:space="preserve">rogress report for the period from commencement of the project </w:t>
            </w:r>
            <w:r w:rsidRPr="00EB1925">
              <w:rPr>
                <w:color w:val="auto"/>
              </w:rPr>
              <w:t>to 3</w:t>
            </w:r>
            <w:r>
              <w:rPr>
                <w:color w:val="auto"/>
              </w:rPr>
              <w:t>o June 2022</w:t>
            </w:r>
            <w:r w:rsidRPr="00EB1925">
              <w:rPr>
                <w:color w:val="auto"/>
              </w:rPr>
              <w:t xml:space="preserve"> </w:t>
            </w:r>
            <w:r w:rsidR="003923EE">
              <w:rPr>
                <w:color w:val="auto"/>
              </w:rPr>
              <w:t>detailing the:</w:t>
            </w:r>
          </w:p>
          <w:p w14:paraId="0AF997FF" w14:textId="2957616E" w:rsidR="00A06E8D" w:rsidRDefault="00A06E8D" w:rsidP="003923EE">
            <w:pPr>
              <w:pStyle w:val="Milestonetable"/>
              <w:numPr>
                <w:ilvl w:val="0"/>
                <w:numId w:val="17"/>
              </w:numPr>
              <w:rPr>
                <w:color w:val="auto"/>
              </w:rPr>
            </w:pPr>
            <w:r w:rsidRPr="00533344">
              <w:rPr>
                <w:color w:val="auto"/>
              </w:rPr>
              <w:t>progress to date on th</w:t>
            </w:r>
            <w:r w:rsidR="003923EE">
              <w:rPr>
                <w:color w:val="auto"/>
              </w:rPr>
              <w:t>e milestones in the project plan</w:t>
            </w:r>
            <w:r w:rsidR="005C771F">
              <w:rPr>
                <w:color w:val="auto"/>
              </w:rPr>
              <w:t xml:space="preserve"> against the three project streams</w:t>
            </w:r>
            <w:r w:rsidR="003923EE">
              <w:rPr>
                <w:color w:val="auto"/>
              </w:rPr>
              <w:t>; and</w:t>
            </w:r>
          </w:p>
          <w:p w14:paraId="587D039B" w14:textId="4871A3FA" w:rsidR="003923EE" w:rsidRPr="00EA23B6" w:rsidRDefault="003923EE" w:rsidP="003923EE">
            <w:pPr>
              <w:pStyle w:val="Milestonetable"/>
              <w:numPr>
                <w:ilvl w:val="0"/>
                <w:numId w:val="17"/>
              </w:numPr>
              <w:rPr>
                <w:color w:val="auto"/>
              </w:rPr>
            </w:pPr>
            <w:proofErr w:type="gramStart"/>
            <w:r w:rsidRPr="00EA23B6">
              <w:rPr>
                <w:color w:val="auto"/>
              </w:rPr>
              <w:t>project</w:t>
            </w:r>
            <w:proofErr w:type="gramEnd"/>
            <w:r w:rsidRPr="00EA23B6">
              <w:rPr>
                <w:color w:val="auto"/>
              </w:rPr>
              <w:t xml:space="preserve"> risks, issues and learnings</w:t>
            </w:r>
            <w:r>
              <w:rPr>
                <w:color w:val="auto"/>
              </w:rPr>
              <w:t>.</w:t>
            </w:r>
          </w:p>
        </w:tc>
        <w:tc>
          <w:tcPr>
            <w:tcW w:w="2088" w:type="dxa"/>
            <w:tcBorders>
              <w:top w:val="single" w:sz="8" w:space="0" w:color="4F81BD"/>
              <w:left w:val="single" w:sz="8" w:space="0" w:color="4F81BD"/>
              <w:bottom w:val="single" w:sz="8" w:space="0" w:color="4F81BD"/>
              <w:right w:val="single" w:sz="8" w:space="0" w:color="4F81BD"/>
            </w:tcBorders>
            <w:shd w:val="clear" w:color="auto" w:fill="auto"/>
          </w:tcPr>
          <w:p w14:paraId="4F004692" w14:textId="36EDCCF1" w:rsidR="00A06E8D" w:rsidRPr="00EA23B6" w:rsidRDefault="00A06E8D" w:rsidP="00D91EE0">
            <w:pPr>
              <w:pStyle w:val="Milestonetable"/>
              <w:rPr>
                <w:color w:val="auto"/>
                <w:highlight w:val="yellow"/>
              </w:rPr>
            </w:pPr>
            <w:r>
              <w:rPr>
                <w:color w:val="auto"/>
              </w:rPr>
              <w:t>30 September 2022</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8A03324" w14:textId="61A06B0F" w:rsidR="00A06E8D" w:rsidRPr="00EA23B6" w:rsidRDefault="00A06E8D" w:rsidP="00B44A1B">
            <w:pPr>
              <w:pStyle w:val="Milestonetable"/>
              <w:jc w:val="right"/>
              <w:rPr>
                <w:color w:val="auto"/>
              </w:rPr>
            </w:pPr>
            <w:r w:rsidRPr="00EA23B6">
              <w:rPr>
                <w:color w:val="auto"/>
              </w:rPr>
              <w:t>Nil</w:t>
            </w:r>
          </w:p>
        </w:tc>
      </w:tr>
      <w:tr w:rsidR="00A06E8D" w:rsidRPr="00F00A18" w14:paraId="6180C727" w14:textId="77777777" w:rsidTr="00410699">
        <w:tc>
          <w:tcPr>
            <w:tcW w:w="3264" w:type="dxa"/>
            <w:vMerge/>
            <w:tcBorders>
              <w:left w:val="single" w:sz="8" w:space="0" w:color="4F81BD"/>
              <w:right w:val="single" w:sz="8" w:space="0" w:color="4F81BD"/>
            </w:tcBorders>
          </w:tcPr>
          <w:p w14:paraId="25664220" w14:textId="0A8370E1" w:rsidR="00A06E8D" w:rsidRPr="00EA23B6" w:rsidRDefault="00A06E8D" w:rsidP="00B44A1B">
            <w:pPr>
              <w:pStyle w:val="Milestonetable"/>
              <w:rPr>
                <w:color w:val="auto"/>
              </w:rPr>
            </w:pPr>
          </w:p>
        </w:tc>
        <w:tc>
          <w:tcPr>
            <w:tcW w:w="7499" w:type="dxa"/>
            <w:tcBorders>
              <w:top w:val="single" w:sz="8" w:space="0" w:color="4F81BD"/>
              <w:left w:val="single" w:sz="8" w:space="0" w:color="4F81BD"/>
              <w:bottom w:val="single" w:sz="8" w:space="0" w:color="4F81BD"/>
              <w:right w:val="single" w:sz="8" w:space="0" w:color="4F81BD"/>
            </w:tcBorders>
            <w:shd w:val="clear" w:color="auto" w:fill="auto"/>
          </w:tcPr>
          <w:p w14:paraId="682DC7DF" w14:textId="77777777" w:rsidR="003923EE" w:rsidRDefault="00A06E8D" w:rsidP="004A565F">
            <w:pPr>
              <w:pStyle w:val="Milestonetable"/>
              <w:rPr>
                <w:color w:val="auto"/>
              </w:rPr>
            </w:pPr>
            <w:r>
              <w:rPr>
                <w:color w:val="auto"/>
              </w:rPr>
              <w:t>Annual p</w:t>
            </w:r>
            <w:r w:rsidRPr="00EA23B6">
              <w:rPr>
                <w:color w:val="auto"/>
              </w:rPr>
              <w:t xml:space="preserve">rogress report for the period from </w:t>
            </w:r>
            <w:r>
              <w:rPr>
                <w:color w:val="auto"/>
              </w:rPr>
              <w:t xml:space="preserve">1 July 2022 to </w:t>
            </w:r>
            <w:r w:rsidRPr="00EB1925">
              <w:rPr>
                <w:color w:val="auto"/>
              </w:rPr>
              <w:t>3</w:t>
            </w:r>
            <w:r>
              <w:rPr>
                <w:color w:val="auto"/>
              </w:rPr>
              <w:t>o June 2023</w:t>
            </w:r>
            <w:r w:rsidRPr="004A565F">
              <w:rPr>
                <w:color w:val="auto"/>
              </w:rPr>
              <w:t>,</w:t>
            </w:r>
            <w:r w:rsidRPr="00EB1925">
              <w:rPr>
                <w:color w:val="auto"/>
              </w:rPr>
              <w:t xml:space="preserve"> </w:t>
            </w:r>
            <w:r w:rsidRPr="00533344">
              <w:rPr>
                <w:color w:val="auto"/>
              </w:rPr>
              <w:t>detailing the</w:t>
            </w:r>
            <w:r w:rsidR="003923EE">
              <w:rPr>
                <w:color w:val="auto"/>
              </w:rPr>
              <w:t>:</w:t>
            </w:r>
          </w:p>
          <w:p w14:paraId="3F599C37" w14:textId="5334FD12" w:rsidR="003923EE" w:rsidRDefault="003923EE" w:rsidP="003923EE">
            <w:pPr>
              <w:pStyle w:val="Milestonetable"/>
              <w:numPr>
                <w:ilvl w:val="0"/>
                <w:numId w:val="17"/>
              </w:numPr>
              <w:rPr>
                <w:color w:val="auto"/>
              </w:rPr>
            </w:pPr>
            <w:r w:rsidRPr="00533344">
              <w:rPr>
                <w:color w:val="auto"/>
              </w:rPr>
              <w:t>progress to date on th</w:t>
            </w:r>
            <w:r>
              <w:rPr>
                <w:color w:val="auto"/>
              </w:rPr>
              <w:t>e milestones in the project plan</w:t>
            </w:r>
            <w:r w:rsidR="005C771F">
              <w:rPr>
                <w:color w:val="auto"/>
              </w:rPr>
              <w:t xml:space="preserve"> against the three project streams</w:t>
            </w:r>
            <w:r>
              <w:rPr>
                <w:color w:val="auto"/>
              </w:rPr>
              <w:t>; and</w:t>
            </w:r>
          </w:p>
          <w:p w14:paraId="5F039007" w14:textId="4AAC9213" w:rsidR="00A06E8D" w:rsidRPr="003923EE" w:rsidRDefault="003923EE" w:rsidP="003923EE">
            <w:pPr>
              <w:pStyle w:val="Milestonetable"/>
              <w:numPr>
                <w:ilvl w:val="0"/>
                <w:numId w:val="17"/>
              </w:numPr>
              <w:rPr>
                <w:color w:val="auto"/>
              </w:rPr>
            </w:pPr>
            <w:proofErr w:type="gramStart"/>
            <w:r w:rsidRPr="00EA23B6">
              <w:rPr>
                <w:color w:val="auto"/>
              </w:rPr>
              <w:t>project</w:t>
            </w:r>
            <w:proofErr w:type="gramEnd"/>
            <w:r w:rsidRPr="00EA23B6">
              <w:rPr>
                <w:color w:val="auto"/>
              </w:rPr>
              <w:t xml:space="preserve"> risks, issues and learnings</w:t>
            </w:r>
            <w:r>
              <w:rPr>
                <w:color w:val="auto"/>
              </w:rPr>
              <w:t>.</w:t>
            </w:r>
          </w:p>
        </w:tc>
        <w:tc>
          <w:tcPr>
            <w:tcW w:w="2088" w:type="dxa"/>
            <w:tcBorders>
              <w:top w:val="single" w:sz="8" w:space="0" w:color="4F81BD"/>
              <w:left w:val="single" w:sz="8" w:space="0" w:color="4F81BD"/>
              <w:bottom w:val="single" w:sz="8" w:space="0" w:color="4F81BD"/>
              <w:right w:val="single" w:sz="8" w:space="0" w:color="4F81BD"/>
            </w:tcBorders>
            <w:shd w:val="clear" w:color="auto" w:fill="auto"/>
          </w:tcPr>
          <w:p w14:paraId="26B9448C" w14:textId="1700BE45" w:rsidR="00A06E8D" w:rsidDel="00533344" w:rsidRDefault="00A06E8D" w:rsidP="00D91EE0">
            <w:pPr>
              <w:pStyle w:val="Milestonetable"/>
              <w:rPr>
                <w:color w:val="auto"/>
              </w:rPr>
            </w:pPr>
            <w:r>
              <w:rPr>
                <w:color w:val="auto"/>
              </w:rPr>
              <w:t>30 September 2023</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C8766D5" w14:textId="6661FCD3" w:rsidR="00A06E8D" w:rsidRPr="00EA23B6" w:rsidRDefault="00310988" w:rsidP="00B44A1B">
            <w:pPr>
              <w:pStyle w:val="Milestonetable"/>
              <w:jc w:val="right"/>
              <w:rPr>
                <w:color w:val="auto"/>
              </w:rPr>
            </w:pPr>
            <w:r>
              <w:rPr>
                <w:color w:val="auto"/>
              </w:rPr>
              <w:t>Nil</w:t>
            </w:r>
          </w:p>
        </w:tc>
      </w:tr>
      <w:tr w:rsidR="00A06E8D" w:rsidRPr="00F00A18" w14:paraId="1D1F2D78" w14:textId="77777777" w:rsidTr="00410699">
        <w:tc>
          <w:tcPr>
            <w:tcW w:w="3264" w:type="dxa"/>
            <w:vMerge/>
            <w:tcBorders>
              <w:left w:val="single" w:sz="8" w:space="0" w:color="4F81BD"/>
              <w:bottom w:val="single" w:sz="8" w:space="0" w:color="4F81BD"/>
              <w:right w:val="single" w:sz="8" w:space="0" w:color="4F81BD"/>
            </w:tcBorders>
          </w:tcPr>
          <w:p w14:paraId="000B5353" w14:textId="77777777" w:rsidR="00A06E8D" w:rsidRPr="00EA23B6" w:rsidRDefault="00A06E8D" w:rsidP="00B44A1B">
            <w:pPr>
              <w:pStyle w:val="Milestonetable"/>
              <w:rPr>
                <w:color w:val="auto"/>
              </w:rPr>
            </w:pPr>
          </w:p>
        </w:tc>
        <w:tc>
          <w:tcPr>
            <w:tcW w:w="7499" w:type="dxa"/>
            <w:tcBorders>
              <w:top w:val="single" w:sz="8" w:space="0" w:color="4F81BD"/>
              <w:left w:val="single" w:sz="8" w:space="0" w:color="4F81BD"/>
              <w:bottom w:val="single" w:sz="8" w:space="0" w:color="4F81BD"/>
              <w:right w:val="single" w:sz="8" w:space="0" w:color="4F81BD"/>
            </w:tcBorders>
            <w:shd w:val="clear" w:color="auto" w:fill="auto"/>
          </w:tcPr>
          <w:p w14:paraId="2E2EFC8E" w14:textId="5DA40576" w:rsidR="00A06E8D" w:rsidRPr="00EA23B6" w:rsidRDefault="00A06E8D" w:rsidP="00CC0F06">
            <w:pPr>
              <w:pStyle w:val="Milestonetable"/>
              <w:rPr>
                <w:color w:val="auto"/>
              </w:rPr>
            </w:pPr>
            <w:r w:rsidRPr="00EA23B6">
              <w:rPr>
                <w:color w:val="auto"/>
              </w:rPr>
              <w:t>Final evaluation report</w:t>
            </w:r>
            <w:r>
              <w:rPr>
                <w:color w:val="auto"/>
              </w:rPr>
              <w:t>,</w:t>
            </w:r>
            <w:r w:rsidRPr="00EA23B6">
              <w:rPr>
                <w:color w:val="auto"/>
              </w:rPr>
              <w:t xml:space="preserve"> </w:t>
            </w:r>
            <w:r>
              <w:rPr>
                <w:color w:val="auto"/>
              </w:rPr>
              <w:t>which includes an evaluative component that aims to assess impact on patient outcomes such as readmission rate and complication rate, length of stay, cost and elective surgery waitlist</w:t>
            </w:r>
            <w:r w:rsidR="005C771F">
              <w:rPr>
                <w:color w:val="auto"/>
              </w:rPr>
              <w:t xml:space="preserve"> across the three project streams</w:t>
            </w:r>
            <w:r w:rsidRPr="00EA23B6">
              <w:rPr>
                <w:color w:val="auto"/>
              </w:rPr>
              <w:t>.</w:t>
            </w:r>
          </w:p>
          <w:p w14:paraId="28E48C7C" w14:textId="24E9549D" w:rsidR="00A06E8D" w:rsidRPr="00EA23B6" w:rsidRDefault="00A06E8D" w:rsidP="00012A88">
            <w:pPr>
              <w:pStyle w:val="Milestonetable"/>
              <w:numPr>
                <w:ilvl w:val="0"/>
                <w:numId w:val="14"/>
              </w:numPr>
              <w:rPr>
                <w:color w:val="auto"/>
              </w:rPr>
            </w:pPr>
            <w:r>
              <w:rPr>
                <w:color w:val="auto"/>
              </w:rPr>
              <w:t xml:space="preserve">Victoria </w:t>
            </w:r>
            <w:r w:rsidRPr="00EA23B6">
              <w:rPr>
                <w:color w:val="auto"/>
              </w:rPr>
              <w:t>will determine the scope and methodology for a final evaluation of the benefits and learnings from the project. The final evaluation report will detail outcomes of the project, key achievements and challenges, with supporting data where available</w:t>
            </w:r>
            <w:r w:rsidRPr="00EB1925">
              <w:rPr>
                <w:color w:val="auto"/>
              </w:rPr>
              <w:t>. Evaluation reports will be shared with all jurisdictions.</w:t>
            </w:r>
          </w:p>
          <w:p w14:paraId="62EE2DE3" w14:textId="6D7BBC96" w:rsidR="00A06E8D" w:rsidRDefault="00A06E8D" w:rsidP="00012A88">
            <w:pPr>
              <w:pStyle w:val="Milestonetable"/>
              <w:numPr>
                <w:ilvl w:val="0"/>
                <w:numId w:val="14"/>
              </w:numPr>
              <w:rPr>
                <w:color w:val="auto"/>
              </w:rPr>
            </w:pPr>
            <w:r w:rsidRPr="00EA23B6">
              <w:rPr>
                <w:color w:val="auto"/>
              </w:rPr>
              <w:t>The report is to include supporting data, where available. Performance indicators should be meaningful, simple and comprehensible to the public. Indicators should be limited to those necessary to measure performance and inform the public about progress of the project (Clause 25 of HFFA).</w:t>
            </w:r>
          </w:p>
          <w:p w14:paraId="3EFEA85A" w14:textId="77777777" w:rsidR="00A06E8D" w:rsidRPr="00EA23B6" w:rsidRDefault="00A06E8D" w:rsidP="0056754C">
            <w:pPr>
              <w:pStyle w:val="Milestonetable"/>
              <w:rPr>
                <w:color w:val="auto"/>
              </w:rPr>
            </w:pPr>
          </w:p>
          <w:p w14:paraId="4D883D5E" w14:textId="70EC2406" w:rsidR="00A06E8D" w:rsidRPr="00EA23B6" w:rsidRDefault="00A06E8D" w:rsidP="00CC0F06">
            <w:pPr>
              <w:pStyle w:val="Milestonetable"/>
              <w:rPr>
                <w:color w:val="auto"/>
              </w:rPr>
            </w:pPr>
          </w:p>
        </w:tc>
        <w:tc>
          <w:tcPr>
            <w:tcW w:w="2088" w:type="dxa"/>
            <w:tcBorders>
              <w:top w:val="single" w:sz="8" w:space="0" w:color="4F81BD"/>
              <w:left w:val="single" w:sz="8" w:space="0" w:color="4F81BD"/>
              <w:bottom w:val="single" w:sz="8" w:space="0" w:color="4F81BD"/>
              <w:right w:val="single" w:sz="8" w:space="0" w:color="4F81BD"/>
            </w:tcBorders>
            <w:shd w:val="clear" w:color="auto" w:fill="auto"/>
          </w:tcPr>
          <w:p w14:paraId="7EA70B0C" w14:textId="285F381A" w:rsidR="00A06E8D" w:rsidRPr="00EA23B6" w:rsidRDefault="00A06E8D" w:rsidP="00B44A1B">
            <w:pPr>
              <w:pStyle w:val="Milestonetable"/>
              <w:rPr>
                <w:color w:val="auto"/>
                <w:highlight w:val="yellow"/>
              </w:rPr>
            </w:pPr>
            <w:r>
              <w:rPr>
                <w:color w:val="auto"/>
              </w:rPr>
              <w:t>30 September 2024</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695FD945" w14:textId="4B4B8039" w:rsidR="00A06E8D" w:rsidRPr="00EA23B6" w:rsidRDefault="00A06E8D" w:rsidP="00B44A1B">
            <w:pPr>
              <w:pStyle w:val="Milestonetable"/>
              <w:jc w:val="right"/>
              <w:rPr>
                <w:color w:val="auto"/>
              </w:rPr>
            </w:pPr>
            <w:r w:rsidRPr="00EA23B6">
              <w:rPr>
                <w:color w:val="auto"/>
              </w:rPr>
              <w:t>Nil</w:t>
            </w:r>
          </w:p>
        </w:tc>
      </w:tr>
    </w:tbl>
    <w:p w14:paraId="3EED5D95" w14:textId="77777777" w:rsidR="008305F3" w:rsidRDefault="008305F3" w:rsidP="00C91B5F">
      <w:pPr>
        <w:rPr>
          <w:lang w:val="en-GB"/>
        </w:rPr>
      </w:pPr>
    </w:p>
    <w:p w14:paraId="67397EC9" w14:textId="77777777" w:rsidR="00EB55A8" w:rsidRDefault="00EB55A8">
      <w:pPr>
        <w:widowControl/>
        <w:spacing w:after="160" w:line="259" w:lineRule="auto"/>
        <w:rPr>
          <w:lang w:val="en-GB"/>
        </w:rPr>
      </w:pPr>
      <w:r>
        <w:rPr>
          <w:lang w:val="en-GB"/>
        </w:rPr>
        <w:br w:type="page"/>
      </w:r>
    </w:p>
    <w:p w14:paraId="7C6913DF" w14:textId="249AF1C3" w:rsidR="00C91B5F" w:rsidRDefault="00C91B5F" w:rsidP="00C91B5F">
      <w:pPr>
        <w:rPr>
          <w:lang w:val="en-GB"/>
        </w:rPr>
      </w:pPr>
      <w:r w:rsidRPr="00A50751">
        <w:rPr>
          <w:lang w:val="en-GB"/>
        </w:rPr>
        <w:lastRenderedPageBreak/>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662C42DA" w14:textId="77777777" w:rsidR="00C91B5F" w:rsidRDefault="00C91B5F" w:rsidP="00C91B5F">
      <w:pPr>
        <w:rPr>
          <w:lang w:val="en-GB"/>
        </w:rPr>
      </w:pPr>
    </w:p>
    <w:tbl>
      <w:tblPr>
        <w:tblW w:w="0" w:type="auto"/>
        <w:jc w:val="center"/>
        <w:tblLayout w:type="fixed"/>
        <w:tblLook w:val="01E0" w:firstRow="1" w:lastRow="1" w:firstColumn="1" w:lastColumn="1" w:noHBand="0" w:noVBand="0"/>
      </w:tblPr>
      <w:tblGrid>
        <w:gridCol w:w="4536"/>
        <w:gridCol w:w="1701"/>
        <w:gridCol w:w="4536"/>
      </w:tblGrid>
      <w:tr w:rsidR="00C91B5F" w:rsidRPr="00A50751" w14:paraId="01C70693" w14:textId="77777777" w:rsidTr="005D3905">
        <w:trPr>
          <w:cantSplit/>
          <w:jc w:val="center"/>
        </w:trPr>
        <w:tc>
          <w:tcPr>
            <w:tcW w:w="4536" w:type="dxa"/>
          </w:tcPr>
          <w:p w14:paraId="4B0D9450" w14:textId="77777777" w:rsidR="00C91B5F" w:rsidRPr="004A0AE7" w:rsidRDefault="00C91B5F" w:rsidP="005D3905">
            <w:pPr>
              <w:pStyle w:val="Signed"/>
            </w:pPr>
            <w:r>
              <w:rPr>
                <w:rStyle w:val="SignedBold"/>
              </w:rPr>
              <w:t>Signed</w:t>
            </w:r>
            <w:r w:rsidRPr="004A0AE7">
              <w:t xml:space="preserve"> for and on behalf of the</w:t>
            </w:r>
            <w:r>
              <w:t xml:space="preserve"> </w:t>
            </w:r>
            <w:r w:rsidRPr="004A0AE7">
              <w:t>Commonwealth of Australia by</w:t>
            </w:r>
          </w:p>
          <w:p w14:paraId="62FFA936" w14:textId="77777777" w:rsidR="00C91B5F" w:rsidRPr="00A50751" w:rsidRDefault="00C91B5F" w:rsidP="005D3905">
            <w:pPr>
              <w:pStyle w:val="LineForSignature"/>
            </w:pPr>
            <w:r>
              <w:br/>
            </w:r>
            <w:r>
              <w:tab/>
            </w:r>
          </w:p>
          <w:p w14:paraId="050B68E4" w14:textId="1399D431" w:rsidR="00C91B5F" w:rsidRDefault="00C91B5F" w:rsidP="005D3905">
            <w:pPr>
              <w:pStyle w:val="SingleParagraph"/>
              <w:rPr>
                <w:rStyle w:val="Bold"/>
              </w:rPr>
            </w:pPr>
            <w:r>
              <w:rPr>
                <w:rStyle w:val="Bold"/>
              </w:rPr>
              <w:t>The Honourable</w:t>
            </w:r>
            <w:r w:rsidR="00CD7362">
              <w:rPr>
                <w:rStyle w:val="Bold"/>
              </w:rPr>
              <w:t xml:space="preserve"> Greg Hunt </w:t>
            </w:r>
            <w:r>
              <w:rPr>
                <w:rStyle w:val="Bold"/>
              </w:rPr>
              <w:t>MP</w:t>
            </w:r>
          </w:p>
          <w:p w14:paraId="1AE58A47" w14:textId="77777777" w:rsidR="00E73337" w:rsidRDefault="00C91B5F" w:rsidP="00E73337">
            <w:pPr>
              <w:pStyle w:val="Position"/>
              <w:rPr>
                <w:lang w:val="en-GB"/>
              </w:rPr>
            </w:pPr>
            <w:r>
              <w:rPr>
                <w:lang w:val="en-GB"/>
              </w:rPr>
              <w:t xml:space="preserve">Minister for </w:t>
            </w:r>
            <w:r w:rsidR="00CD7362">
              <w:rPr>
                <w:lang w:val="en-GB"/>
              </w:rPr>
              <w:t>Health</w:t>
            </w:r>
            <w:r>
              <w:rPr>
                <w:lang w:val="en-GB"/>
              </w:rPr>
              <w:t xml:space="preserve"> </w:t>
            </w:r>
          </w:p>
          <w:p w14:paraId="6C8490D6" w14:textId="7997634F" w:rsidR="00C91B5F" w:rsidRPr="00E73337" w:rsidRDefault="00C91B5F" w:rsidP="00E73337">
            <w:pPr>
              <w:rPr>
                <w:lang w:val="en-GB"/>
              </w:rPr>
            </w:pPr>
            <w:r w:rsidRPr="00E73337">
              <w:rPr>
                <w:rFonts w:ascii="Corbel" w:eastAsia="Times New Roman" w:hAnsi="Corbel" w:cs="Times New Roman"/>
                <w:color w:val="000000"/>
                <w:sz w:val="23"/>
                <w:szCs w:val="20"/>
                <w:lang w:val="en-GB" w:eastAsia="en-AU"/>
              </w:rPr>
              <w:t xml:space="preserve"> </w:t>
            </w:r>
            <w:r w:rsidR="00E73337">
              <w:rPr>
                <w:rFonts w:ascii="Corbel" w:eastAsia="Times New Roman" w:hAnsi="Corbel" w:cs="Times New Roman"/>
                <w:color w:val="000000"/>
                <w:sz w:val="23"/>
                <w:szCs w:val="20"/>
                <w:lang w:val="en-GB" w:eastAsia="en-AU"/>
              </w:rPr>
              <w:tab/>
            </w:r>
            <w:r w:rsidR="00E73337">
              <w:rPr>
                <w:rFonts w:ascii="Corbel" w:eastAsia="Times New Roman" w:hAnsi="Corbel" w:cs="Times New Roman"/>
                <w:color w:val="000000"/>
                <w:sz w:val="23"/>
                <w:szCs w:val="20"/>
                <w:lang w:val="en-GB" w:eastAsia="en-AU"/>
              </w:rPr>
              <w:tab/>
            </w:r>
            <w:bookmarkStart w:id="0" w:name="_GoBack"/>
            <w:bookmarkEnd w:id="0"/>
            <w:r w:rsidRPr="00E73337">
              <w:rPr>
                <w:rFonts w:ascii="Corbel" w:eastAsia="Times New Roman" w:hAnsi="Corbel" w:cs="Times New Roman"/>
                <w:color w:val="000000"/>
                <w:sz w:val="23"/>
                <w:szCs w:val="20"/>
                <w:lang w:val="en-GB" w:eastAsia="en-AU"/>
              </w:rPr>
              <w:t xml:space="preserve"> </w:t>
            </w:r>
            <w:r w:rsidR="00CD7362" w:rsidRPr="00E73337">
              <w:rPr>
                <w:rFonts w:ascii="Corbel" w:eastAsia="Times New Roman" w:hAnsi="Corbel" w:cs="Times New Roman"/>
                <w:color w:val="000000"/>
                <w:sz w:val="23"/>
                <w:szCs w:val="20"/>
                <w:lang w:val="en-GB" w:eastAsia="en-AU"/>
              </w:rPr>
              <w:t>2021</w:t>
            </w:r>
          </w:p>
        </w:tc>
        <w:tc>
          <w:tcPr>
            <w:tcW w:w="1701" w:type="dxa"/>
            <w:tcMar>
              <w:left w:w="0" w:type="dxa"/>
              <w:right w:w="0" w:type="dxa"/>
            </w:tcMar>
          </w:tcPr>
          <w:p w14:paraId="34B565C4" w14:textId="77777777" w:rsidR="00C91B5F" w:rsidRPr="00A50751" w:rsidRDefault="00C91B5F" w:rsidP="005D3905">
            <w:pPr>
              <w:rPr>
                <w:rFonts w:ascii="Book Antiqua" w:hAnsi="Book Antiqua"/>
                <w:lang w:val="en-GB"/>
              </w:rPr>
            </w:pPr>
          </w:p>
        </w:tc>
        <w:tc>
          <w:tcPr>
            <w:tcW w:w="4536" w:type="dxa"/>
          </w:tcPr>
          <w:p w14:paraId="2E0DEC24" w14:textId="516C91CE" w:rsidR="00C91B5F" w:rsidRPr="00175957" w:rsidRDefault="00C91B5F" w:rsidP="005D3905">
            <w:pPr>
              <w:pStyle w:val="Signed"/>
            </w:pPr>
            <w:r w:rsidRPr="00175957">
              <w:rPr>
                <w:rStyle w:val="SignedBold"/>
              </w:rPr>
              <w:t>Signed</w:t>
            </w:r>
            <w:r w:rsidRPr="00175957">
              <w:t xml:space="preserve"> for and on behalf of the </w:t>
            </w:r>
            <w:r w:rsidRPr="00175957">
              <w:br/>
              <w:t xml:space="preserve">State of </w:t>
            </w:r>
            <w:r w:rsidR="00120944" w:rsidRPr="00175957">
              <w:t>Victoria</w:t>
            </w:r>
            <w:r w:rsidRPr="00175957">
              <w:t xml:space="preserve"> by</w:t>
            </w:r>
          </w:p>
          <w:p w14:paraId="6728F60B" w14:textId="77777777" w:rsidR="00C91B5F" w:rsidRPr="00175957" w:rsidRDefault="00C91B5F" w:rsidP="005D3905">
            <w:pPr>
              <w:pStyle w:val="LineForSignature"/>
            </w:pPr>
            <w:r w:rsidRPr="00175957">
              <w:br/>
            </w:r>
            <w:r w:rsidRPr="00175957">
              <w:tab/>
            </w:r>
          </w:p>
          <w:p w14:paraId="29740373" w14:textId="11EE65DC" w:rsidR="00C91B5F" w:rsidRPr="00175957" w:rsidRDefault="00C91B5F" w:rsidP="005D3905">
            <w:pPr>
              <w:pStyle w:val="SingleParagraph"/>
              <w:rPr>
                <w:rStyle w:val="Bold"/>
              </w:rPr>
            </w:pPr>
            <w:r w:rsidRPr="00175957">
              <w:rPr>
                <w:rStyle w:val="Bold"/>
              </w:rPr>
              <w:t xml:space="preserve">The Honourable </w:t>
            </w:r>
            <w:r w:rsidR="00120944" w:rsidRPr="00175957">
              <w:rPr>
                <w:rStyle w:val="Bold"/>
              </w:rPr>
              <w:t>Martin Foley</w:t>
            </w:r>
            <w:r w:rsidRPr="00175957">
              <w:rPr>
                <w:rStyle w:val="Bold"/>
              </w:rPr>
              <w:t xml:space="preserve"> MP</w:t>
            </w:r>
          </w:p>
          <w:p w14:paraId="62B52B7E" w14:textId="63EEF248" w:rsidR="00C91B5F" w:rsidRPr="00175957" w:rsidRDefault="00C91B5F" w:rsidP="005D3905">
            <w:pPr>
              <w:pStyle w:val="Position"/>
              <w:rPr>
                <w:lang w:val="en-GB"/>
              </w:rPr>
            </w:pPr>
            <w:r w:rsidRPr="00175957">
              <w:rPr>
                <w:lang w:val="en-GB"/>
              </w:rPr>
              <w:t xml:space="preserve">Minister for </w:t>
            </w:r>
            <w:r w:rsidR="00CD7362" w:rsidRPr="00175957">
              <w:rPr>
                <w:lang w:val="en-GB"/>
              </w:rPr>
              <w:t>Health</w:t>
            </w:r>
            <w:r w:rsidRPr="00175957">
              <w:rPr>
                <w:lang w:val="en-GB"/>
              </w:rPr>
              <w:t xml:space="preserve"> </w:t>
            </w:r>
          </w:p>
          <w:p w14:paraId="5B525D02" w14:textId="317C8A37" w:rsidR="00C91B5F" w:rsidRPr="00175957" w:rsidRDefault="00E73337" w:rsidP="00CD7362">
            <w:pPr>
              <w:rPr>
                <w:rFonts w:ascii="Book Antiqua" w:hAnsi="Book Antiqua"/>
                <w:lang w:val="en-GB"/>
              </w:rPr>
            </w:pPr>
            <w:r>
              <w:rPr>
                <w:lang w:val="en-GB"/>
              </w:rPr>
              <w:tab/>
              <w:t>June</w:t>
            </w:r>
            <w:r w:rsidR="00C91B5F" w:rsidRPr="00175957">
              <w:rPr>
                <w:lang w:val="en-GB"/>
              </w:rPr>
              <w:t xml:space="preserve">  </w:t>
            </w:r>
            <w:r w:rsidR="00CD7362" w:rsidRPr="00175957">
              <w:rPr>
                <w:rFonts w:ascii="Corbel" w:eastAsia="Times New Roman" w:hAnsi="Corbel" w:cs="Times New Roman"/>
                <w:color w:val="000000"/>
                <w:sz w:val="23"/>
                <w:szCs w:val="20"/>
                <w:lang w:val="en-GB" w:eastAsia="en-AU"/>
              </w:rPr>
              <w:t>2021</w:t>
            </w:r>
          </w:p>
        </w:tc>
      </w:tr>
    </w:tbl>
    <w:p w14:paraId="7F4076AE" w14:textId="08B992E4" w:rsidR="00884E8F" w:rsidRPr="00F00A18" w:rsidRDefault="00884E8F" w:rsidP="00EC227D">
      <w:pPr>
        <w:sectPr w:rsidR="00884E8F" w:rsidRPr="00F00A18" w:rsidSect="007E44E6">
          <w:headerReference w:type="even" r:id="rId17"/>
          <w:headerReference w:type="default" r:id="rId18"/>
          <w:headerReference w:type="first" r:id="rId19"/>
          <w:pgSz w:w="16838" w:h="11906" w:orient="landscape" w:code="9"/>
          <w:pgMar w:top="1134" w:right="1134" w:bottom="1134" w:left="1134" w:header="709" w:footer="709" w:gutter="0"/>
          <w:pgNumType w:chapStyle="9"/>
          <w:cols w:space="708"/>
          <w:titlePg/>
          <w:docGrid w:linePitch="360"/>
        </w:sectPr>
      </w:pPr>
    </w:p>
    <w:p w14:paraId="6F64E2C1" w14:textId="77777777" w:rsidR="00C91B5F" w:rsidRDefault="00C91B5F" w:rsidP="00EC227D"/>
    <w:sectPr w:rsidR="00C91B5F" w:rsidSect="00884E8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92C4C" w16cex:dateUtc="2021-05-14T07:05:00Z"/>
  <w16cex:commentExtensible w16cex:durableId="24492C60" w16cex:dateUtc="2021-05-14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00414" w16cid:durableId="243279B7"/>
  <w16cid:commentId w16cid:paraId="66F93BF1" w16cid:durableId="24492C4C"/>
  <w16cid:commentId w16cid:paraId="0A5A8864" w16cid:durableId="243279B8"/>
  <w16cid:commentId w16cid:paraId="4DC78A24" w16cid:durableId="24492C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24E59" w14:textId="77777777" w:rsidR="00663B3C" w:rsidRDefault="00663B3C">
      <w:r>
        <w:separator/>
      </w:r>
    </w:p>
  </w:endnote>
  <w:endnote w:type="continuationSeparator" w:id="0">
    <w:p w14:paraId="593CAABD" w14:textId="77777777" w:rsidR="00663B3C" w:rsidRDefault="00663B3C">
      <w:r>
        <w:continuationSeparator/>
      </w:r>
    </w:p>
  </w:endnote>
  <w:endnote w:type="continuationNotice" w:id="1">
    <w:p w14:paraId="482D5A3D" w14:textId="77777777" w:rsidR="00663B3C" w:rsidRDefault="00663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649B" w14:textId="77777777" w:rsidR="00815B50" w:rsidRDefault="006B6E73">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A8A6" w14:textId="7E5F6A03" w:rsidR="00815B50" w:rsidRDefault="00704B6D" w:rsidP="007E44E6">
    <w:pPr>
      <w:pStyle w:val="Footer"/>
      <w:jc w:val="right"/>
    </w:pPr>
    <w:r>
      <w:rPr>
        <w:noProof/>
        <w:lang w:val="en-AU" w:eastAsia="en-AU"/>
      </w:rPr>
      <mc:AlternateContent>
        <mc:Choice Requires="wps">
          <w:drawing>
            <wp:anchor distT="0" distB="0" distL="114300" distR="114300" simplePos="0" relativeHeight="251667463" behindDoc="0" locked="0" layoutInCell="0" allowOverlap="1" wp14:anchorId="2D72E350" wp14:editId="63B63B2E">
              <wp:simplePos x="0" y="0"/>
              <wp:positionH relativeFrom="page">
                <wp:align>center</wp:align>
              </wp:positionH>
              <wp:positionV relativeFrom="page">
                <wp:align>bottom</wp:align>
              </wp:positionV>
              <wp:extent cx="7772400" cy="502285"/>
              <wp:effectExtent l="0" t="0" r="0" b="12065"/>
              <wp:wrapNone/>
              <wp:docPr id="1" name="MSIPCM238f44d19f69502424483167" descr="{&quot;HashCode&quot;:-88191935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225A6" w14:textId="36D3C529" w:rsidR="00704B6D" w:rsidRPr="001C11C8" w:rsidRDefault="001C11C8" w:rsidP="001C11C8">
                          <w:pPr>
                            <w:jc w:val="center"/>
                            <w:rPr>
                              <w:rFonts w:ascii="Arial Black" w:hAnsi="Arial Black"/>
                              <w:color w:val="000000"/>
                              <w:sz w:val="20"/>
                            </w:rPr>
                          </w:pPr>
                          <w:r w:rsidRPr="001C11C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D72E350" id="_x0000_t202" coordsize="21600,21600" o:spt="202" path="m,l,21600r21600,l21600,xe">
              <v:stroke joinstyle="miter"/>
              <v:path gradientshapeok="t" o:connecttype="rect"/>
            </v:shapetype>
            <v:shape id="MSIPCM238f44d19f69502424483167" o:spid="_x0000_s1027" type="#_x0000_t202" alt="{&quot;HashCode&quot;:-881919350,&quot;Height&quot;:9999999.0,&quot;Width&quot;:9999999.0,&quot;Placement&quot;:&quot;Footer&quot;,&quot;Index&quot;:&quot;Primary&quot;,&quot;Section&quot;:1,&quot;Top&quot;:0.0,&quot;Left&quot;:0.0}" style="position:absolute;left:0;text-align:left;margin-left:0;margin-top:0;width:612pt;height:39.55pt;z-index:2516674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" o:allowincell="f" filled="f" stroked="f" strokeweight=".5pt">
              <v:textbox inset=",0,,0">
                <w:txbxContent>
                  <w:p w14:paraId="1F4225A6" w14:textId="36D3C529" w:rsidR="00704B6D" w:rsidRPr="001C11C8" w:rsidRDefault="001C11C8" w:rsidP="001C11C8">
                    <w:pPr>
                      <w:jc w:val="center"/>
                      <w:rPr>
                        <w:rFonts w:ascii="Arial Black" w:hAnsi="Arial Black"/>
                        <w:color w:val="000000"/>
                        <w:sz w:val="20"/>
                      </w:rPr>
                    </w:pPr>
                    <w:r w:rsidRPr="001C11C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0AE6" w14:textId="6E7F6558" w:rsidR="00815B50" w:rsidRPr="00CA24B0" w:rsidRDefault="00704B6D" w:rsidP="007E44E6">
    <w:pPr>
      <w:pStyle w:val="Footer"/>
      <w:jc w:val="right"/>
    </w:pPr>
    <w:r>
      <w:rPr>
        <w:noProof/>
        <w:lang w:val="en-AU" w:eastAsia="en-AU"/>
      </w:rPr>
      <mc:AlternateContent>
        <mc:Choice Requires="wps">
          <w:drawing>
            <wp:anchor distT="0" distB="0" distL="114300" distR="114300" simplePos="0" relativeHeight="251668487" behindDoc="0" locked="0" layoutInCell="0" allowOverlap="1" wp14:anchorId="285FC97F" wp14:editId="12694284">
              <wp:simplePos x="0" y="0"/>
              <wp:positionH relativeFrom="page">
                <wp:align>center</wp:align>
              </wp:positionH>
              <wp:positionV relativeFrom="page">
                <wp:align>bottom</wp:align>
              </wp:positionV>
              <wp:extent cx="7772400" cy="502285"/>
              <wp:effectExtent l="0" t="0" r="0" b="12065"/>
              <wp:wrapNone/>
              <wp:docPr id="2" name="MSIPCMbdeb4973a24da0225d8b9827" descr="{&quot;HashCode&quot;:-88191935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4E6B6E" w14:textId="39174581" w:rsidR="00704B6D" w:rsidRPr="001C11C8" w:rsidRDefault="001C11C8" w:rsidP="001C11C8">
                          <w:pPr>
                            <w:jc w:val="center"/>
                            <w:rPr>
                              <w:rFonts w:ascii="Arial Black" w:hAnsi="Arial Black"/>
                              <w:color w:val="000000"/>
                              <w:sz w:val="20"/>
                            </w:rPr>
                          </w:pPr>
                          <w:r w:rsidRPr="001C11C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85FC97F" id="_x0000_t202" coordsize="21600,21600" o:spt="202" path="m,l,21600r21600,l21600,xe">
              <v:stroke joinstyle="miter"/>
              <v:path gradientshapeok="t" o:connecttype="rect"/>
            </v:shapetype>
            <v:shape id="MSIPCMbdeb4973a24da0225d8b9827" o:spid="_x0000_s1028" type="#_x0000_t202" alt="{&quot;HashCode&quot;:-881919350,&quot;Height&quot;:9999999.0,&quot;Width&quot;:9999999.0,&quot;Placement&quot;:&quot;Footer&quot;,&quot;Index&quot;:&quot;FirstPage&quot;,&quot;Section&quot;:1,&quot;Top&quot;:0.0,&quot;Left&quot;:0.0}" style="position:absolute;left:0;text-align:left;margin-left:0;margin-top:0;width:612pt;height:39.55pt;z-index:25166848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GzgfG2uAgAAWQUAAA4AAAAAAAAA&#10;AAAAAAAALgIAAGRycy9lMm9Eb2MueG1sUEsBAi0AFAAGAAgAAAAhANg//TfbAAAABQEAAA8AAAAA&#10;AAAAAAAAAAAACAUAAGRycy9kb3ducmV2LnhtbFBLBQYAAAAABAAEAPMAAAAQBgAAAAA=&#10;" o:allowincell="f" filled="f" stroked="f" strokeweight=".5pt">
              <v:textbox inset=",0,,0">
                <w:txbxContent>
                  <w:p w14:paraId="0B4E6B6E" w14:textId="39174581" w:rsidR="00704B6D" w:rsidRPr="001C11C8" w:rsidRDefault="001C11C8" w:rsidP="001C11C8">
                    <w:pPr>
                      <w:jc w:val="center"/>
                      <w:rPr>
                        <w:rFonts w:ascii="Arial Black" w:hAnsi="Arial Black"/>
                        <w:color w:val="000000"/>
                        <w:sz w:val="20"/>
                      </w:rPr>
                    </w:pPr>
                    <w:r w:rsidRPr="001C11C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26F3A" w14:textId="77777777" w:rsidR="00663B3C" w:rsidRDefault="00663B3C">
      <w:r>
        <w:separator/>
      </w:r>
    </w:p>
  </w:footnote>
  <w:footnote w:type="continuationSeparator" w:id="0">
    <w:p w14:paraId="4C875E59" w14:textId="77777777" w:rsidR="00663B3C" w:rsidRDefault="00663B3C">
      <w:r>
        <w:continuationSeparator/>
      </w:r>
    </w:p>
  </w:footnote>
  <w:footnote w:type="continuationNotice" w:id="1">
    <w:p w14:paraId="01796FBC" w14:textId="77777777" w:rsidR="00663B3C" w:rsidRDefault="00663B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B84D" w14:textId="147CF861" w:rsidR="00563320" w:rsidRDefault="0056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228E" w14:textId="19516E6B" w:rsidR="00563320" w:rsidRDefault="00563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A194" w14:textId="5A1FE40F" w:rsidR="00AF7421" w:rsidRPr="00AF7421" w:rsidRDefault="00AF7421">
    <w:pPr>
      <w:pStyle w:val="Header"/>
      <w:rPr>
        <w:rFonts w:ascii="Consolas" w:hAnsi="Consolas"/>
        <w:b/>
        <w:caps/>
        <w:color w:val="BF8F00" w:themeColor="accent4" w:themeShade="B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BDF4" w14:textId="4A1C0C0E" w:rsidR="00884E8F" w:rsidRDefault="00884E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A085" w14:textId="310750B9" w:rsidR="00884E8F" w:rsidRDefault="00884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3B60" w14:textId="6405B5CB" w:rsidR="00884E8F" w:rsidRDefault="0088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10C8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201E7"/>
    <w:multiLevelType w:val="hybridMultilevel"/>
    <w:tmpl w:val="6A0CBA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436E91"/>
    <w:multiLevelType w:val="hybridMultilevel"/>
    <w:tmpl w:val="15DC00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4355BF"/>
    <w:multiLevelType w:val="hybridMultilevel"/>
    <w:tmpl w:val="92368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262D1B"/>
    <w:multiLevelType w:val="hybridMultilevel"/>
    <w:tmpl w:val="6016C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C7258"/>
    <w:multiLevelType w:val="hybridMultilevel"/>
    <w:tmpl w:val="B78E53D0"/>
    <w:lvl w:ilvl="0" w:tplc="2A569A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FC57C6"/>
    <w:multiLevelType w:val="hybridMultilevel"/>
    <w:tmpl w:val="00BC9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080B09"/>
    <w:multiLevelType w:val="hybridMultilevel"/>
    <w:tmpl w:val="373A02E4"/>
    <w:lvl w:ilvl="0" w:tplc="0C090015">
      <w:start w:val="1"/>
      <w:numFmt w:val="upperLetter"/>
      <w:lvlText w:val="%1."/>
      <w:lvlJc w:val="left"/>
      <w:pPr>
        <w:ind w:left="720" w:hanging="360"/>
      </w:pPr>
    </w:lvl>
    <w:lvl w:ilvl="1" w:tplc="2A569A24">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F52D47"/>
    <w:multiLevelType w:val="hybridMultilevel"/>
    <w:tmpl w:val="82662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682478"/>
    <w:multiLevelType w:val="hybridMultilevel"/>
    <w:tmpl w:val="7698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F14158"/>
    <w:multiLevelType w:val="hybridMultilevel"/>
    <w:tmpl w:val="1EE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050468"/>
    <w:multiLevelType w:val="hybridMultilevel"/>
    <w:tmpl w:val="90BE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D81335"/>
    <w:multiLevelType w:val="hybridMultilevel"/>
    <w:tmpl w:val="FF761E2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14"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7A50186A"/>
    <w:multiLevelType w:val="hybridMultilevel"/>
    <w:tmpl w:val="A80C71D6"/>
    <w:lvl w:ilvl="0" w:tplc="B18E36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0699E"/>
    <w:multiLevelType w:val="hybridMultilevel"/>
    <w:tmpl w:val="426804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5"/>
  </w:num>
  <w:num w:numId="4">
    <w:abstractNumId w:val="12"/>
  </w:num>
  <w:num w:numId="5">
    <w:abstractNumId w:val="7"/>
  </w:num>
  <w:num w:numId="6">
    <w:abstractNumId w:val="16"/>
  </w:num>
  <w:num w:numId="7">
    <w:abstractNumId w:val="2"/>
  </w:num>
  <w:num w:numId="8">
    <w:abstractNumId w:val="6"/>
  </w:num>
  <w:num w:numId="9">
    <w:abstractNumId w:val="4"/>
  </w:num>
  <w:num w:numId="10">
    <w:abstractNumId w:val="15"/>
  </w:num>
  <w:num w:numId="11">
    <w:abstractNumId w:val="9"/>
  </w:num>
  <w:num w:numId="12">
    <w:abstractNumId w:val="3"/>
  </w:num>
  <w:num w:numId="13">
    <w:abstractNumId w:val="0"/>
  </w:num>
  <w:num w:numId="14">
    <w:abstractNumId w:val="10"/>
  </w:num>
  <w:num w:numId="15">
    <w:abstractNumId w:val="1"/>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5F"/>
    <w:rsid w:val="00010497"/>
    <w:rsid w:val="00012A88"/>
    <w:rsid w:val="00015083"/>
    <w:rsid w:val="00015133"/>
    <w:rsid w:val="000153B1"/>
    <w:rsid w:val="00022D1C"/>
    <w:rsid w:val="000318FA"/>
    <w:rsid w:val="00041306"/>
    <w:rsid w:val="000549D4"/>
    <w:rsid w:val="00062B6F"/>
    <w:rsid w:val="000B4128"/>
    <w:rsid w:val="000D60CB"/>
    <w:rsid w:val="000E717A"/>
    <w:rsid w:val="00100A9D"/>
    <w:rsid w:val="00120944"/>
    <w:rsid w:val="00166C4E"/>
    <w:rsid w:val="00167B01"/>
    <w:rsid w:val="00173B67"/>
    <w:rsid w:val="00175957"/>
    <w:rsid w:val="001848E0"/>
    <w:rsid w:val="001A7103"/>
    <w:rsid w:val="001B5935"/>
    <w:rsid w:val="001C116F"/>
    <w:rsid w:val="001C11C8"/>
    <w:rsid w:val="001C1CD4"/>
    <w:rsid w:val="001C2F61"/>
    <w:rsid w:val="001D0774"/>
    <w:rsid w:val="001D2686"/>
    <w:rsid w:val="001F7891"/>
    <w:rsid w:val="00211684"/>
    <w:rsid w:val="00213D42"/>
    <w:rsid w:val="00253DBD"/>
    <w:rsid w:val="00254D0D"/>
    <w:rsid w:val="00263497"/>
    <w:rsid w:val="00267D7C"/>
    <w:rsid w:val="00291215"/>
    <w:rsid w:val="002B43AD"/>
    <w:rsid w:val="002C6C9B"/>
    <w:rsid w:val="002E193C"/>
    <w:rsid w:val="00310988"/>
    <w:rsid w:val="00311FA5"/>
    <w:rsid w:val="003120C3"/>
    <w:rsid w:val="00317953"/>
    <w:rsid w:val="00320DDD"/>
    <w:rsid w:val="003328F5"/>
    <w:rsid w:val="00342770"/>
    <w:rsid w:val="00342842"/>
    <w:rsid w:val="00355AA8"/>
    <w:rsid w:val="003923EE"/>
    <w:rsid w:val="003928DA"/>
    <w:rsid w:val="003C0664"/>
    <w:rsid w:val="003C22AE"/>
    <w:rsid w:val="003E650B"/>
    <w:rsid w:val="003E6E9A"/>
    <w:rsid w:val="00406599"/>
    <w:rsid w:val="00410699"/>
    <w:rsid w:val="004247E7"/>
    <w:rsid w:val="004266EB"/>
    <w:rsid w:val="0043135B"/>
    <w:rsid w:val="00463FE2"/>
    <w:rsid w:val="004775CD"/>
    <w:rsid w:val="004A565F"/>
    <w:rsid w:val="004D328E"/>
    <w:rsid w:val="004E2EB6"/>
    <w:rsid w:val="0052311F"/>
    <w:rsid w:val="00533344"/>
    <w:rsid w:val="00542160"/>
    <w:rsid w:val="005500E9"/>
    <w:rsid w:val="00553A7F"/>
    <w:rsid w:val="00563320"/>
    <w:rsid w:val="0056470F"/>
    <w:rsid w:val="0056754C"/>
    <w:rsid w:val="0057182F"/>
    <w:rsid w:val="005931E8"/>
    <w:rsid w:val="005C65E8"/>
    <w:rsid w:val="005C6B9F"/>
    <w:rsid w:val="005C6E84"/>
    <w:rsid w:val="005C771F"/>
    <w:rsid w:val="005E2CD9"/>
    <w:rsid w:val="005E2FE3"/>
    <w:rsid w:val="00612E47"/>
    <w:rsid w:val="0062638E"/>
    <w:rsid w:val="00626E42"/>
    <w:rsid w:val="00643074"/>
    <w:rsid w:val="006515C5"/>
    <w:rsid w:val="00663B3C"/>
    <w:rsid w:val="006A0DBD"/>
    <w:rsid w:val="006B6E73"/>
    <w:rsid w:val="006C1219"/>
    <w:rsid w:val="006C3B3F"/>
    <w:rsid w:val="00704B6D"/>
    <w:rsid w:val="00735262"/>
    <w:rsid w:val="00735B6E"/>
    <w:rsid w:val="00760634"/>
    <w:rsid w:val="007610E3"/>
    <w:rsid w:val="00763A3C"/>
    <w:rsid w:val="0077547B"/>
    <w:rsid w:val="00776487"/>
    <w:rsid w:val="0078528E"/>
    <w:rsid w:val="0079160F"/>
    <w:rsid w:val="007917F0"/>
    <w:rsid w:val="007A6BFE"/>
    <w:rsid w:val="007B0365"/>
    <w:rsid w:val="007B6EED"/>
    <w:rsid w:val="00823EFF"/>
    <w:rsid w:val="00824A50"/>
    <w:rsid w:val="008305F3"/>
    <w:rsid w:val="00832267"/>
    <w:rsid w:val="00834305"/>
    <w:rsid w:val="00834ED0"/>
    <w:rsid w:val="00864B03"/>
    <w:rsid w:val="00873003"/>
    <w:rsid w:val="00884E8F"/>
    <w:rsid w:val="00885E58"/>
    <w:rsid w:val="008A1B1D"/>
    <w:rsid w:val="008A59AF"/>
    <w:rsid w:val="008E27E6"/>
    <w:rsid w:val="008F1E25"/>
    <w:rsid w:val="00912757"/>
    <w:rsid w:val="00925820"/>
    <w:rsid w:val="009427F5"/>
    <w:rsid w:val="00993671"/>
    <w:rsid w:val="00996088"/>
    <w:rsid w:val="00997FDF"/>
    <w:rsid w:val="009B7E6D"/>
    <w:rsid w:val="009C2133"/>
    <w:rsid w:val="009C3443"/>
    <w:rsid w:val="00A06E8D"/>
    <w:rsid w:val="00A26484"/>
    <w:rsid w:val="00A56498"/>
    <w:rsid w:val="00A7101C"/>
    <w:rsid w:val="00A90B07"/>
    <w:rsid w:val="00AC338C"/>
    <w:rsid w:val="00AC4AB2"/>
    <w:rsid w:val="00AD411B"/>
    <w:rsid w:val="00AE06E5"/>
    <w:rsid w:val="00AE22B2"/>
    <w:rsid w:val="00AF1716"/>
    <w:rsid w:val="00AF7421"/>
    <w:rsid w:val="00B30FFE"/>
    <w:rsid w:val="00B3798C"/>
    <w:rsid w:val="00B44A1B"/>
    <w:rsid w:val="00B50981"/>
    <w:rsid w:val="00B50D82"/>
    <w:rsid w:val="00B6096A"/>
    <w:rsid w:val="00B738EC"/>
    <w:rsid w:val="00B96EB8"/>
    <w:rsid w:val="00BB5603"/>
    <w:rsid w:val="00BD4907"/>
    <w:rsid w:val="00BF0352"/>
    <w:rsid w:val="00BF140C"/>
    <w:rsid w:val="00BF3562"/>
    <w:rsid w:val="00C05D7A"/>
    <w:rsid w:val="00C144E1"/>
    <w:rsid w:val="00C160E1"/>
    <w:rsid w:val="00C3583A"/>
    <w:rsid w:val="00C359BD"/>
    <w:rsid w:val="00C54C12"/>
    <w:rsid w:val="00C67733"/>
    <w:rsid w:val="00C91B5F"/>
    <w:rsid w:val="00CB0091"/>
    <w:rsid w:val="00CC0F06"/>
    <w:rsid w:val="00CC16AA"/>
    <w:rsid w:val="00CD7362"/>
    <w:rsid w:val="00CE0490"/>
    <w:rsid w:val="00D25564"/>
    <w:rsid w:val="00D55CEA"/>
    <w:rsid w:val="00D60101"/>
    <w:rsid w:val="00D91EE0"/>
    <w:rsid w:val="00DB586F"/>
    <w:rsid w:val="00DC18D5"/>
    <w:rsid w:val="00DF513B"/>
    <w:rsid w:val="00E01786"/>
    <w:rsid w:val="00E278D2"/>
    <w:rsid w:val="00E42935"/>
    <w:rsid w:val="00E73337"/>
    <w:rsid w:val="00E750D8"/>
    <w:rsid w:val="00EA23B6"/>
    <w:rsid w:val="00EB1925"/>
    <w:rsid w:val="00EB55A8"/>
    <w:rsid w:val="00EC227D"/>
    <w:rsid w:val="00EC6BBC"/>
    <w:rsid w:val="00ED5BB0"/>
    <w:rsid w:val="00ED7CAA"/>
    <w:rsid w:val="00EF095B"/>
    <w:rsid w:val="00F10439"/>
    <w:rsid w:val="00F126F9"/>
    <w:rsid w:val="00F64F32"/>
    <w:rsid w:val="00F70C2F"/>
    <w:rsid w:val="00F77786"/>
    <w:rsid w:val="00F77AA5"/>
    <w:rsid w:val="00F80221"/>
    <w:rsid w:val="00F95D42"/>
    <w:rsid w:val="00F96700"/>
    <w:rsid w:val="00FA3014"/>
    <w:rsid w:val="00FB4FBD"/>
    <w:rsid w:val="00FB7ECF"/>
    <w:rsid w:val="00FD211E"/>
    <w:rsid w:val="00FD31D3"/>
    <w:rsid w:val="00FD7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029A3"/>
  <w15:chartTrackingRefBased/>
  <w15:docId w15:val="{9DFF7502-E5FE-4E11-B99E-E62EBCA1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1B5F"/>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C91B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C91B5F"/>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3C22AE"/>
    <w:rPr>
      <w:color w:val="0563C1" w:themeColor="hyperlink"/>
      <w:u w:val="single"/>
    </w:rPr>
  </w:style>
  <w:style w:type="character" w:styleId="CommentReference">
    <w:name w:val="annotation reference"/>
    <w:basedOn w:val="DefaultParagraphFont"/>
    <w:uiPriority w:val="99"/>
    <w:semiHidden/>
    <w:unhideWhenUsed/>
    <w:rsid w:val="00760634"/>
    <w:rPr>
      <w:sz w:val="16"/>
      <w:szCs w:val="16"/>
    </w:rPr>
  </w:style>
  <w:style w:type="paragraph" w:styleId="CommentText">
    <w:name w:val="annotation text"/>
    <w:basedOn w:val="Normal"/>
    <w:link w:val="CommentTextChar"/>
    <w:uiPriority w:val="99"/>
    <w:semiHidden/>
    <w:unhideWhenUsed/>
    <w:rsid w:val="00760634"/>
    <w:rPr>
      <w:sz w:val="20"/>
      <w:szCs w:val="20"/>
    </w:rPr>
  </w:style>
  <w:style w:type="character" w:customStyle="1" w:styleId="CommentTextChar">
    <w:name w:val="Comment Text Char"/>
    <w:basedOn w:val="DefaultParagraphFont"/>
    <w:link w:val="CommentText"/>
    <w:uiPriority w:val="99"/>
    <w:semiHidden/>
    <w:rsid w:val="00760634"/>
    <w:rPr>
      <w:sz w:val="20"/>
      <w:szCs w:val="20"/>
      <w:lang w:val="en-US"/>
    </w:rPr>
  </w:style>
  <w:style w:type="paragraph" w:styleId="CommentSubject">
    <w:name w:val="annotation subject"/>
    <w:basedOn w:val="CommentText"/>
    <w:next w:val="CommentText"/>
    <w:link w:val="CommentSubjectChar"/>
    <w:uiPriority w:val="99"/>
    <w:semiHidden/>
    <w:unhideWhenUsed/>
    <w:rsid w:val="00760634"/>
    <w:rPr>
      <w:b/>
      <w:bCs/>
    </w:rPr>
  </w:style>
  <w:style w:type="character" w:customStyle="1" w:styleId="CommentSubjectChar">
    <w:name w:val="Comment Subject Char"/>
    <w:basedOn w:val="CommentTextChar"/>
    <w:link w:val="CommentSubject"/>
    <w:uiPriority w:val="99"/>
    <w:semiHidden/>
    <w:rsid w:val="00760634"/>
    <w:rPr>
      <w:b/>
      <w:bCs/>
      <w:sz w:val="20"/>
      <w:szCs w:val="20"/>
      <w:lang w:val="en-US"/>
    </w:rPr>
  </w:style>
  <w:style w:type="paragraph" w:styleId="BalloonText">
    <w:name w:val="Balloon Text"/>
    <w:basedOn w:val="Normal"/>
    <w:link w:val="BalloonTextChar"/>
    <w:uiPriority w:val="99"/>
    <w:semiHidden/>
    <w:unhideWhenUsed/>
    <w:rsid w:val="00760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34"/>
    <w:rPr>
      <w:rFonts w:ascii="Segoe UI" w:hAnsi="Segoe UI" w:cs="Segoe UI"/>
      <w:sz w:val="18"/>
      <w:szCs w:val="18"/>
      <w:lang w:val="en-US"/>
    </w:rPr>
  </w:style>
  <w:style w:type="table" w:styleId="TableGrid">
    <w:name w:val="Table Grid"/>
    <w:basedOn w:val="TableNormal"/>
    <w:uiPriority w:val="39"/>
    <w:rsid w:val="00C05D7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227D"/>
    <w:pPr>
      <w:spacing w:after="0" w:line="240" w:lineRule="auto"/>
    </w:pPr>
    <w:rPr>
      <w:lang w:val="en-US"/>
    </w:rPr>
  </w:style>
  <w:style w:type="character" w:customStyle="1" w:styleId="ListParagraphChar">
    <w:name w:val="List Paragraph Char"/>
    <w:link w:val="ListParagraph"/>
    <w:uiPriority w:val="34"/>
    <w:rsid w:val="008A1B1D"/>
    <w:rPr>
      <w:lang w:val="en-US"/>
    </w:rPr>
  </w:style>
  <w:style w:type="paragraph" w:styleId="ListBullet">
    <w:name w:val="List Bullet"/>
    <w:basedOn w:val="Normal"/>
    <w:link w:val="ListBulletChar"/>
    <w:uiPriority w:val="99"/>
    <w:unhideWhenUsed/>
    <w:rsid w:val="00F77786"/>
    <w:pPr>
      <w:widowControl/>
      <w:numPr>
        <w:numId w:val="13"/>
      </w:numPr>
      <w:spacing w:after="200" w:line="276" w:lineRule="auto"/>
      <w:contextualSpacing/>
    </w:pPr>
    <w:rPr>
      <w:rFonts w:ascii="Calibri" w:eastAsia="Calibri" w:hAnsi="Calibri" w:cs="Times New Roman"/>
      <w:lang w:val="en-AU"/>
    </w:rPr>
  </w:style>
  <w:style w:type="character" w:customStyle="1" w:styleId="ListBulletChar">
    <w:name w:val="List Bullet Char"/>
    <w:link w:val="ListBullet"/>
    <w:uiPriority w:val="99"/>
    <w:rsid w:val="00F777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77350">
      <w:bodyDiv w:val="1"/>
      <w:marLeft w:val="0"/>
      <w:marRight w:val="0"/>
      <w:marTop w:val="0"/>
      <w:marBottom w:val="0"/>
      <w:divBdr>
        <w:top w:val="none" w:sz="0" w:space="0" w:color="auto"/>
        <w:left w:val="none" w:sz="0" w:space="0" w:color="auto"/>
        <w:bottom w:val="none" w:sz="0" w:space="0" w:color="auto"/>
        <w:right w:val="none" w:sz="0" w:space="0" w:color="auto"/>
      </w:divBdr>
    </w:div>
    <w:div w:id="18141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CDF45B49E80F24CAD80DFC012154DA9" ma:contentTypeVersion="39229" ma:contentTypeDescription=" " ma:contentTypeScope="" ma:versionID="9f6b0a37593812949ab9f2ffdee30815">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2de41cb074d60f016f2d6a24a4e6a081"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0f563589-9cf9-4143-b1eb-fb0534803d38">2021FG-64-96021</_dlc_DocId>
    <_dlc_DocIdUrl xmlns="0f563589-9cf9-4143-b1eb-fb0534803d38">
      <Url>http://tweb/sites/fg/csrd/_layouts/15/DocIdRedir.aspx?ID=2021FG-64-96021</Url>
      <Description>2021FG-64-96021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1A364907-1F1E-4F55-82C6-891826ACC084}"/>
</file>

<file path=customXml/itemProps2.xml><?xml version="1.0" encoding="utf-8"?>
<ds:datastoreItem xmlns:ds="http://schemas.openxmlformats.org/officeDocument/2006/customXml" ds:itemID="{FFD900B8-6070-407E-B433-89E316A15907}">
  <ds:schemaRefs>
    <ds:schemaRef ds:uri="http://purl.org/dc/elements/1.1/"/>
    <ds:schemaRef ds:uri="http://schemas.microsoft.com/office/2006/metadata/properties"/>
    <ds:schemaRef ds:uri="http://purl.org/dc/terms/"/>
    <ds:schemaRef ds:uri="31b2e4f9-c376-4e2f-bd2e-796d1bcd5746"/>
    <ds:schemaRef ds:uri="http://schemas.microsoft.com/office/infopath/2007/PartnerControls"/>
    <ds:schemaRef ds:uri="http://schemas.microsoft.com/office/2006/documentManagement/types"/>
    <ds:schemaRef ds:uri="http://schemas.openxmlformats.org/package/2006/metadata/core-properties"/>
    <ds:schemaRef ds:uri="7ee2ad8a-2b33-419f-875c-ac0e4cfc6b7f"/>
    <ds:schemaRef ds:uri="http://www.w3.org/XML/1998/namespace"/>
    <ds:schemaRef ds:uri="http://purl.org/dc/dcmitype/"/>
  </ds:schemaRefs>
</ds:datastoreItem>
</file>

<file path=customXml/itemProps3.xml><?xml version="1.0" encoding="utf-8"?>
<ds:datastoreItem xmlns:ds="http://schemas.openxmlformats.org/officeDocument/2006/customXml" ds:itemID="{766DFF39-B1A0-4D6A-871F-52A68E916238}">
  <ds:schemaRefs>
    <ds:schemaRef ds:uri="http://schemas.microsoft.com/sharepoint/v3/contenttype/forms"/>
  </ds:schemaRefs>
</ds:datastoreItem>
</file>

<file path=customXml/itemProps4.xml><?xml version="1.0" encoding="utf-8"?>
<ds:datastoreItem xmlns:ds="http://schemas.openxmlformats.org/officeDocument/2006/customXml" ds:itemID="{3F74560B-E7E7-4659-925C-27677EBAAD34}">
  <ds:schemaRefs>
    <ds:schemaRef ds:uri="http://schemas.openxmlformats.org/officeDocument/2006/bibliography"/>
  </ds:schemaRefs>
</ds:datastoreItem>
</file>

<file path=customXml/itemProps5.xml><?xml version="1.0" encoding="utf-8"?>
<ds:datastoreItem xmlns:ds="http://schemas.openxmlformats.org/officeDocument/2006/customXml" ds:itemID="{1B56DB5E-BA42-4ECB-B6EB-F6D4BDA4FB6C}"/>
</file>

<file path=customXml/itemProps6.xml><?xml version="1.0" encoding="utf-8"?>
<ds:datastoreItem xmlns:ds="http://schemas.openxmlformats.org/officeDocument/2006/customXml" ds:itemID="{50D51E6C-4751-4944-95E1-6F66B688D55A}"/>
</file>

<file path=customXml/itemProps7.xml><?xml version="1.0" encoding="utf-8"?>
<ds:datastoreItem xmlns:ds="http://schemas.openxmlformats.org/officeDocument/2006/customXml" ds:itemID="{5B48B996-FB96-4AAB-9A18-D49C2F83717C}"/>
</file>

<file path=docProps/app.xml><?xml version="1.0" encoding="utf-8"?>
<Properties xmlns="http://schemas.openxmlformats.org/officeDocument/2006/extended-properties" xmlns:vt="http://schemas.openxmlformats.org/officeDocument/2006/docPropsVTypes">
  <Template>Normal</Template>
  <TotalTime>4</TotalTime>
  <Pages>5</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Colleen</dc:creator>
  <cp:keywords/>
  <dc:description/>
  <cp:lastModifiedBy>Commonwealth</cp:lastModifiedBy>
  <cp:revision>5</cp:revision>
  <dcterms:created xsi:type="dcterms:W3CDTF">2021-05-17T00:09:00Z</dcterms:created>
  <dcterms:modified xsi:type="dcterms:W3CDTF">2021-05-24T05:09:00Z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0x010100348D01E61E107C4DA4B97E380EA20D47005CDF45B49E80F24CAD80DFC012154DA9</vt:lpwstr>
  </property>
  <property fmtid="{D5CDD505-2E9C-101B-9397-08002B2CF9AE}" pid="3" name="ESearchTags">
    <vt:lpwstr/>
  </property>
  <property fmtid="{D5CDD505-2E9C-101B-9397-08002B2CF9AE}" pid="4" name="HPRMSecurityLevel">
    <vt:lpwstr>32;#OFFICIAL|11463c70-78df-4e3b-b0ff-f66cd3cb26ec</vt:lpwstr>
  </property>
  <property fmtid="{D5CDD505-2E9C-101B-9397-08002B2CF9AE}" pid="5" name="HPRMSecurityCaveat">
    <vt:lpwstr/>
  </property>
  <property fmtid="{D5CDD505-2E9C-101B-9397-08002B2CF9AE}" pid="6" name="PMC.ESearch.TagGeneratedTime">
    <vt:lpwstr>2020-05-19T10:56:22</vt:lpwstr>
  </property>
  <property fmtid="{D5CDD505-2E9C-101B-9397-08002B2CF9AE}" pid="7" name="_dlc_DocIdItemGuid">
    <vt:lpwstr>f5bccdd5-67fe-4c5e-98f1-ed4d733f3010</vt:lpwstr>
  </property>
  <property fmtid="{D5CDD505-2E9C-101B-9397-08002B2CF9AE}" pid="8" name="TSYRecordClass">
    <vt:lpwstr>2;#TSY RA-8748 - Retain as national archives|243f2231-dbfc-4282-b24a-c9b768286bd0</vt:lpwstr>
  </property>
  <property fmtid="{D5CDD505-2E9C-101B-9397-08002B2CF9AE}" pid="9" name="RecordPoint_WorkflowType">
    <vt:lpwstr>ActiveSubmitStub</vt:lpwstr>
  </property>
  <property fmtid="{D5CDD505-2E9C-101B-9397-08002B2CF9AE}" pid="10" name="RecordPoint_ActiveItemListId">
    <vt:lpwstr>{4435c73b-6585-4bc2-a76a-5d21b1a02e06}</vt:lpwstr>
  </property>
  <property fmtid="{D5CDD505-2E9C-101B-9397-08002B2CF9AE}" pid="11" name="RecordPoint_ActiveItemUniqueId">
    <vt:lpwstr>{895cd986-2ad1-4aab-858d-3fce1696b7ae}</vt:lpwstr>
  </property>
  <property fmtid="{D5CDD505-2E9C-101B-9397-08002B2CF9AE}" pid="12" name="RecordPoint_ActiveItemWebId">
    <vt:lpwstr>{a4589788-615f-4b8b-8296-7f9f6dfbab44}</vt:lpwstr>
  </property>
  <property fmtid="{D5CDD505-2E9C-101B-9397-08002B2CF9AE}" pid="13" name="RecordPoint_ActiveItemSiteId">
    <vt:lpwstr>{a3a280d1-e8f1-4ce7-94f0-aaa2322da0dd}</vt:lpwstr>
  </property>
  <property fmtid="{D5CDD505-2E9C-101B-9397-08002B2CF9AE}" pid="14" name="RecordPoint_RecordNumberSubmitted">
    <vt:lpwstr>R0002275904</vt:lpwstr>
  </property>
  <property fmtid="{D5CDD505-2E9C-101B-9397-08002B2CF9AE}" pid="15" name="RecordPoint_SubmissionCompleted">
    <vt:lpwstr>2020-06-05T06:28:18.5863606+10:00</vt:lpwstr>
  </property>
  <property fmtid="{D5CDD505-2E9C-101B-9397-08002B2CF9AE}" pid="16" name="MSIP_Label_43e64453-338c-4f93-8a4d-0039a0a41f2a_Enabled">
    <vt:lpwstr>true</vt:lpwstr>
  </property>
  <property fmtid="{D5CDD505-2E9C-101B-9397-08002B2CF9AE}" pid="17" name="MSIP_Label_43e64453-338c-4f93-8a4d-0039a0a41f2a_SetDate">
    <vt:lpwstr>2021-05-14T07:05:53Z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b61f687c-3e5c-4ba2-9328-a44415021f39</vt:lpwstr>
  </property>
  <property fmtid="{D5CDD505-2E9C-101B-9397-08002B2CF9AE}" pid="22" name="MSIP_Label_43e64453-338c-4f93-8a4d-0039a0a41f2a_ContentBits">
    <vt:lpwstr>2</vt:lpwstr>
  </property>
</Properties>
</file>