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2B52" w14:textId="77777777" w:rsidR="00F51EC9" w:rsidRDefault="00F51EC9"/>
    <w:p w14:paraId="7D0562AE" w14:textId="21990D7A" w:rsidR="00C91B5F" w:rsidRPr="00F1227F" w:rsidRDefault="00317FB3" w:rsidP="00C91B5F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52A7986F" w14:textId="6CA9FD7A" w:rsidR="00C91B5F" w:rsidRPr="001E20F4" w:rsidRDefault="00006FBF" w:rsidP="00C91B5F">
      <w:pPr>
        <w:pStyle w:val="Title"/>
      </w:pPr>
      <w:r>
        <w:t>Murray</w:t>
      </w:r>
      <w:r w:rsidR="00B8635F">
        <w:t>–</w:t>
      </w:r>
      <w:r>
        <w:t xml:space="preserve">Darling Basin </w:t>
      </w:r>
      <w:r w:rsidR="00757C5A">
        <w:t xml:space="preserve">– Sustainable </w:t>
      </w:r>
      <w:r>
        <w:t>Communit</w:t>
      </w:r>
      <w:r w:rsidR="00757C5A">
        <w:t>ies</w:t>
      </w:r>
      <w:r w:rsidR="005478D9">
        <w:t xml:space="preserve"> </w:t>
      </w:r>
    </w:p>
    <w:p w14:paraId="028FB178" w14:textId="5BEC2D8A" w:rsidR="00C91B5F" w:rsidRPr="00BE249A" w:rsidRDefault="00D54783" w:rsidP="00C91B5F">
      <w:pPr>
        <w:pStyle w:val="Subtitle"/>
      </w:pPr>
      <w:r>
        <w:t xml:space="preserve">FEDERATION FUNDING AGREEMENT – </w:t>
      </w:r>
      <w:r w:rsidR="000F7E14">
        <w:t>ENVIRONMENT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C91B5F" w:rsidRPr="00F00A18" w14:paraId="2C1B1FCA" w14:textId="77777777" w:rsidTr="5FFAEF0B">
        <w:tc>
          <w:tcPr>
            <w:tcW w:w="9629" w:type="dxa"/>
            <w:gridSpan w:val="2"/>
            <w:shd w:val="clear" w:color="auto" w:fill="DEEAF6" w:themeFill="accent1" w:themeFillTint="33"/>
          </w:tcPr>
          <w:p w14:paraId="5D980595" w14:textId="77777777" w:rsidR="00C91B5F" w:rsidRPr="00F00A18" w:rsidRDefault="00C91B5F" w:rsidP="00EC6339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C91B5F" w:rsidRPr="00F00A18" w14:paraId="65A8E909" w14:textId="77777777" w:rsidTr="5FFAEF0B">
        <w:tc>
          <w:tcPr>
            <w:tcW w:w="1691" w:type="dxa"/>
            <w:shd w:val="clear" w:color="auto" w:fill="auto"/>
          </w:tcPr>
          <w:p w14:paraId="279F6020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Parties</w:t>
            </w:r>
          </w:p>
        </w:tc>
        <w:tc>
          <w:tcPr>
            <w:tcW w:w="7938" w:type="dxa"/>
            <w:shd w:val="clear" w:color="auto" w:fill="auto"/>
          </w:tcPr>
          <w:p w14:paraId="28377A00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Commonwealth</w:t>
            </w:r>
          </w:p>
          <w:p w14:paraId="73502BB0" w14:textId="3EB7338E" w:rsidR="00C91B5F" w:rsidRPr="00F00A18" w:rsidRDefault="00B9699A" w:rsidP="00EC6339">
            <w:pPr>
              <w:pStyle w:val="Tableformat"/>
              <w:rPr>
                <w:color w:val="auto"/>
              </w:rPr>
            </w:pPr>
            <w:r w:rsidRPr="00B9699A">
              <w:rPr>
                <w:color w:val="auto"/>
              </w:rPr>
              <w:t>New South Wales</w:t>
            </w:r>
          </w:p>
        </w:tc>
      </w:tr>
      <w:tr w:rsidR="00C91B5F" w:rsidRPr="00F00A18" w14:paraId="0789EB7E" w14:textId="77777777" w:rsidTr="5FFAEF0B">
        <w:tc>
          <w:tcPr>
            <w:tcW w:w="1691" w:type="dxa"/>
            <w:shd w:val="clear" w:color="auto" w:fill="auto"/>
          </w:tcPr>
          <w:p w14:paraId="1C00DFE7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Duration</w:t>
            </w:r>
          </w:p>
        </w:tc>
        <w:tc>
          <w:tcPr>
            <w:tcW w:w="7938" w:type="dxa"/>
            <w:shd w:val="clear" w:color="auto" w:fill="auto"/>
          </w:tcPr>
          <w:p w14:paraId="689A6E64" w14:textId="595DE1AF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 xml:space="preserve">This Schedule is expected to expire on </w:t>
            </w:r>
            <w:r w:rsidR="00F01354">
              <w:rPr>
                <w:color w:val="auto"/>
              </w:rPr>
              <w:t xml:space="preserve">30 June </w:t>
            </w:r>
            <w:r w:rsidR="2165109E" w:rsidRPr="675F0EF1">
              <w:rPr>
                <w:color w:val="auto"/>
              </w:rPr>
              <w:t>202</w:t>
            </w:r>
            <w:r w:rsidR="00F01354">
              <w:rPr>
                <w:color w:val="auto"/>
              </w:rPr>
              <w:t>8</w:t>
            </w:r>
            <w:r w:rsidRPr="675F0EF1">
              <w:rPr>
                <w:color w:val="auto"/>
              </w:rPr>
              <w:t>.</w:t>
            </w:r>
          </w:p>
        </w:tc>
      </w:tr>
      <w:tr w:rsidR="00C91B5F" w:rsidRPr="00F00A18" w14:paraId="516BC532" w14:textId="77777777" w:rsidTr="5FFAEF0B">
        <w:trPr>
          <w:trHeight w:val="1549"/>
        </w:trPr>
        <w:tc>
          <w:tcPr>
            <w:tcW w:w="1691" w:type="dxa"/>
            <w:shd w:val="clear" w:color="auto" w:fill="auto"/>
          </w:tcPr>
          <w:p w14:paraId="511BE93C" w14:textId="77777777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36CF7FEF" w14:textId="44E2AB05" w:rsidR="00084FC1" w:rsidRPr="00914F29" w:rsidRDefault="003944F6" w:rsidP="00CA0397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 xml:space="preserve">To provide funding to </w:t>
            </w:r>
            <w:r w:rsidR="00B9699A">
              <w:rPr>
                <w:color w:val="auto"/>
              </w:rPr>
              <w:t xml:space="preserve">New South Wales </w:t>
            </w:r>
            <w:r w:rsidR="00EB18FD">
              <w:rPr>
                <w:color w:val="auto"/>
              </w:rPr>
              <w:t xml:space="preserve">to </w:t>
            </w:r>
            <w:r w:rsidR="00BB41C8">
              <w:rPr>
                <w:color w:val="auto"/>
              </w:rPr>
              <w:t xml:space="preserve">develop and </w:t>
            </w:r>
            <w:r w:rsidR="00A71562" w:rsidRPr="00914F29">
              <w:rPr>
                <w:color w:val="auto"/>
              </w:rPr>
              <w:t xml:space="preserve">deliver </w:t>
            </w:r>
            <w:r w:rsidR="7E8E1B19">
              <w:rPr>
                <w:color w:val="auto"/>
              </w:rPr>
              <w:t>community adjustment</w:t>
            </w:r>
            <w:r w:rsidR="00302765">
              <w:rPr>
                <w:color w:val="auto"/>
              </w:rPr>
              <w:t xml:space="preserve"> </w:t>
            </w:r>
            <w:r w:rsidR="000744B8" w:rsidRPr="00914F29">
              <w:rPr>
                <w:color w:val="auto"/>
              </w:rPr>
              <w:t>assistance</w:t>
            </w:r>
            <w:r w:rsidR="00CA0397">
              <w:rPr>
                <w:color w:val="auto"/>
              </w:rPr>
              <w:t>,</w:t>
            </w:r>
            <w:r w:rsidR="00525940">
              <w:rPr>
                <w:color w:val="auto"/>
              </w:rPr>
              <w:t xml:space="preserve"> in line with the </w:t>
            </w:r>
            <w:r w:rsidR="00CA0397">
              <w:rPr>
                <w:color w:val="auto"/>
              </w:rPr>
              <w:t xml:space="preserve">principles at </w:t>
            </w:r>
            <w:r w:rsidR="00CA0397" w:rsidRPr="004F118C">
              <w:rPr>
                <w:b/>
                <w:bCs/>
                <w:color w:val="auto"/>
              </w:rPr>
              <w:t>Attachment A</w:t>
            </w:r>
            <w:r w:rsidR="00CA0397">
              <w:rPr>
                <w:color w:val="auto"/>
              </w:rPr>
              <w:t>,</w:t>
            </w:r>
            <w:r w:rsidR="000744B8" w:rsidRPr="00914F29">
              <w:rPr>
                <w:color w:val="auto"/>
              </w:rPr>
              <w:t xml:space="preserve"> to</w:t>
            </w:r>
            <w:r w:rsidR="00A47B7A">
              <w:rPr>
                <w:color w:val="auto"/>
              </w:rPr>
              <w:t xml:space="preserve"> </w:t>
            </w:r>
            <w:r w:rsidR="00D305C8" w:rsidRPr="00914F29">
              <w:rPr>
                <w:color w:val="auto"/>
              </w:rPr>
              <w:t xml:space="preserve">Murray-Darling Basin </w:t>
            </w:r>
            <w:r w:rsidR="000744B8" w:rsidRPr="00914F29">
              <w:rPr>
                <w:color w:val="auto"/>
              </w:rPr>
              <w:t xml:space="preserve">communities </w:t>
            </w:r>
            <w:r w:rsidR="00E76785">
              <w:rPr>
                <w:color w:val="auto"/>
              </w:rPr>
              <w:t xml:space="preserve">to </w:t>
            </w:r>
            <w:r w:rsidR="00C84685">
              <w:rPr>
                <w:color w:val="auto"/>
              </w:rPr>
              <w:t xml:space="preserve">minimise </w:t>
            </w:r>
            <w:r w:rsidR="00E76785">
              <w:rPr>
                <w:color w:val="auto"/>
              </w:rPr>
              <w:t xml:space="preserve">socio-economic impacts </w:t>
            </w:r>
            <w:r w:rsidR="00E76785" w:rsidRPr="00E76785">
              <w:rPr>
                <w:color w:val="auto"/>
              </w:rPr>
              <w:t>from</w:t>
            </w:r>
            <w:r w:rsidR="00E76785">
              <w:rPr>
                <w:color w:val="auto"/>
              </w:rPr>
              <w:t xml:space="preserve"> the recovery of </w:t>
            </w:r>
            <w:r w:rsidR="00482184" w:rsidRPr="00914F29">
              <w:rPr>
                <w:color w:val="auto"/>
              </w:rPr>
              <w:t xml:space="preserve">water </w:t>
            </w:r>
            <w:r w:rsidR="00122744">
              <w:rPr>
                <w:color w:val="auto"/>
              </w:rPr>
              <w:t>towards</w:t>
            </w:r>
            <w:r w:rsidR="00AE0C65" w:rsidRPr="00914F29">
              <w:rPr>
                <w:color w:val="auto"/>
              </w:rPr>
              <w:t xml:space="preserve"> </w:t>
            </w:r>
            <w:r w:rsidR="00AE0C65" w:rsidRPr="001E0777">
              <w:rPr>
                <w:color w:val="auto"/>
              </w:rPr>
              <w:t>the</w:t>
            </w:r>
            <w:r w:rsidR="00E76785">
              <w:rPr>
                <w:color w:val="auto"/>
              </w:rPr>
              <w:t xml:space="preserve"> 450 gigalitres of additional environmental water </w:t>
            </w:r>
            <w:r w:rsidR="00122744">
              <w:rPr>
                <w:color w:val="auto"/>
              </w:rPr>
              <w:t>under the</w:t>
            </w:r>
            <w:r w:rsidR="00E76785">
              <w:rPr>
                <w:color w:val="auto"/>
              </w:rPr>
              <w:t xml:space="preserve"> </w:t>
            </w:r>
            <w:r w:rsidR="00AE0C65" w:rsidRPr="001E0777">
              <w:rPr>
                <w:i/>
                <w:color w:val="auto"/>
              </w:rPr>
              <w:t>Murray-Darling Basin Pla</w:t>
            </w:r>
            <w:r w:rsidR="00F57AF5" w:rsidRPr="001E0777">
              <w:rPr>
                <w:i/>
                <w:iCs w:val="0"/>
                <w:color w:val="auto"/>
              </w:rPr>
              <w:t>n</w:t>
            </w:r>
            <w:r w:rsidR="00F57AF5" w:rsidRPr="001E0777">
              <w:rPr>
                <w:i/>
                <w:color w:val="auto"/>
              </w:rPr>
              <w:t xml:space="preserve"> 2012 (Cth</w:t>
            </w:r>
            <w:r w:rsidR="00F57AF5" w:rsidRPr="001E0777">
              <w:rPr>
                <w:color w:val="auto"/>
              </w:rPr>
              <w:t>) (Basin Plan)</w:t>
            </w:r>
            <w:r w:rsidR="00482184" w:rsidRPr="001E0777">
              <w:rPr>
                <w:color w:val="auto"/>
              </w:rPr>
              <w:t>.</w:t>
            </w:r>
            <w:r w:rsidR="00C3549A" w:rsidRPr="001E0777">
              <w:rPr>
                <w:color w:val="auto"/>
              </w:rPr>
              <w:t xml:space="preserve"> </w:t>
            </w:r>
          </w:p>
        </w:tc>
      </w:tr>
      <w:tr w:rsidR="00C91B5F" w:rsidRPr="00F00A18" w14:paraId="2C63A902" w14:textId="77777777" w:rsidTr="5FFAEF0B">
        <w:trPr>
          <w:trHeight w:val="4790"/>
        </w:trPr>
        <w:tc>
          <w:tcPr>
            <w:tcW w:w="1691" w:type="dxa"/>
            <w:shd w:val="clear" w:color="auto" w:fill="auto"/>
          </w:tcPr>
          <w:p w14:paraId="2E78F30B" w14:textId="0CBAB53A" w:rsidR="00C91B5F" w:rsidRPr="00F00A18" w:rsidRDefault="00C91B5F" w:rsidP="00EC6339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 xml:space="preserve">Estimated financial </w:t>
            </w:r>
            <w:r w:rsidRPr="4EDBEB33">
              <w:rPr>
                <w:color w:val="auto"/>
              </w:rPr>
              <w:t>contributions</w:t>
            </w:r>
          </w:p>
        </w:tc>
        <w:tc>
          <w:tcPr>
            <w:tcW w:w="7938" w:type="dxa"/>
            <w:shd w:val="clear" w:color="auto" w:fill="auto"/>
          </w:tcPr>
          <w:p w14:paraId="7110CBB4" w14:textId="7B68F322" w:rsidR="00C91B5F" w:rsidRPr="00914F29" w:rsidRDefault="0064121C" w:rsidP="00EC6339">
            <w:pPr>
              <w:pStyle w:val="Tableformat"/>
              <w:rPr>
                <w:color w:val="auto"/>
              </w:rPr>
            </w:pPr>
            <w:r w:rsidRPr="00914F29">
              <w:rPr>
                <w:noProof/>
                <w:color w:val="auto"/>
                <w:shd w:val="clear" w:color="auto" w:fill="E6E6E6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8EB322D" wp14:editId="2466AE4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755015</wp:posOffset>
                      </wp:positionV>
                      <wp:extent cx="5133340" cy="2185035"/>
                      <wp:effectExtent l="0" t="0" r="0" b="5715"/>
                      <wp:wrapSquare wrapText="bothSides"/>
                      <wp:docPr id="422" name="Text Box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2185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67"/>
                                    <w:gridCol w:w="931"/>
                                    <w:gridCol w:w="961"/>
                                    <w:gridCol w:w="939"/>
                                    <w:gridCol w:w="938"/>
                                    <w:gridCol w:w="1024"/>
                                  </w:tblGrid>
                                  <w:tr w:rsidR="00FE4D3C" w:rsidRPr="00101AB3" w14:paraId="533FE7BA" w14:textId="77777777" w:rsidTr="00FE4D3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9C865BD" w14:textId="4FDE1C9C" w:rsidR="00FE4D3C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6430D4A7" w14:textId="64CC398B" w:rsidR="00FE4D3C" w:rsidRPr="005D39DD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7642EA18" w14:textId="77777777" w:rsidR="00FE4D3C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C36474A" w14:textId="2D458150" w:rsidR="00FE4D3C" w:rsidRPr="005D39DD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F50A6EE" w14:textId="77777777" w:rsidR="00FE4D3C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959D74C" w14:textId="7424620A" w:rsidR="00FE4D3C" w:rsidRPr="005D39DD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653D223" w14:textId="77777777" w:rsidR="00FE4D3C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6A54A5D" w14:textId="32D21710" w:rsidR="00FE4D3C" w:rsidRPr="005D39DD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2026-27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3208B95B" w14:textId="77777777" w:rsidR="00FE4D3C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5E229DC3" w14:textId="40CB9D59" w:rsidR="00FE4D3C" w:rsidRPr="005D39DD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2027-28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4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E1B4A7A" w14:textId="77777777" w:rsidR="00FE4D3C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10B22B8" w14:textId="13BB93A1" w:rsidR="00FE4D3C" w:rsidRPr="005D39DD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FE4D3C" w:rsidRPr="00101AB3" w14:paraId="54AEFD11" w14:textId="77777777" w:rsidTr="00FE4D3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5A9A036" w14:textId="77777777" w:rsidR="00FE4D3C" w:rsidRPr="005D39DD" w:rsidRDefault="00FE4D3C" w:rsidP="00645F08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E57FE70" w14:textId="1541AC40" w:rsidR="00FE4D3C" w:rsidRPr="00FE4D3C" w:rsidRDefault="00FE4D3C" w:rsidP="00645F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5F0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8.1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40C8EE4C" w14:textId="1379C8AD" w:rsidR="00FE4D3C" w:rsidRPr="00FE4D3C" w:rsidRDefault="00FE4D3C" w:rsidP="00645F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5F0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48.1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776AAAC1" w14:textId="42145BE1" w:rsidR="00FE4D3C" w:rsidRPr="00FE4D3C" w:rsidRDefault="00FE4D3C" w:rsidP="00645F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5F0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64.2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225A373" w14:textId="2215A813" w:rsidR="00FE4D3C" w:rsidRPr="00FE4D3C" w:rsidRDefault="00FE4D3C" w:rsidP="00645F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5F0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55.6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4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8FC5E01" w14:textId="33DD9282" w:rsidR="00FE4D3C" w:rsidRPr="00FE4D3C" w:rsidRDefault="00FE4D3C" w:rsidP="00645F08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5F08"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176</w:t>
                                        </w:r>
                                        <w:r>
                                          <w:rPr>
                                            <w:bCs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FE4D3C" w:rsidRPr="00101AB3" w14:paraId="4D48DC1E" w14:textId="77777777" w:rsidTr="00FE4D3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067" w:type="dxa"/>
                                      </w:tcPr>
                                      <w:p w14:paraId="582F5190" w14:textId="77777777" w:rsidR="00FE4D3C" w:rsidRPr="0064121C" w:rsidRDefault="00FE4D3C" w:rsidP="00EC6339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1" w:type="dxa"/>
                                      </w:tcPr>
                                      <w:p w14:paraId="2DA59B4C" w14:textId="52D675F5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14:paraId="45438D93" w14:textId="02CF1265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4B9B0782" w14:textId="2035AA25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</w:tcPr>
                                      <w:p w14:paraId="157BEE88" w14:textId="69160A40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4" w:type="dxa"/>
                                      </w:tcPr>
                                      <w:p w14:paraId="4E7A84E3" w14:textId="278580E5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  <w:tr w:rsidR="00FE4D3C" w:rsidRPr="00101AB3" w14:paraId="07890F67" w14:textId="77777777" w:rsidTr="00FE4D3C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067" w:type="dxa"/>
                                      </w:tcPr>
                                      <w:p w14:paraId="7F315B10" w14:textId="021F9DD8" w:rsidR="00FE4D3C" w:rsidRPr="008C6B79" w:rsidRDefault="00FE4D3C" w:rsidP="00C704D2">
                                        <w:pPr>
                                          <w:pStyle w:val="ListParagraph"/>
                                          <w:keepNext/>
                                          <w:keepLines/>
                                          <w:widowControl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before="60" w:after="60"/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9699A"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  <w:t xml:space="preserve">New South </w:t>
                                        </w:r>
                                        <w:r>
                                          <w:rPr>
                                            <w:rFonts w:ascii="Corbel" w:hAnsi="Corbel"/>
                                            <w:sz w:val="21"/>
                                            <w:szCs w:val="21"/>
                                          </w:rPr>
                                          <w:t>Wales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1" w:type="dxa"/>
                                      </w:tcPr>
                                      <w:p w14:paraId="6B3D51AF" w14:textId="564A4224" w:rsidR="00FE4D3C" w:rsidRPr="00D20E4F" w:rsidRDefault="00FE4D3C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8.1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14:paraId="2A7397B8" w14:textId="10ACDB9F" w:rsidR="00FE4D3C" w:rsidRPr="00D20E4F" w:rsidRDefault="00FE4D3C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48.1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2F902C1C" w14:textId="7F2AA40D" w:rsidR="00FE4D3C" w:rsidRPr="00D20E4F" w:rsidRDefault="00FE4D3C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64.2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</w:tcPr>
                                      <w:p w14:paraId="48F905D6" w14:textId="566C8B9A" w:rsidR="00FE4D3C" w:rsidRPr="00D20E4F" w:rsidRDefault="00FE4D3C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55.6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4" w:type="dxa"/>
                                      </w:tcPr>
                                      <w:p w14:paraId="1461D084" w14:textId="1D348464" w:rsidR="00FE4D3C" w:rsidRPr="00D20E4F" w:rsidRDefault="00FE4D3C" w:rsidP="00C704D2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176.0</w:t>
                                        </w:r>
                                      </w:p>
                                    </w:tc>
                                  </w:tr>
                                  <w:tr w:rsidR="00FE4D3C" w:rsidRPr="00101AB3" w14:paraId="406CC52C" w14:textId="77777777" w:rsidTr="00FE4D3C">
                                    <w:trPr>
                                      <w:cantSplit/>
                                      <w:trHeight w:val="834"/>
                                    </w:trPr>
                                    <w:tc>
                                      <w:tcPr>
                                        <w:tcW w:w="206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DF3D17D" w14:textId="77777777" w:rsidR="00FE4D3C" w:rsidRPr="008C6B79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C6B79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1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CD6870F" w14:textId="61C914B1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D084961" w14:textId="1BE538D8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1F3DCB0" w14:textId="20F2CC43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3662C99" w14:textId="1C56A2EB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4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1C9A932" w14:textId="3F768198" w:rsidR="00FE4D3C" w:rsidRPr="00D20E4F" w:rsidRDefault="00FE4D3C" w:rsidP="00EC6339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20E4F">
                                          <w:rPr>
                                            <w:sz w:val="21"/>
                                            <w:szCs w:val="21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</w:tr>
                                </w:tbl>
                                <w:p w14:paraId="27D4F2F1" w14:textId="1D5718D3" w:rsidR="00C91B5F" w:rsidRPr="00101AB3" w:rsidRDefault="00C91B5F" w:rsidP="00AE3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B3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2" o:spid="_x0000_s1026" type="#_x0000_t202" style="position:absolute;margin-left:-4.9pt;margin-top:59.45pt;width:404.2pt;height:17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7"/>
                              <w:gridCol w:w="931"/>
                              <w:gridCol w:w="961"/>
                              <w:gridCol w:w="939"/>
                              <w:gridCol w:w="938"/>
                              <w:gridCol w:w="1024"/>
                            </w:tblGrid>
                            <w:tr w:rsidR="00FE4D3C" w:rsidRPr="00101AB3" w14:paraId="533FE7BA" w14:textId="77777777" w:rsidTr="00FE4D3C">
                              <w:trPr>
                                <w:cantSplit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9C865BD" w14:textId="4FDE1C9C" w:rsidR="00FE4D3C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6430D4A7" w14:textId="64CC398B" w:rsidR="00FE4D3C" w:rsidRPr="005D39DD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7642EA18" w14:textId="77777777" w:rsidR="00FE4D3C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36474A" w14:textId="2D458150" w:rsidR="00FE4D3C" w:rsidRPr="005D39DD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F50A6EE" w14:textId="77777777" w:rsidR="00FE4D3C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959D74C" w14:textId="7424620A" w:rsidR="00FE4D3C" w:rsidRPr="005D39DD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653D223" w14:textId="77777777" w:rsidR="00FE4D3C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6A54A5D" w14:textId="32D21710" w:rsidR="00FE4D3C" w:rsidRPr="005D39DD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2026-27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3208B95B" w14:textId="77777777" w:rsidR="00FE4D3C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E229DC3" w14:textId="40CB9D59" w:rsidR="00FE4D3C" w:rsidRPr="005D39DD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2027-28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E1B4A7A" w14:textId="77777777" w:rsidR="00FE4D3C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0B22B8" w14:textId="13BB93A1" w:rsidR="00FE4D3C" w:rsidRPr="005D39DD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FE4D3C" w:rsidRPr="00101AB3" w14:paraId="54AEFD11" w14:textId="77777777" w:rsidTr="00FE4D3C">
                              <w:trPr>
                                <w:cantSplit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5A9A036" w14:textId="77777777" w:rsidR="00FE4D3C" w:rsidRPr="005D39DD" w:rsidRDefault="00FE4D3C" w:rsidP="00645F08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E57FE70" w14:textId="1541AC40" w:rsidR="00FE4D3C" w:rsidRPr="00FE4D3C" w:rsidRDefault="00FE4D3C" w:rsidP="00645F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5F0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40C8EE4C" w14:textId="1379C8AD" w:rsidR="00FE4D3C" w:rsidRPr="00FE4D3C" w:rsidRDefault="00FE4D3C" w:rsidP="00645F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5F0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48.1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776AAAC1" w14:textId="42145BE1" w:rsidR="00FE4D3C" w:rsidRPr="00FE4D3C" w:rsidRDefault="00FE4D3C" w:rsidP="00645F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5F0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64.2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225A373" w14:textId="2215A813" w:rsidR="00FE4D3C" w:rsidRPr="00FE4D3C" w:rsidRDefault="00FE4D3C" w:rsidP="00645F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5F0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55.6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8FC5E01" w14:textId="33DD9282" w:rsidR="00FE4D3C" w:rsidRPr="00FE4D3C" w:rsidRDefault="00FE4D3C" w:rsidP="00645F08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645F08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176</w:t>
                                  </w:r>
                                  <w:r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FE4D3C" w:rsidRPr="00101AB3" w14:paraId="4D48DC1E" w14:textId="77777777" w:rsidTr="00FE4D3C">
                              <w:trPr>
                                <w:cantSplit/>
                              </w:trPr>
                              <w:tc>
                                <w:tcPr>
                                  <w:tcW w:w="2067" w:type="dxa"/>
                                </w:tcPr>
                                <w:p w14:paraId="582F5190" w14:textId="77777777" w:rsidR="00FE4D3C" w:rsidRPr="0064121C" w:rsidRDefault="00FE4D3C" w:rsidP="00EC6339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2DA59B4C" w14:textId="52D675F5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5438D93" w14:textId="02CF1265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B9B0782" w14:textId="2035AA25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57BEE88" w14:textId="69160A40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4E7A84E3" w14:textId="278580E5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E4D3C" w:rsidRPr="00101AB3" w14:paraId="07890F67" w14:textId="77777777" w:rsidTr="00FE4D3C">
                              <w:trPr>
                                <w:cantSplit/>
                              </w:trPr>
                              <w:tc>
                                <w:tcPr>
                                  <w:tcW w:w="2067" w:type="dxa"/>
                                </w:tcPr>
                                <w:p w14:paraId="7F315B10" w14:textId="021F9DD8" w:rsidR="00FE4D3C" w:rsidRPr="008C6B79" w:rsidRDefault="00FE4D3C" w:rsidP="00C704D2">
                                  <w:pPr>
                                    <w:pStyle w:val="ListParagraph"/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/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</w:pPr>
                                  <w:r w:rsidRPr="00B9699A"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  <w:t xml:space="preserve">New South </w:t>
                                  </w:r>
                                  <w:r>
                                    <w:rPr>
                                      <w:rFonts w:ascii="Corbel" w:hAnsi="Corbel"/>
                                      <w:sz w:val="21"/>
                                      <w:szCs w:val="21"/>
                                    </w:rPr>
                                    <w:t>Wales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B3D51AF" w14:textId="564A4224" w:rsidR="00FE4D3C" w:rsidRPr="00D20E4F" w:rsidRDefault="00FE4D3C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A7397B8" w14:textId="10ACDB9F" w:rsidR="00FE4D3C" w:rsidRPr="00D20E4F" w:rsidRDefault="00FE4D3C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48.1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F902C1C" w14:textId="7F2AA40D" w:rsidR="00FE4D3C" w:rsidRPr="00D20E4F" w:rsidRDefault="00FE4D3C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64.2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8F905D6" w14:textId="566C8B9A" w:rsidR="00FE4D3C" w:rsidRPr="00D20E4F" w:rsidRDefault="00FE4D3C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55.6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14:paraId="1461D084" w14:textId="1D348464" w:rsidR="00FE4D3C" w:rsidRPr="00D20E4F" w:rsidRDefault="00FE4D3C" w:rsidP="00C704D2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176.0</w:t>
                                  </w:r>
                                </w:p>
                              </w:tc>
                            </w:tr>
                            <w:tr w:rsidR="00FE4D3C" w:rsidRPr="00101AB3" w14:paraId="406CC52C" w14:textId="77777777" w:rsidTr="00FE4D3C">
                              <w:trPr>
                                <w:cantSplit/>
                                <w:trHeight w:val="834"/>
                              </w:trPr>
                              <w:tc>
                                <w:tcPr>
                                  <w:tcW w:w="206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DF3D17D" w14:textId="77777777" w:rsidR="00FE4D3C" w:rsidRPr="008C6B79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C6B79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CD6870F" w14:textId="61C914B1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D084961" w14:textId="1BE538D8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1F3DCB0" w14:textId="20F2CC43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3662C99" w14:textId="1C56A2EB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1C9A932" w14:textId="3F768198" w:rsidR="00FE4D3C" w:rsidRPr="00D20E4F" w:rsidRDefault="00FE4D3C" w:rsidP="00EC6339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20E4F">
                                    <w:rPr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7D4F2F1" w14:textId="1D5718D3" w:rsidR="00C91B5F" w:rsidRPr="00101AB3" w:rsidRDefault="00C91B5F" w:rsidP="00AE3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1B5F" w:rsidRPr="00914F29">
              <w:rPr>
                <w:color w:val="auto"/>
              </w:rPr>
              <w:t xml:space="preserve">The Commonwealth will provide an estimated total financial contribution to </w:t>
            </w:r>
            <w:r w:rsidR="00B9699A" w:rsidRPr="00B9699A">
              <w:rPr>
                <w:color w:val="auto"/>
              </w:rPr>
              <w:t xml:space="preserve">New South Wales </w:t>
            </w:r>
            <w:r w:rsidR="00C91B5F" w:rsidRPr="00914F29">
              <w:rPr>
                <w:color w:val="auto"/>
              </w:rPr>
              <w:t xml:space="preserve">of </w:t>
            </w:r>
            <w:r w:rsidR="57016276" w:rsidRPr="00914F29">
              <w:rPr>
                <w:color w:val="auto"/>
              </w:rPr>
              <w:t xml:space="preserve">up to </w:t>
            </w:r>
            <w:r w:rsidR="006E0D36">
              <w:rPr>
                <w:color w:val="auto"/>
              </w:rPr>
              <w:t>$</w:t>
            </w:r>
            <w:r w:rsidR="002237A3">
              <w:rPr>
                <w:color w:val="auto"/>
              </w:rPr>
              <w:t>176</w:t>
            </w:r>
            <w:r w:rsidR="001C1FE1" w:rsidRPr="00D20E4F">
              <w:rPr>
                <w:color w:val="auto"/>
              </w:rPr>
              <w:t xml:space="preserve"> </w:t>
            </w:r>
            <w:r w:rsidR="00C91B5F" w:rsidRPr="00D20E4F">
              <w:rPr>
                <w:color w:val="auto"/>
              </w:rPr>
              <w:t>m</w:t>
            </w:r>
            <w:r w:rsidR="001C1FE1" w:rsidRPr="00D20E4F">
              <w:rPr>
                <w:color w:val="auto"/>
              </w:rPr>
              <w:t>illion</w:t>
            </w:r>
            <w:r w:rsidR="1774397E" w:rsidRPr="00914F29">
              <w:rPr>
                <w:color w:val="auto"/>
              </w:rPr>
              <w:t xml:space="preserve"> </w:t>
            </w:r>
            <w:r w:rsidR="00C91B5F" w:rsidRPr="00914F29">
              <w:rPr>
                <w:color w:val="auto"/>
              </w:rPr>
              <w:t>in respect of this Schedule.</w:t>
            </w:r>
          </w:p>
        </w:tc>
      </w:tr>
      <w:tr w:rsidR="00C91B5F" w:rsidRPr="00D20E4F" w14:paraId="21E3D649" w14:textId="77777777" w:rsidTr="5FFAEF0B">
        <w:tc>
          <w:tcPr>
            <w:tcW w:w="1691" w:type="dxa"/>
            <w:shd w:val="clear" w:color="auto" w:fill="auto"/>
          </w:tcPr>
          <w:p w14:paraId="06578BDF" w14:textId="77777777" w:rsidR="00C91B5F" w:rsidRPr="00D20E4F" w:rsidRDefault="00C91B5F" w:rsidP="00EC6339">
            <w:pPr>
              <w:pStyle w:val="Tableformat"/>
              <w:rPr>
                <w:color w:val="auto"/>
              </w:rPr>
            </w:pPr>
            <w:r w:rsidRPr="00D20E4F">
              <w:rPr>
                <w:color w:val="auto"/>
              </w:rPr>
              <w:t xml:space="preserve">[Additional terms] </w:t>
            </w:r>
          </w:p>
        </w:tc>
        <w:tc>
          <w:tcPr>
            <w:tcW w:w="7938" w:type="dxa"/>
            <w:shd w:val="clear" w:color="auto" w:fill="auto"/>
          </w:tcPr>
          <w:p w14:paraId="3FAC6B1E" w14:textId="5E70D9E9" w:rsidR="005677F0" w:rsidRPr="00D20E4F" w:rsidRDefault="00B85811" w:rsidP="6BC620FB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A</w:t>
            </w:r>
            <w:r w:rsidR="004B16B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1945D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Steering Committee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, </w:t>
            </w:r>
            <w:r w:rsidR="00B4177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comprising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B4177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Commonwealth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and</w:t>
            </w:r>
            <w:r w:rsidR="00A47B7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B9699A"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New South Wales </w:t>
            </w:r>
            <w:r w:rsidR="0042724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officials will </w:t>
            </w:r>
            <w:r w:rsidR="00C422F1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be formed to </w:t>
            </w:r>
            <w:r w:rsidR="001011E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ensure </w:t>
            </w:r>
            <w:r w:rsidR="00971DB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alignment with the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program</w:t>
            </w:r>
            <w:r w:rsidR="00971DB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objectives and </w:t>
            </w:r>
            <w:r w:rsidR="00EC6D4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other implementation </w:t>
            </w:r>
            <w:r w:rsidR="00802A3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activities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under the</w:t>
            </w:r>
            <w:r w:rsidR="00A82C3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5677F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Basin Plan</w:t>
            </w:r>
            <w:r w:rsidR="00E058E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14AD049B" w14:textId="15E9AF28" w:rsidR="000D446F" w:rsidRPr="00D20E4F" w:rsidRDefault="000D446F" w:rsidP="009F681B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The Commonwealth will provide </w:t>
            </w:r>
            <w:r w:rsidR="00B9699A"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New South Wales </w:t>
            </w: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with</w:t>
            </w:r>
            <w:r w:rsidR="002456C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C933C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information about 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its</w:t>
            </w:r>
            <w:r w:rsidR="00967C8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3A2EF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approach to </w:t>
            </w:r>
            <w:r w:rsidR="002456C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water purchases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, any socio-economic impact analysis and any related information from consultation activities </w:t>
            </w:r>
            <w:r w:rsidR="00EC3F2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assist </w:t>
            </w:r>
            <w:r w:rsidR="00B9699A"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New South Wales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</w:t>
            </w:r>
            <w:r w:rsidR="00EC3F2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focus </w:t>
            </w:r>
            <w:r w:rsidR="00DD089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its </w:t>
            </w:r>
            <w:r w:rsidR="00967C8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program delivery</w:t>
            </w:r>
            <w:r w:rsidR="00EC3F2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4A5E07DC" w14:textId="5136351A" w:rsidR="00CE353F" w:rsidRPr="00D20E4F" w:rsidRDefault="00B9699A" w:rsidP="6C96BE3F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New South Wales 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will make total funding of </w:t>
            </w:r>
            <w:r w:rsidR="06A2F72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up to 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$</w:t>
            </w:r>
            <w:r w:rsidR="00FB2026">
              <w:rPr>
                <w:rStyle w:val="normaltextrun"/>
                <w:rFonts w:ascii="Corbel" w:hAnsi="Corbel" w:cs="Calibri"/>
                <w:sz w:val="26"/>
                <w:szCs w:val="26"/>
              </w:rPr>
              <w:t>160</w:t>
            </w:r>
            <w:r w:rsidR="00C93D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million available to Murray-Darling Basin communities</w:t>
            </w:r>
            <w:r w:rsidR="0037179E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over the life of the </w:t>
            </w:r>
            <w:r w:rsidR="009E7C4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Schedule</w:t>
            </w:r>
            <w:r w:rsidR="00CE35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  <w:r w:rsidR="00D24F5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</w:p>
          <w:p w14:paraId="4A0ADA55" w14:textId="3A4CCAA4" w:rsidR="00B33101" w:rsidRPr="00D20E4F" w:rsidRDefault="00B9699A" w:rsidP="0024294B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lastRenderedPageBreak/>
              <w:t xml:space="preserve">New South Wales </w:t>
            </w:r>
            <w:r w:rsidR="0033427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will be provided</w:t>
            </w:r>
            <w:r w:rsidR="00C61F5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7B3E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 further </w:t>
            </w:r>
            <w:r w:rsidR="00CE35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$</w:t>
            </w:r>
            <w:r w:rsidR="00FB2026">
              <w:rPr>
                <w:rStyle w:val="normaltextrun"/>
                <w:rFonts w:ascii="Corbel" w:hAnsi="Corbel" w:cs="Calibri"/>
                <w:sz w:val="26"/>
                <w:szCs w:val="26"/>
              </w:rPr>
              <w:t>16</w:t>
            </w:r>
            <w:r w:rsidR="00CE35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million</w:t>
            </w:r>
            <w:r w:rsidR="00C61F5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for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delivery costs including:</w:t>
            </w:r>
          </w:p>
          <w:p w14:paraId="1B446D55" w14:textId="7EED82E5" w:rsidR="009F681B" w:rsidRPr="00D20E4F" w:rsidRDefault="009F681B" w:rsidP="002A1B7E">
            <w:pPr>
              <w:pStyle w:val="paragraph"/>
              <w:numPr>
                <w:ilvl w:val="1"/>
                <w:numId w:val="14"/>
              </w:numPr>
              <w:spacing w:before="120" w:after="12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planning and administration costs including for consultation, delivery and reporting activities, and,</w:t>
            </w:r>
          </w:p>
          <w:p w14:paraId="2B232920" w14:textId="10CB736A" w:rsidR="009F681B" w:rsidRPr="00D20E4F" w:rsidRDefault="009F681B" w:rsidP="002A1B7E">
            <w:pPr>
              <w:pStyle w:val="paragraph"/>
              <w:numPr>
                <w:ilvl w:val="1"/>
                <w:numId w:val="14"/>
              </w:numPr>
              <w:spacing w:before="120" w:after="12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to facilitate regional, place-based engagement and support for communities and local government to identify and develop opportunities for integrated water recovery and / or community adjustment initiatives.</w:t>
            </w:r>
          </w:p>
          <w:p w14:paraId="2370A9A0" w14:textId="71C7A185" w:rsidR="00AE4DBE" w:rsidRPr="00D20E4F" w:rsidRDefault="00144CE1" w:rsidP="000B4E21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Program d</w:t>
            </w:r>
            <w:r w:rsidR="00784BD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esign</w:t>
            </w:r>
            <w:r w:rsidR="009C5ED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,</w:t>
            </w:r>
            <w:r w:rsidR="00784BD7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9C5ED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consultation, delivery and reporting </w:t>
            </w:r>
            <w:r w:rsidR="002B34ED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requirements</w:t>
            </w:r>
            <w:r w:rsidR="005F048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are outlined</w:t>
            </w:r>
            <w:r w:rsidR="00C36F6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at </w:t>
            </w:r>
            <w:r w:rsidR="00C36F60" w:rsidRPr="00D20E4F">
              <w:rPr>
                <w:rStyle w:val="normaltextrun"/>
                <w:rFonts w:ascii="Corbel" w:hAnsi="Corbel" w:cs="Calibri"/>
                <w:b/>
                <w:bCs/>
                <w:sz w:val="26"/>
                <w:szCs w:val="26"/>
              </w:rPr>
              <w:t>Attachment A</w:t>
            </w:r>
            <w:r w:rsidR="00C36F60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002C0072" w14:textId="39A30C61" w:rsidR="000F448F" w:rsidRPr="00D20E4F" w:rsidRDefault="00E94A6D" w:rsidP="4E9A5843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Commonwealth </w:t>
            </w:r>
            <w:r w:rsidR="00A52AE1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funding </w:t>
            </w:r>
            <w:r w:rsidR="007B3E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of $</w:t>
            </w:r>
            <w:r w:rsidR="00FB2026">
              <w:rPr>
                <w:rStyle w:val="normaltextrun"/>
                <w:rFonts w:ascii="Corbel" w:hAnsi="Corbel" w:cs="Calibri"/>
                <w:sz w:val="26"/>
                <w:szCs w:val="26"/>
              </w:rPr>
              <w:t>160</w:t>
            </w:r>
            <w:r w:rsidR="007B3E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million 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for communities </w:t>
            </w:r>
            <w:r w:rsidR="00A52AE1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is provided </w:t>
            </w:r>
            <w:r w:rsidR="006D23E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</w:t>
            </w:r>
            <w:r w:rsidR="00AA35D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invest in a combination </w:t>
            </w:r>
            <w:r w:rsidR="00CF46A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of:</w:t>
            </w:r>
          </w:p>
          <w:p w14:paraId="6BD580FE" w14:textId="720DFD9F" w:rsidR="00E45949" w:rsidRPr="00D20E4F" w:rsidRDefault="00DE2E3F" w:rsidP="6C96BE3F">
            <w:pPr>
              <w:pStyle w:val="paragraph"/>
              <w:numPr>
                <w:ilvl w:val="1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bookmarkStart w:id="0" w:name="_Hlk159922474"/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n</w:t>
            </w:r>
            <w:r w:rsidR="00AA35D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o-regrets 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investment</w:t>
            </w:r>
            <w:r w:rsidR="00AA35D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A63B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to </w:t>
            </w:r>
            <w:r w:rsidR="00E4594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support </w:t>
            </w:r>
            <w:r w:rsidR="00EF33B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Murray-Darling Basin</w:t>
            </w:r>
            <w:r w:rsidR="000B48B3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communities</w:t>
            </w:r>
            <w:r w:rsidR="00E45949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for transition to </w:t>
            </w:r>
            <w:r w:rsidR="00A63B4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 future with </w:t>
            </w:r>
            <w:r w:rsidR="00D716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less consumptive water</w:t>
            </w:r>
            <w:bookmarkEnd w:id="0"/>
            <w:r w:rsidR="5EBB357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,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and,</w:t>
            </w:r>
          </w:p>
          <w:p w14:paraId="2C3B869D" w14:textId="18F3FAD7" w:rsidR="1D0138F2" w:rsidRPr="00D20E4F" w:rsidRDefault="1D0138F2" w:rsidP="6C96BE3F">
            <w:pPr>
              <w:pStyle w:val="paragraph"/>
              <w:numPr>
                <w:ilvl w:val="1"/>
                <w:numId w:val="14"/>
              </w:numPr>
              <w:spacing w:before="120" w:beforeAutospacing="0" w:after="120" w:afterAutospacing="0"/>
              <w:rPr>
                <w:rStyle w:val="normaltextrun"/>
                <w:rFonts w:ascii="Corbel" w:hAnsi="Corbel" w:cs="Calibri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adjustment assistance </w:t>
            </w:r>
            <w:r w:rsidR="00724AE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integrated with water recovery programs (including Commonwealth water purchase) to mitigate </w:t>
            </w:r>
            <w:r w:rsidR="003F31BA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adverse </w:t>
            </w:r>
            <w:r w:rsidR="000F448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socioeconomic </w:t>
            </w: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impacts</w:t>
            </w:r>
            <w:r w:rsidR="00DB5BC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  <w:p w14:paraId="23CA776A" w14:textId="71160C9A" w:rsidR="00F052D5" w:rsidRPr="00D20E4F" w:rsidRDefault="00B9699A" w:rsidP="00AE38CD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New South Wales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will publish its Final Report 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as outlined at </w:t>
            </w:r>
            <w:r w:rsidR="009F681B" w:rsidRPr="00D20E4F">
              <w:rPr>
                <w:rStyle w:val="normaltextrun"/>
                <w:rFonts w:ascii="Corbel" w:hAnsi="Corbel" w:cs="Calibri"/>
                <w:b/>
                <w:bCs/>
                <w:sz w:val="26"/>
                <w:szCs w:val="26"/>
              </w:rPr>
              <w:t>Attachment A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AD229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no later than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6 months </w:t>
            </w:r>
            <w:r w:rsidR="009E689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after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the completion of this Schedule.</w:t>
            </w:r>
          </w:p>
          <w:p w14:paraId="30E44247" w14:textId="487D36F2" w:rsidR="003A1C01" w:rsidRPr="00D20E4F" w:rsidRDefault="0002517D" w:rsidP="00322536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T</w:t>
            </w:r>
            <w:r w:rsidR="009F681B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he 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Commonwealth reserve</w:t>
            </w:r>
            <w:r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</w:t>
            </w:r>
            <w:r w:rsidR="00F052D5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the right to publish all materials arising from this Schedule.</w:t>
            </w:r>
          </w:p>
          <w:p w14:paraId="679D8AD4" w14:textId="48B613C3" w:rsidR="005F5664" w:rsidRPr="00D20E4F" w:rsidRDefault="00B9699A" w:rsidP="00AE38CD">
            <w:pPr>
              <w:pStyle w:val="paragraph"/>
              <w:numPr>
                <w:ilvl w:val="0"/>
                <w:numId w:val="14"/>
              </w:numPr>
              <w:spacing w:before="120" w:beforeAutospacing="0" w:after="120" w:afterAutospacing="0"/>
              <w:textAlignment w:val="baseline"/>
              <w:rPr>
                <w:rStyle w:val="normaltextrun"/>
                <w:rFonts w:ascii="Corbel" w:hAnsi="Corbel" w:cs="Calibri"/>
                <w:sz w:val="26"/>
                <w:szCs w:val="26"/>
              </w:rPr>
            </w:pPr>
            <w:r w:rsidRPr="00B9699A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New South Wales 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and the Commonwealth may, b</w:t>
            </w:r>
            <w:r w:rsidR="00CD58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y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mutual agreement, </w:t>
            </w:r>
            <w:r w:rsidR="00322536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vary 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the </w:t>
            </w:r>
            <w:r w:rsidR="00D200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performance 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milestones and</w:t>
            </w:r>
            <w:r w:rsidR="00020662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associated</w:t>
            </w:r>
            <w:r w:rsidR="005F5664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</w:t>
            </w:r>
            <w:r w:rsidR="00D200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dates</w:t>
            </w:r>
            <w:r w:rsidR="00CD58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 xml:space="preserve"> in this </w:t>
            </w:r>
            <w:r w:rsidR="00312CAE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S</w:t>
            </w:r>
            <w:r w:rsidR="00CD583F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chedule</w:t>
            </w:r>
            <w:r w:rsidR="00D20008" w:rsidRPr="00D20E4F">
              <w:rPr>
                <w:rStyle w:val="normaltextrun"/>
                <w:rFonts w:ascii="Corbel" w:hAnsi="Corbel" w:cs="Calibri"/>
                <w:sz w:val="26"/>
                <w:szCs w:val="26"/>
              </w:rPr>
              <w:t>.</w:t>
            </w:r>
          </w:p>
        </w:tc>
      </w:tr>
    </w:tbl>
    <w:p w14:paraId="7815DEAE" w14:textId="37ED3E86" w:rsidR="5FFAEF0B" w:rsidRDefault="5FFAEF0B"/>
    <w:p w14:paraId="7417F48D" w14:textId="77777777" w:rsidR="00C91B5F" w:rsidRPr="00D20E4F" w:rsidRDefault="00C91B5F" w:rsidP="00C91B5F">
      <w:pPr>
        <w:sectPr w:rsidR="00C91B5F" w:rsidRPr="00D20E4F" w:rsidSect="00FD50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14"/>
        <w:gridCol w:w="1516"/>
        <w:gridCol w:w="852"/>
        <w:gridCol w:w="1586"/>
      </w:tblGrid>
      <w:tr w:rsidR="00500A68" w:rsidRPr="00D20E4F" w14:paraId="45D97D64" w14:textId="77777777" w:rsidTr="00FE4D3C">
        <w:trPr>
          <w:jc w:val="center"/>
        </w:trPr>
        <w:tc>
          <w:tcPr>
            <w:tcW w:w="1550" w:type="dxa"/>
            <w:shd w:val="clear" w:color="auto" w:fill="F2F2F2" w:themeFill="background1" w:themeFillShade="F2"/>
          </w:tcPr>
          <w:p w14:paraId="6C1996FB" w14:textId="7DC13418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lastRenderedPageBreak/>
              <w:t>Output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14:paraId="1B454D97" w14:textId="0127BA10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>Performance milestones</w:t>
            </w:r>
          </w:p>
        </w:tc>
        <w:tc>
          <w:tcPr>
            <w:tcW w:w="1516" w:type="dxa"/>
            <w:shd w:val="clear" w:color="auto" w:fill="F2F2F2" w:themeFill="background1" w:themeFillShade="F2"/>
          </w:tcPr>
          <w:p w14:paraId="4CBE64C9" w14:textId="7074E479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>Due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1704E8ED" w14:textId="73D7FC65" w:rsidR="00500A68" w:rsidRPr="00D20E4F" w:rsidRDefault="006E717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 xml:space="preserve">Pmt </w:t>
            </w:r>
            <w:r w:rsidR="00500A68" w:rsidRPr="00D20E4F">
              <w:rPr>
                <w:b/>
                <w:color w:val="auto"/>
              </w:rPr>
              <w:t>FY</w:t>
            </w:r>
            <w:r w:rsidR="00211E86" w:rsidRPr="00D20E4F">
              <w:rPr>
                <w:b/>
                <w:color w:val="auto"/>
              </w:rPr>
              <w:t xml:space="preserve"> 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3F2D3F12" w14:textId="1D21068C" w:rsidR="00500A68" w:rsidRPr="00D20E4F" w:rsidRDefault="00500A68" w:rsidP="00EC6339">
            <w:pPr>
              <w:pStyle w:val="Tableformat"/>
              <w:rPr>
                <w:b/>
                <w:color w:val="auto"/>
              </w:rPr>
            </w:pPr>
            <w:r w:rsidRPr="00D20E4F">
              <w:rPr>
                <w:b/>
                <w:color w:val="auto"/>
              </w:rPr>
              <w:t>Payment</w:t>
            </w:r>
          </w:p>
        </w:tc>
      </w:tr>
      <w:tr w:rsidR="00ED529C" w:rsidRPr="00D20E4F" w14:paraId="6D142D4F" w14:textId="77777777" w:rsidTr="00FE4D3C">
        <w:trPr>
          <w:jc w:val="center"/>
        </w:trPr>
        <w:tc>
          <w:tcPr>
            <w:tcW w:w="1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3D20C2A" w14:textId="77777777" w:rsidR="00ED529C" w:rsidRPr="00D20E4F" w:rsidRDefault="00ED529C" w:rsidP="00EC6339">
            <w:pPr>
              <w:pStyle w:val="Milestonetable"/>
              <w:rPr>
                <w:color w:val="auto"/>
              </w:rPr>
            </w:pP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95F697" w14:textId="2A72090D" w:rsidR="00ED529C" w:rsidRPr="00D20E4F" w:rsidRDefault="00ED529C" w:rsidP="00EC6339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Execution of Schedule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21C669" w14:textId="391DF4CF" w:rsidR="00ED529C" w:rsidRPr="008A76A3" w:rsidRDefault="00FB2026" w:rsidP="00EC6339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August </w:t>
            </w:r>
            <w:r w:rsidR="00ED529C" w:rsidRPr="008A76A3">
              <w:rPr>
                <w:color w:val="auto"/>
              </w:rPr>
              <w:t>2024</w:t>
            </w:r>
          </w:p>
        </w:tc>
        <w:tc>
          <w:tcPr>
            <w:tcW w:w="85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2A10BF5" w14:textId="77777777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  <w:r w:rsidRPr="008A76A3">
              <w:rPr>
                <w:color w:val="auto"/>
              </w:rPr>
              <w:t>2024-25</w:t>
            </w:r>
          </w:p>
          <w:p w14:paraId="6FB08807" w14:textId="49530C6D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C595E5" w14:textId="58EF6D4B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  <w:r w:rsidRPr="008A76A3">
              <w:rPr>
                <w:color w:val="auto"/>
              </w:rPr>
              <w:t>$8.1m</w:t>
            </w:r>
          </w:p>
        </w:tc>
      </w:tr>
      <w:tr w:rsidR="00ED529C" w:rsidRPr="00D20E4F" w14:paraId="30FE4439" w14:textId="77777777" w:rsidTr="00FE4D3C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14:paraId="73C2F808" w14:textId="0FF3C31C" w:rsidR="00ED529C" w:rsidRPr="00D20E4F" w:rsidRDefault="00ED529C" w:rsidP="002047B6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 xml:space="preserve">Program </w:t>
            </w:r>
            <w:r w:rsidRPr="00D20E4F">
              <w:rPr>
                <w:color w:val="000000" w:themeColor="text1"/>
              </w:rPr>
              <w:t>Design and Delivery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B23BFA" w14:textId="320DE425" w:rsidR="00ED529C" w:rsidRPr="00D20E4F" w:rsidRDefault="2BA35702" w:rsidP="00EC6339">
            <w:pPr>
              <w:pStyle w:val="Milestonetable"/>
              <w:rPr>
                <w:color w:val="auto"/>
              </w:rPr>
            </w:pPr>
            <w:r w:rsidRPr="5FFAEF0B">
              <w:rPr>
                <w:color w:val="auto"/>
              </w:rPr>
              <w:t>Commonwealth Approval of Implementation and Consultation Plan</w:t>
            </w:r>
            <w:r w:rsidR="716DB0DD" w:rsidRPr="5FFAEF0B">
              <w:rPr>
                <w:color w:val="auto"/>
              </w:rPr>
              <w:t>s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B39D0A" w14:textId="360657C5" w:rsidR="00ED529C" w:rsidRPr="008A76A3" w:rsidRDefault="00ED529C" w:rsidP="00EC6339">
            <w:pPr>
              <w:pStyle w:val="Milestonetable"/>
              <w:rPr>
                <w:color w:val="auto"/>
              </w:rPr>
            </w:pPr>
            <w:r w:rsidRPr="008A76A3">
              <w:rPr>
                <w:color w:val="auto"/>
              </w:rPr>
              <w:t>30 September 2024</w:t>
            </w:r>
          </w:p>
        </w:tc>
        <w:tc>
          <w:tcPr>
            <w:tcW w:w="852" w:type="dxa"/>
            <w:vMerge/>
          </w:tcPr>
          <w:p w14:paraId="369C83D1" w14:textId="77777777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auto"/>
          </w:tcPr>
          <w:p w14:paraId="2D79B415" w14:textId="158D75DE" w:rsidR="00ED529C" w:rsidRPr="008A76A3" w:rsidRDefault="00FE4D3C" w:rsidP="00EC6339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Nil</w:t>
            </w:r>
          </w:p>
        </w:tc>
      </w:tr>
      <w:tr w:rsidR="00ED529C" w:rsidRPr="00D20E4F" w14:paraId="02A510C6" w14:textId="77777777" w:rsidTr="00FE4D3C">
        <w:trPr>
          <w:jc w:val="center"/>
        </w:trPr>
        <w:tc>
          <w:tcPr>
            <w:tcW w:w="1550" w:type="dxa"/>
            <w:vMerge/>
            <w:vAlign w:val="center"/>
          </w:tcPr>
          <w:p w14:paraId="2D35D67A" w14:textId="71D733B3" w:rsidR="00ED529C" w:rsidRPr="00D20E4F" w:rsidRDefault="00ED529C" w:rsidP="002047B6">
            <w:pPr>
              <w:pStyle w:val="Milestonetable"/>
              <w:rPr>
                <w:color w:val="auto"/>
              </w:rPr>
            </w:pP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188FFC" w14:textId="1D749465" w:rsidR="00ED529C" w:rsidRPr="00D20E4F" w:rsidRDefault="00ED529C" w:rsidP="00AE38CD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Commonwealth Approval of </w:t>
            </w:r>
            <w:r w:rsidRPr="00D20E4F">
              <w:rPr>
                <w:color w:val="auto"/>
              </w:rPr>
              <w:t>Monitoring and Evaluation Plan detailed at Attachment A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5884A0" w14:textId="3397F71B" w:rsidR="00ED529C" w:rsidRPr="008A76A3" w:rsidRDefault="00ED529C" w:rsidP="00EC6339">
            <w:pPr>
              <w:pStyle w:val="Milestonetable"/>
              <w:rPr>
                <w:color w:val="auto"/>
              </w:rPr>
            </w:pPr>
            <w:r w:rsidRPr="008A76A3">
              <w:rPr>
                <w:color w:val="auto"/>
              </w:rPr>
              <w:t>31 December 2024</w:t>
            </w:r>
          </w:p>
        </w:tc>
        <w:tc>
          <w:tcPr>
            <w:tcW w:w="852" w:type="dxa"/>
            <w:vMerge/>
          </w:tcPr>
          <w:p w14:paraId="7F4020E6" w14:textId="3097A90E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E4ABF0" w14:textId="18734E69" w:rsidR="00ED529C" w:rsidRPr="008A76A3" w:rsidRDefault="00FE4D3C" w:rsidP="00EC6339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Nil</w:t>
            </w:r>
          </w:p>
        </w:tc>
      </w:tr>
      <w:tr w:rsidR="00ED529C" w:rsidRPr="00D20E4F" w14:paraId="187FB328" w14:textId="77777777" w:rsidTr="00FE4D3C">
        <w:trPr>
          <w:jc w:val="center"/>
        </w:trPr>
        <w:tc>
          <w:tcPr>
            <w:tcW w:w="1550" w:type="dxa"/>
            <w:vAlign w:val="center"/>
          </w:tcPr>
          <w:p w14:paraId="5E488BAB" w14:textId="74EAB1A2" w:rsidR="00ED529C" w:rsidRPr="00D20E4F" w:rsidRDefault="00ED529C" w:rsidP="002047B6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 xml:space="preserve">Program </w:t>
            </w:r>
            <w:r w:rsidR="001A5143">
              <w:rPr>
                <w:color w:val="auto"/>
              </w:rPr>
              <w:t>design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230BC5" w14:textId="2101643B" w:rsidR="00ED529C" w:rsidRPr="00D20E4F" w:rsidRDefault="00ED529C" w:rsidP="00EC6339">
            <w:pPr>
              <w:pStyle w:val="Milestonetable"/>
              <w:rPr>
                <w:color w:val="auto"/>
              </w:rPr>
            </w:pPr>
            <w:r w:rsidRPr="39291905">
              <w:rPr>
                <w:color w:val="auto"/>
              </w:rPr>
              <w:t>Commonwealth approval of early investment program</w:t>
            </w:r>
            <w:r w:rsidR="25672175" w:rsidRPr="39291905">
              <w:rPr>
                <w:color w:val="auto"/>
              </w:rPr>
              <w:t xml:space="preserve"> design</w:t>
            </w:r>
            <w:r w:rsidR="008A76A3" w:rsidRPr="39291905">
              <w:rPr>
                <w:color w:val="auto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B874693" w14:textId="4D6EECC5" w:rsidR="00ED529C" w:rsidRPr="008A76A3" w:rsidRDefault="00ED529C" w:rsidP="00EC6339">
            <w:pPr>
              <w:pStyle w:val="Milestonetable"/>
              <w:rPr>
                <w:color w:val="auto"/>
              </w:rPr>
            </w:pPr>
            <w:r w:rsidRPr="008A76A3">
              <w:rPr>
                <w:color w:val="auto"/>
              </w:rPr>
              <w:t>11 November 2024</w:t>
            </w:r>
          </w:p>
        </w:tc>
        <w:tc>
          <w:tcPr>
            <w:tcW w:w="852" w:type="dxa"/>
            <w:vMerge/>
          </w:tcPr>
          <w:p w14:paraId="0FAB7695" w14:textId="77777777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F0EB4D" w14:textId="0B6740CB" w:rsidR="00ED529C" w:rsidRPr="008A76A3" w:rsidRDefault="00FE4D3C" w:rsidP="00EC6339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Nil</w:t>
            </w:r>
          </w:p>
        </w:tc>
      </w:tr>
      <w:tr w:rsidR="00ED529C" w:rsidRPr="00D20E4F" w14:paraId="550F2538" w14:textId="77777777" w:rsidTr="00FE4D3C">
        <w:trPr>
          <w:jc w:val="center"/>
        </w:trPr>
        <w:tc>
          <w:tcPr>
            <w:tcW w:w="1550" w:type="dxa"/>
            <w:vAlign w:val="center"/>
          </w:tcPr>
          <w:p w14:paraId="6135BF28" w14:textId="6A2245C1" w:rsidR="00ED529C" w:rsidRPr="00D20E4F" w:rsidRDefault="00ED529C" w:rsidP="002047B6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 xml:space="preserve">Program Delivery 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F34170" w14:textId="0A2D1C97" w:rsidR="00ED529C" w:rsidRPr="00D20E4F" w:rsidRDefault="00ED529C" w:rsidP="00EC6339">
            <w:pPr>
              <w:pStyle w:val="Milestonetable"/>
              <w:rPr>
                <w:color w:val="auto"/>
              </w:rPr>
            </w:pPr>
            <w:r w:rsidRPr="39291905">
              <w:rPr>
                <w:color w:val="auto"/>
              </w:rPr>
              <w:t xml:space="preserve">NSW </w:t>
            </w:r>
            <w:r w:rsidR="368F768E" w:rsidRPr="39291905">
              <w:rPr>
                <w:color w:val="auto"/>
              </w:rPr>
              <w:t>commences</w:t>
            </w:r>
            <w:r w:rsidRPr="39291905">
              <w:rPr>
                <w:color w:val="auto"/>
              </w:rPr>
              <w:t xml:space="preserve"> program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2252B5" w14:textId="7FAE93A9" w:rsidR="00ED529C" w:rsidRPr="008A76A3" w:rsidRDefault="00ED529C" w:rsidP="00EC6339">
            <w:pPr>
              <w:pStyle w:val="Milestonetable"/>
              <w:rPr>
                <w:color w:val="auto"/>
              </w:rPr>
            </w:pPr>
            <w:r w:rsidRPr="008A76A3">
              <w:rPr>
                <w:color w:val="auto"/>
              </w:rPr>
              <w:t>18 November 2024</w:t>
            </w:r>
          </w:p>
        </w:tc>
        <w:tc>
          <w:tcPr>
            <w:tcW w:w="852" w:type="dxa"/>
            <w:vMerge/>
          </w:tcPr>
          <w:p w14:paraId="7FCBCE9B" w14:textId="08B7390F" w:rsidR="00ED529C" w:rsidRPr="008A76A3" w:rsidRDefault="00ED529C" w:rsidP="00EC6339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C1FCE1" w14:textId="1E4C924B" w:rsidR="00ED529C" w:rsidRPr="008A76A3" w:rsidRDefault="00FE4D3C" w:rsidP="00EC6339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Nil</w:t>
            </w:r>
          </w:p>
        </w:tc>
      </w:tr>
      <w:tr w:rsidR="008A76A3" w:rsidRPr="00D20E4F" w14:paraId="741775DC" w14:textId="77777777" w:rsidTr="00FE4D3C">
        <w:trPr>
          <w:jc w:val="center"/>
        </w:trPr>
        <w:tc>
          <w:tcPr>
            <w:tcW w:w="1550" w:type="dxa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</w:tcPr>
          <w:p w14:paraId="69832B5C" w14:textId="3DCFF993" w:rsidR="008A76A3" w:rsidRPr="00D20E4F" w:rsidRDefault="008A76A3" w:rsidP="008A76A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Program guidelines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44E536A" w14:textId="6EA65471" w:rsidR="008A76A3" w:rsidRPr="00D20E4F" w:rsidRDefault="008A76A3" w:rsidP="008A76A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Commonwealth approval of substantive investment program guidelines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E2FF5E" w14:textId="7E025D4C" w:rsidR="008A76A3" w:rsidRPr="00D20E4F" w:rsidRDefault="008A76A3" w:rsidP="008A76A3">
            <w:pPr>
              <w:pStyle w:val="Milestonetable"/>
              <w:rPr>
                <w:color w:val="auto"/>
              </w:rPr>
            </w:pPr>
            <w:r>
              <w:rPr>
                <w:color w:val="auto"/>
              </w:rPr>
              <w:t>30 June 2025</w:t>
            </w:r>
          </w:p>
        </w:tc>
        <w:tc>
          <w:tcPr>
            <w:tcW w:w="852" w:type="dxa"/>
            <w:vMerge/>
          </w:tcPr>
          <w:p w14:paraId="7BE6C95B" w14:textId="1EAC31BB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6BAEA3" w14:textId="578706B5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FE4D3C">
              <w:rPr>
                <w:color w:val="auto"/>
              </w:rPr>
              <w:t>il</w:t>
            </w:r>
          </w:p>
        </w:tc>
      </w:tr>
      <w:tr w:rsidR="008A76A3" w:rsidRPr="00D20E4F" w14:paraId="23DB27F3" w14:textId="77777777" w:rsidTr="00FE4D3C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4F81BD"/>
              <w:right w:val="single" w:sz="8" w:space="0" w:color="4F81BD"/>
            </w:tcBorders>
          </w:tcPr>
          <w:p w14:paraId="2F5C5A38" w14:textId="15B6A522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Reporting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FDD284" w14:textId="54847D97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Annual Progress Report 2024-25 (Attachment A) – Payment is for year 2 funding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81BFF6" w14:textId="79D2ECC2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31 October 2025</w:t>
            </w:r>
          </w:p>
        </w:tc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4AE0813" w14:textId="2BD1C5B0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2025-26</w:t>
            </w: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789439" w14:textId="2999CA7A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>
              <w:rPr>
                <w:color w:val="auto"/>
              </w:rPr>
              <w:t>48.1</w:t>
            </w:r>
            <w:r w:rsidRPr="00D20E4F">
              <w:rPr>
                <w:color w:val="auto"/>
              </w:rPr>
              <w:t>m</w:t>
            </w:r>
          </w:p>
        </w:tc>
      </w:tr>
      <w:tr w:rsidR="008A76A3" w:rsidRPr="00D20E4F" w14:paraId="2D923B21" w14:textId="77777777" w:rsidTr="00FE4D3C">
        <w:trPr>
          <w:jc w:val="center"/>
        </w:trPr>
        <w:tc>
          <w:tcPr>
            <w:tcW w:w="1550" w:type="dxa"/>
            <w:vMerge/>
          </w:tcPr>
          <w:p w14:paraId="4A35500F" w14:textId="77777777" w:rsidR="008A76A3" w:rsidRPr="00D20E4F" w:rsidRDefault="008A76A3" w:rsidP="008A76A3">
            <w:pPr>
              <w:pStyle w:val="Milestonetable"/>
              <w:rPr>
                <w:color w:val="auto"/>
              </w:rPr>
            </w:pP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837EA5" w14:textId="5EC8B075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Annual Progress Report 2025-26 (Attachment A) – Payment is for year 3 funding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9E4254" w14:textId="5AE073A0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31 October 2026</w:t>
            </w:r>
          </w:p>
        </w:tc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4DA70B5" w14:textId="41732B98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2026-27</w:t>
            </w: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6367CF" w14:textId="7C1C18F1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>
              <w:rPr>
                <w:color w:val="auto"/>
              </w:rPr>
              <w:t>64.2</w:t>
            </w:r>
            <w:r w:rsidRPr="00D20E4F">
              <w:rPr>
                <w:color w:val="auto"/>
              </w:rPr>
              <w:t>m</w:t>
            </w:r>
          </w:p>
        </w:tc>
      </w:tr>
      <w:tr w:rsidR="008A76A3" w:rsidRPr="00D20E4F" w14:paraId="5A9478F4" w14:textId="77777777" w:rsidTr="00FE4D3C">
        <w:trPr>
          <w:jc w:val="center"/>
        </w:trPr>
        <w:tc>
          <w:tcPr>
            <w:tcW w:w="1550" w:type="dxa"/>
            <w:vMerge/>
          </w:tcPr>
          <w:p w14:paraId="18399AF9" w14:textId="77777777" w:rsidR="008A76A3" w:rsidRPr="00D20E4F" w:rsidRDefault="008A76A3" w:rsidP="008A76A3">
            <w:pPr>
              <w:pStyle w:val="Milestonetable"/>
              <w:rPr>
                <w:color w:val="auto"/>
              </w:rPr>
            </w:pP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55047C" w14:textId="74F1DEAD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Annual Progress Report 2026-27 (Attachment A) – Payment is for year 4 funding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99EA88" w14:textId="1982E8F1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31 October 2027</w:t>
            </w:r>
          </w:p>
        </w:tc>
        <w:tc>
          <w:tcPr>
            <w:tcW w:w="85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2A55B154" w14:textId="77777777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2027-28</w:t>
            </w:r>
          </w:p>
          <w:p w14:paraId="6E1E4360" w14:textId="38EAAC42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C722F3" w14:textId="5CF5CF88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$</w:t>
            </w:r>
            <w:r>
              <w:rPr>
                <w:color w:val="auto"/>
              </w:rPr>
              <w:t>55.6</w:t>
            </w:r>
            <w:r w:rsidRPr="00D20E4F">
              <w:rPr>
                <w:color w:val="auto"/>
              </w:rPr>
              <w:t>m</w:t>
            </w:r>
          </w:p>
        </w:tc>
      </w:tr>
      <w:tr w:rsidR="008A76A3" w:rsidRPr="00D20E4F" w14:paraId="72AB2106" w14:textId="77777777" w:rsidTr="00FE4D3C">
        <w:trPr>
          <w:jc w:val="center"/>
        </w:trPr>
        <w:tc>
          <w:tcPr>
            <w:tcW w:w="155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37918B42" w14:textId="5D643DB1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Final Reporting</w:t>
            </w:r>
          </w:p>
        </w:tc>
        <w:tc>
          <w:tcPr>
            <w:tcW w:w="41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313F05" w14:textId="015F9557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Commonwealth Acceptance of Final Report &amp; Financial acquittal (Attachment A)</w:t>
            </w:r>
          </w:p>
        </w:tc>
        <w:tc>
          <w:tcPr>
            <w:tcW w:w="1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4B7444" w14:textId="3193AE08" w:rsidR="008A76A3" w:rsidRPr="00D20E4F" w:rsidRDefault="008A76A3" w:rsidP="008A76A3">
            <w:pPr>
              <w:pStyle w:val="Milestonetable"/>
              <w:rPr>
                <w:color w:val="auto"/>
              </w:rPr>
            </w:pPr>
            <w:r w:rsidRPr="00D20E4F">
              <w:rPr>
                <w:color w:val="auto"/>
              </w:rPr>
              <w:t>30 June 2028</w:t>
            </w:r>
          </w:p>
        </w:tc>
        <w:tc>
          <w:tcPr>
            <w:tcW w:w="852" w:type="dxa"/>
            <w:vMerge/>
          </w:tcPr>
          <w:p w14:paraId="4EBD8549" w14:textId="5AFCABBF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B81930" w14:textId="1A0BB8CE" w:rsidR="008A76A3" w:rsidRPr="00D20E4F" w:rsidRDefault="008A76A3" w:rsidP="008A76A3">
            <w:pPr>
              <w:pStyle w:val="Milestonetable"/>
              <w:jc w:val="right"/>
              <w:rPr>
                <w:color w:val="auto"/>
              </w:rPr>
            </w:pPr>
            <w:r w:rsidRPr="00D20E4F">
              <w:rPr>
                <w:color w:val="auto"/>
              </w:rPr>
              <w:t>Nil</w:t>
            </w:r>
          </w:p>
        </w:tc>
      </w:tr>
      <w:tr w:rsidR="008A76A3" w:rsidRPr="005F0488" w14:paraId="48367545" w14:textId="77777777" w:rsidTr="00FE4D3C">
        <w:trPr>
          <w:jc w:val="center"/>
        </w:trPr>
        <w:tc>
          <w:tcPr>
            <w:tcW w:w="8032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2ED26D9" w14:textId="19B2F14E" w:rsidR="008A76A3" w:rsidRPr="00D20E4F" w:rsidRDefault="008A76A3" w:rsidP="008A76A3">
            <w:pPr>
              <w:pStyle w:val="Milestonetable"/>
              <w:jc w:val="right"/>
              <w:rPr>
                <w:b/>
                <w:bCs/>
                <w:color w:val="auto"/>
              </w:rPr>
            </w:pPr>
            <w:r w:rsidRPr="00D20E4F">
              <w:rPr>
                <w:b/>
                <w:bCs/>
                <w:color w:val="auto"/>
              </w:rPr>
              <w:t>Total</w:t>
            </w:r>
          </w:p>
        </w:tc>
        <w:tc>
          <w:tcPr>
            <w:tcW w:w="1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175C23" w14:textId="0841F3A1" w:rsidR="008A76A3" w:rsidRPr="005F0488" w:rsidRDefault="008A76A3" w:rsidP="008A76A3">
            <w:pPr>
              <w:pStyle w:val="Milestonetable"/>
              <w:jc w:val="right"/>
              <w:rPr>
                <w:b/>
                <w:bCs/>
                <w:color w:val="auto"/>
              </w:rPr>
            </w:pPr>
            <w:r w:rsidRPr="00D20E4F">
              <w:rPr>
                <w:b/>
                <w:bCs/>
                <w:color w:val="auto"/>
              </w:rPr>
              <w:t>$</w:t>
            </w:r>
            <w:r w:rsidR="00FE4D3C">
              <w:rPr>
                <w:b/>
                <w:bCs/>
                <w:color w:val="auto"/>
              </w:rPr>
              <w:t>176.0</w:t>
            </w:r>
            <w:r w:rsidRPr="00D20E4F">
              <w:rPr>
                <w:b/>
                <w:bCs/>
                <w:color w:val="auto"/>
              </w:rPr>
              <w:t>m</w:t>
            </w:r>
          </w:p>
        </w:tc>
      </w:tr>
    </w:tbl>
    <w:p w14:paraId="3CA5FCAF" w14:textId="77777777" w:rsidR="00C91B5F" w:rsidRDefault="00C91B5F" w:rsidP="00C91B5F"/>
    <w:p w14:paraId="7245F9C3" w14:textId="77777777" w:rsidR="00C91B5F" w:rsidRDefault="00C91B5F" w:rsidP="00C91B5F">
      <w:pPr>
        <w:rPr>
          <w:lang w:val="en-GB"/>
        </w:rPr>
      </w:pPr>
      <w:r w:rsidRPr="00A50751">
        <w:rPr>
          <w:lang w:val="en-GB"/>
        </w:rPr>
        <w:t xml:space="preserve">The </w:t>
      </w:r>
      <w:r w:rsidRPr="00C57BB9">
        <w:rPr>
          <w:sz w:val="24"/>
          <w:szCs w:val="24"/>
        </w:rPr>
        <w:t>Parties</w:t>
      </w:r>
      <w:r w:rsidRPr="00A50751">
        <w:rPr>
          <w:lang w:val="en-GB"/>
        </w:rPr>
        <w:t xml:space="preserve"> have confirmed their commitment to this </w:t>
      </w:r>
      <w:r>
        <w:rPr>
          <w:lang w:val="en-GB"/>
        </w:rPr>
        <w:t>schedule</w:t>
      </w:r>
      <w:r w:rsidRPr="00A50751">
        <w:rPr>
          <w:lang w:val="en-GB"/>
        </w:rPr>
        <w:t xml:space="preserve"> as follows:</w:t>
      </w:r>
    </w:p>
    <w:p w14:paraId="018BB34B" w14:textId="77777777" w:rsidR="00C91B5F" w:rsidRDefault="00C91B5F" w:rsidP="00C91B5F">
      <w:pPr>
        <w:rPr>
          <w:lang w:val="en-GB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C91B5F" w:rsidRPr="00A50751" w14:paraId="6EDBD23D" w14:textId="77777777" w:rsidTr="00EC6339">
        <w:trPr>
          <w:cantSplit/>
          <w:jc w:val="center"/>
        </w:trPr>
        <w:tc>
          <w:tcPr>
            <w:tcW w:w="4536" w:type="dxa"/>
          </w:tcPr>
          <w:p w14:paraId="6769E4B0" w14:textId="77777777" w:rsidR="00C91B5F" w:rsidRPr="004A0AE7" w:rsidRDefault="00C91B5F" w:rsidP="00EC6339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 xml:space="preserve">Commonwealth of </w:t>
            </w:r>
            <w:smartTag w:uri="urn:schemas-microsoft-com:office:smarttags" w:element="country-region">
              <w:smartTag w:uri="urn:schemas-microsoft-com:office:smarttags" w:element="place">
                <w:r w:rsidRPr="004A0AE7">
                  <w:t>Australia</w:t>
                </w:r>
              </w:smartTag>
            </w:smartTag>
            <w:r w:rsidRPr="004A0AE7">
              <w:t xml:space="preserve"> by</w:t>
            </w:r>
          </w:p>
          <w:p w14:paraId="647726BA" w14:textId="77777777" w:rsidR="00C91B5F" w:rsidRPr="00A50751" w:rsidRDefault="00C91B5F" w:rsidP="00EC6339">
            <w:pPr>
              <w:pStyle w:val="LineForSignature"/>
            </w:pPr>
            <w:r>
              <w:br/>
            </w:r>
            <w:r>
              <w:tab/>
            </w:r>
          </w:p>
          <w:p w14:paraId="4A159D5D" w14:textId="359CB4FF" w:rsidR="00C91B5F" w:rsidRDefault="00C91B5F" w:rsidP="00EC6339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 xml:space="preserve">The Honourable </w:t>
            </w:r>
            <w:r w:rsidR="00FE4D3C">
              <w:rPr>
                <w:rStyle w:val="Bold"/>
              </w:rPr>
              <w:t>Tanya Plibersek</w:t>
            </w:r>
            <w:r>
              <w:rPr>
                <w:rStyle w:val="Bold"/>
              </w:rPr>
              <w:t xml:space="preserve"> MP</w:t>
            </w:r>
          </w:p>
          <w:p w14:paraId="3A42D2ED" w14:textId="29996B71" w:rsidR="00C91B5F" w:rsidRDefault="00C91B5F" w:rsidP="00EC6339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Minister for </w:t>
            </w:r>
            <w:r w:rsidR="00FE4D3C">
              <w:rPr>
                <w:lang w:val="en-GB"/>
              </w:rPr>
              <w:t>the Environment and Water</w:t>
            </w:r>
          </w:p>
          <w:p w14:paraId="30A29548" w14:textId="176785CC" w:rsidR="00C91B5F" w:rsidRDefault="00FE4D3C" w:rsidP="00EC6339">
            <w:pPr>
              <w:pStyle w:val="SingleParagraph"/>
              <w:tabs>
                <w:tab w:val="num" w:pos="1134"/>
              </w:tabs>
              <w:spacing w:after="240"/>
              <w:rPr>
                <w:b/>
                <w:lang w:val="en-GB"/>
              </w:rPr>
            </w:pPr>
            <w:r>
              <w:rPr>
                <w:lang w:val="en-GB"/>
              </w:rPr>
              <w:t>___/</w:t>
            </w:r>
            <w:r w:rsidR="005F0488">
              <w:rPr>
                <w:lang w:val="en-GB"/>
              </w:rPr>
              <w:t xml:space="preserve"> </w:t>
            </w:r>
            <w:r>
              <w:rPr>
                <w:lang w:val="en-GB"/>
              </w:rPr>
              <w:t>____/20___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845B40F" w14:textId="77777777" w:rsidR="00C91B5F" w:rsidRPr="00A50751" w:rsidRDefault="00C91B5F" w:rsidP="00EC6339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55199989" w14:textId="69E23FA2" w:rsidR="00C91B5F" w:rsidRPr="004A0AE7" w:rsidRDefault="00C91B5F" w:rsidP="00EC6339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  <w:t xml:space="preserve">State of </w:t>
            </w:r>
            <w:r w:rsidR="00B9699A" w:rsidRPr="00B9699A">
              <w:t xml:space="preserve">New South Wales </w:t>
            </w:r>
            <w:r w:rsidR="007A239F">
              <w:t>by</w:t>
            </w:r>
          </w:p>
          <w:p w14:paraId="522400CC" w14:textId="77777777" w:rsidR="00C91B5F" w:rsidRPr="00A50751" w:rsidRDefault="00C91B5F" w:rsidP="00EC6339">
            <w:pPr>
              <w:pStyle w:val="LineForSignature"/>
            </w:pPr>
            <w:r>
              <w:br/>
            </w:r>
            <w:r w:rsidRPr="00A50751">
              <w:tab/>
            </w:r>
          </w:p>
          <w:p w14:paraId="4A3F7EC1" w14:textId="5957F7B9" w:rsidR="00C91B5F" w:rsidRDefault="00C91B5F" w:rsidP="00EC6339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 xml:space="preserve">The Honourable </w:t>
            </w:r>
            <w:r w:rsidR="0049202A">
              <w:rPr>
                <w:rStyle w:val="Bold"/>
              </w:rPr>
              <w:t>Tara Moriarty</w:t>
            </w:r>
            <w:r>
              <w:rPr>
                <w:rStyle w:val="Bold"/>
              </w:rPr>
              <w:t xml:space="preserve"> </w:t>
            </w:r>
            <w:r w:rsidR="0049202A">
              <w:rPr>
                <w:rStyle w:val="Bold"/>
              </w:rPr>
              <w:t>MLC</w:t>
            </w:r>
          </w:p>
          <w:p w14:paraId="2FF38E28" w14:textId="7E166DCD" w:rsidR="00EB26A3" w:rsidRDefault="00EB26A3" w:rsidP="00EC6339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>Minister for Agriculture</w:t>
            </w:r>
          </w:p>
          <w:p w14:paraId="76C8E821" w14:textId="440932ED" w:rsidR="00EB26A3" w:rsidRDefault="00C91B5F" w:rsidP="00EC6339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Minister for </w:t>
            </w:r>
            <w:r w:rsidR="0049202A">
              <w:rPr>
                <w:lang w:val="en-GB"/>
              </w:rPr>
              <w:t>Regional N</w:t>
            </w:r>
            <w:r w:rsidR="00EB26A3">
              <w:rPr>
                <w:lang w:val="en-GB"/>
              </w:rPr>
              <w:t>ew South Wales</w:t>
            </w:r>
          </w:p>
          <w:p w14:paraId="00EE9A7E" w14:textId="0C2C6041" w:rsidR="00C91B5F" w:rsidRDefault="00EB26A3" w:rsidP="00EC6339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Minister for </w:t>
            </w:r>
            <w:r w:rsidR="00C91B5F">
              <w:rPr>
                <w:lang w:val="en-GB"/>
              </w:rPr>
              <w:t xml:space="preserve"> </w:t>
            </w:r>
            <w:r>
              <w:rPr>
                <w:lang w:val="en-GB"/>
              </w:rPr>
              <w:t>Western New South Wales</w:t>
            </w:r>
          </w:p>
          <w:p w14:paraId="5CA98839" w14:textId="7AE50A1B" w:rsidR="00C91B5F" w:rsidRPr="00A50751" w:rsidRDefault="0049202A" w:rsidP="00EC6339">
            <w:pPr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___/ ____/20___</w:t>
            </w:r>
          </w:p>
        </w:tc>
      </w:tr>
    </w:tbl>
    <w:p w14:paraId="78423B65" w14:textId="559DA61E" w:rsidR="00884E8F" w:rsidRDefault="00C91B5F" w:rsidP="00884E8F">
      <w:r>
        <w:rPr>
          <w:lang w:val="en-GB"/>
        </w:rPr>
        <w:t xml:space="preserve"> </w:t>
      </w:r>
    </w:p>
    <w:p w14:paraId="1FED8276" w14:textId="77777777" w:rsidR="00884E8F" w:rsidRPr="00F00A18" w:rsidRDefault="00884E8F" w:rsidP="00884E8F"/>
    <w:p w14:paraId="75B2AA94" w14:textId="77777777" w:rsidR="00884E8F" w:rsidRPr="00F00A18" w:rsidRDefault="00884E8F" w:rsidP="00884E8F">
      <w:pPr>
        <w:tabs>
          <w:tab w:val="left" w:pos="3865"/>
        </w:tabs>
        <w:sectPr w:rsidR="00884E8F" w:rsidRPr="00F00A18" w:rsidSect="00FD50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  <w:r w:rsidRPr="00F00A18">
        <w:tab/>
      </w:r>
    </w:p>
    <w:p w14:paraId="2E106EDF" w14:textId="18B4F43D" w:rsidR="00C91B5F" w:rsidRPr="00AE38CD" w:rsidRDefault="00E47BD0">
      <w:pPr>
        <w:rPr>
          <w:b/>
          <w:bCs/>
          <w:sz w:val="24"/>
          <w:szCs w:val="24"/>
        </w:rPr>
      </w:pPr>
      <w:r w:rsidRPr="00AE38CD">
        <w:rPr>
          <w:b/>
          <w:bCs/>
          <w:sz w:val="24"/>
          <w:szCs w:val="24"/>
        </w:rPr>
        <w:lastRenderedPageBreak/>
        <w:t>Attachment A</w:t>
      </w:r>
    </w:p>
    <w:p w14:paraId="2A989ED7" w14:textId="77777777" w:rsidR="00143C39" w:rsidRDefault="001442FF" w:rsidP="00143C39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hAnsi="Corbel"/>
          <w:b/>
          <w:bCs/>
          <w:i/>
          <w:iCs/>
          <w:sz w:val="26"/>
          <w:szCs w:val="26"/>
        </w:rPr>
      </w:pPr>
      <w:r w:rsidRPr="00A55AEA">
        <w:rPr>
          <w:rStyle w:val="normaltextrun"/>
          <w:rFonts w:ascii="Corbel" w:hAnsi="Corbel"/>
          <w:b/>
          <w:bCs/>
          <w:i/>
          <w:iCs/>
          <w:sz w:val="26"/>
          <w:szCs w:val="26"/>
        </w:rPr>
        <w:t>Principles</w:t>
      </w:r>
      <w:r w:rsidR="00846430">
        <w:rPr>
          <w:rStyle w:val="normaltextrun"/>
          <w:rFonts w:ascii="Corbel" w:hAnsi="Corbel"/>
          <w:b/>
          <w:bCs/>
          <w:i/>
          <w:iCs/>
          <w:sz w:val="26"/>
          <w:szCs w:val="26"/>
        </w:rPr>
        <w:t xml:space="preserve"> </w:t>
      </w:r>
    </w:p>
    <w:p w14:paraId="211592D0" w14:textId="62776AF8" w:rsidR="001442FF" w:rsidRPr="00E53067" w:rsidRDefault="00B9699A" w:rsidP="00143C39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hAnsi="Corbel"/>
          <w:sz w:val="26"/>
          <w:szCs w:val="26"/>
        </w:rPr>
      </w:pPr>
      <w:r w:rsidRPr="00B9699A">
        <w:rPr>
          <w:rStyle w:val="normaltextrun"/>
          <w:rFonts w:ascii="Corbel" w:hAnsi="Corbel" w:cs="Calibri"/>
          <w:sz w:val="26"/>
          <w:szCs w:val="26"/>
        </w:rPr>
        <w:t xml:space="preserve">New South Wales </w:t>
      </w:r>
      <w:r w:rsidR="001442FF" w:rsidRPr="00E53067">
        <w:rPr>
          <w:rStyle w:val="normaltextrun"/>
          <w:rFonts w:ascii="Corbel" w:hAnsi="Corbel" w:cs="Calibri"/>
          <w:sz w:val="26"/>
          <w:szCs w:val="26"/>
        </w:rPr>
        <w:t xml:space="preserve">will develop and deliver 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 xml:space="preserve">community adjustment assistance to Murray-Darling Basin communities to </w:t>
      </w:r>
      <w:r w:rsidR="002D3078">
        <w:rPr>
          <w:rStyle w:val="normaltextrun"/>
          <w:rFonts w:ascii="Corbel" w:hAnsi="Corbel" w:cs="Calibri"/>
          <w:sz w:val="26"/>
          <w:szCs w:val="26"/>
        </w:rPr>
        <w:t xml:space="preserve">minimise 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>socio-economic impacts from the recovery of water towards the 450 gigalitres of additional environmental water under the Murray-Darling Basin Plan 2012 (Cth) (Basin Plan)</w:t>
      </w:r>
      <w:r w:rsidR="001442FF" w:rsidRPr="00E53067">
        <w:rPr>
          <w:rStyle w:val="normaltextrun"/>
          <w:rFonts w:ascii="Corbel" w:hAnsi="Corbel" w:cs="Calibri"/>
          <w:sz w:val="26"/>
          <w:szCs w:val="26"/>
        </w:rPr>
        <w:t xml:space="preserve"> in accordance with the principles outlined below. </w:t>
      </w:r>
    </w:p>
    <w:p w14:paraId="53ADEFA2" w14:textId="43C102AD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Diversification </w:t>
      </w:r>
      <w:r w:rsidR="00E53067">
        <w:rPr>
          <w:rStyle w:val="normaltextrun"/>
          <w:rFonts w:ascii="Corbel" w:hAnsi="Corbel" w:cs="Calibri"/>
          <w:sz w:val="26"/>
          <w:szCs w:val="26"/>
        </w:rPr>
        <w:t>and Resilience</w:t>
      </w:r>
    </w:p>
    <w:p w14:paraId="6CE8ABF0" w14:textId="77777777" w:rsidR="00E53067" w:rsidRPr="00E53067" w:rsidRDefault="00E53067" w:rsidP="00E53067">
      <w:pPr>
        <w:pStyle w:val="ListParagraph"/>
        <w:numPr>
          <w:ilvl w:val="0"/>
          <w:numId w:val="12"/>
        </w:numPr>
        <w:rPr>
          <w:rStyle w:val="normaltextrun"/>
          <w:rFonts w:ascii="Corbel" w:eastAsia="Times New Roman" w:hAnsi="Corbel" w:cs="Calibri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 w:cs="Calibri"/>
          <w:sz w:val="26"/>
          <w:szCs w:val="26"/>
          <w:lang w:val="en-AU" w:eastAsia="en-AU"/>
        </w:rPr>
        <w:t>Support transition of regional communities to achieve a wide range of socio-economic outcomes.</w:t>
      </w:r>
    </w:p>
    <w:p w14:paraId="41A93201" w14:textId="17385C28" w:rsidR="00E53067" w:rsidRPr="00E53067" w:rsidRDefault="002D3078" w:rsidP="001442FF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orbel" w:hAnsi="Corbel" w:cs="Calibri"/>
          <w:sz w:val="26"/>
          <w:szCs w:val="26"/>
        </w:rPr>
        <w:t>Support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 xml:space="preserve"> jobs and sustainable economies in a future with less </w:t>
      </w:r>
      <w:r w:rsidR="00C9424E">
        <w:rPr>
          <w:rStyle w:val="normaltextrun"/>
          <w:rFonts w:ascii="Corbel" w:hAnsi="Corbel" w:cs="Calibri"/>
          <w:sz w:val="26"/>
          <w:szCs w:val="26"/>
        </w:rPr>
        <w:t xml:space="preserve">consumptive </w:t>
      </w:r>
      <w:r w:rsidR="00E53067" w:rsidRPr="00E53067">
        <w:rPr>
          <w:rStyle w:val="normaltextrun"/>
          <w:rFonts w:ascii="Corbel" w:hAnsi="Corbel" w:cs="Calibri"/>
          <w:sz w:val="26"/>
          <w:szCs w:val="26"/>
        </w:rPr>
        <w:t>water</w:t>
      </w:r>
      <w:r w:rsidR="00E8365D">
        <w:rPr>
          <w:rStyle w:val="normaltextrun"/>
          <w:rFonts w:ascii="Corbel" w:hAnsi="Corbel" w:cs="Calibri"/>
          <w:sz w:val="26"/>
          <w:szCs w:val="26"/>
        </w:rPr>
        <w:t>.</w:t>
      </w:r>
    </w:p>
    <w:p w14:paraId="479C9E55" w14:textId="77777777" w:rsidR="001442FF" w:rsidRPr="00914F29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14F29">
        <w:rPr>
          <w:rStyle w:val="normaltextrun"/>
          <w:rFonts w:ascii="Corbel" w:hAnsi="Corbel" w:cs="Calibri"/>
          <w:sz w:val="26"/>
          <w:szCs w:val="26"/>
        </w:rPr>
        <w:t>Place-based </w:t>
      </w:r>
    </w:p>
    <w:p w14:paraId="3A0F6427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Place based investment focused on communities within catchments impacted by the recovery of towards the 450 GL of water for the environment.</w:t>
      </w:r>
    </w:p>
    <w:p w14:paraId="7B8200FC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 xml:space="preserve">Engage local people as active participants in the development of adjustment measures. </w:t>
      </w:r>
    </w:p>
    <w:p w14:paraId="4E81D275" w14:textId="77777777" w:rsidR="001442FF" w:rsidRPr="00914F29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14F29">
        <w:rPr>
          <w:rStyle w:val="normaltextrun"/>
          <w:rFonts w:ascii="Corbel" w:hAnsi="Corbel" w:cs="Calibri"/>
          <w:sz w:val="26"/>
          <w:szCs w:val="26"/>
        </w:rPr>
        <w:t>Proportionality </w:t>
      </w:r>
    </w:p>
    <w:p w14:paraId="5664C212" w14:textId="2EEDB21F" w:rsidR="00E53067" w:rsidRPr="00E53067" w:rsidRDefault="00E53067" w:rsidP="006C0E9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orbel" w:hAnsi="Corbel"/>
          <w:sz w:val="26"/>
          <w:szCs w:val="26"/>
        </w:rPr>
      </w:pPr>
      <w:r>
        <w:rPr>
          <w:rStyle w:val="normaltextrun"/>
          <w:rFonts w:ascii="Corbel" w:hAnsi="Corbel" w:cs="Calibri"/>
          <w:sz w:val="26"/>
          <w:szCs w:val="26"/>
        </w:rPr>
        <w:t xml:space="preserve">Proportional investment into 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communities </w:t>
      </w:r>
      <w:r w:rsidR="00E8365D">
        <w:rPr>
          <w:rStyle w:val="normaltextrun"/>
          <w:rFonts w:ascii="Corbel" w:hAnsi="Corbel" w:cs="Calibri"/>
          <w:sz w:val="26"/>
          <w:szCs w:val="26"/>
        </w:rPr>
        <w:t xml:space="preserve">that </w:t>
      </w:r>
      <w:r w:rsidRPr="00E53067">
        <w:rPr>
          <w:rStyle w:val="normaltextrun"/>
          <w:rFonts w:ascii="Corbel" w:hAnsi="Corbel" w:cs="Calibri"/>
          <w:sz w:val="26"/>
          <w:szCs w:val="26"/>
        </w:rPr>
        <w:t>consider</w:t>
      </w:r>
      <w:r w:rsidR="00E8365D">
        <w:rPr>
          <w:rStyle w:val="normaltextrun"/>
          <w:rFonts w:ascii="Corbel" w:hAnsi="Corbel" w:cs="Calibri"/>
          <w:sz w:val="26"/>
          <w:szCs w:val="26"/>
        </w:rPr>
        <w:t>s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 the potential drivers of adverse impacts </w:t>
      </w:r>
      <w:r>
        <w:rPr>
          <w:rStyle w:val="normaltextrun"/>
          <w:rFonts w:ascii="Corbel" w:hAnsi="Corbel" w:cs="Calibri"/>
          <w:sz w:val="26"/>
          <w:szCs w:val="26"/>
        </w:rPr>
        <w:t>and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 </w:t>
      </w:r>
      <w:r w:rsidR="00544DAA">
        <w:rPr>
          <w:rStyle w:val="normaltextrun"/>
          <w:rFonts w:ascii="Corbel" w:hAnsi="Corbel" w:cs="Calibri"/>
          <w:sz w:val="26"/>
          <w:szCs w:val="26"/>
        </w:rPr>
        <w:t>anticipated or</w:t>
      </w:r>
      <w:r w:rsidRPr="00E53067">
        <w:rPr>
          <w:rStyle w:val="normaltextrun"/>
          <w:rFonts w:ascii="Corbel" w:hAnsi="Corbel" w:cs="Calibri"/>
          <w:sz w:val="26"/>
          <w:szCs w:val="26"/>
        </w:rPr>
        <w:t xml:space="preserve"> observed impacts from water recovery.</w:t>
      </w:r>
    </w:p>
    <w:p w14:paraId="24E35866" w14:textId="77777777" w:rsidR="001442FF" w:rsidRPr="00914F29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14F29">
        <w:rPr>
          <w:rStyle w:val="normaltextrun"/>
          <w:rFonts w:ascii="Corbel" w:hAnsi="Corbel" w:cs="Calibri"/>
          <w:sz w:val="26"/>
          <w:szCs w:val="26"/>
        </w:rPr>
        <w:t>Co-design </w:t>
      </w:r>
    </w:p>
    <w:p w14:paraId="730A6F84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Co-design across government.</w:t>
      </w:r>
    </w:p>
    <w:p w14:paraId="7264FCF5" w14:textId="6CA7C4E2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Consultation with communities, First Nations, local government</w:t>
      </w:r>
      <w:r w:rsidR="00E8365D">
        <w:rPr>
          <w:rStyle w:val="normaltextrun"/>
          <w:rFonts w:ascii="Corbel" w:hAnsi="Corbel"/>
          <w:sz w:val="26"/>
          <w:szCs w:val="26"/>
        </w:rPr>
        <w:t>,</w:t>
      </w:r>
      <w:r w:rsidRPr="00E53067">
        <w:rPr>
          <w:rStyle w:val="normaltextrun"/>
          <w:rFonts w:ascii="Corbel" w:hAnsi="Corbel"/>
          <w:sz w:val="26"/>
          <w:szCs w:val="26"/>
        </w:rPr>
        <w:t xml:space="preserve"> and regional industries.  </w:t>
      </w:r>
    </w:p>
    <w:p w14:paraId="6A0DB4CF" w14:textId="77777777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Strategic alignment </w:t>
      </w:r>
    </w:p>
    <w:p w14:paraId="27C9EB16" w14:textId="0C807932" w:rsidR="00E53067" w:rsidRPr="00E53067" w:rsidRDefault="00E53067" w:rsidP="00E53067">
      <w:pPr>
        <w:pStyle w:val="ListParagraph"/>
        <w:numPr>
          <w:ilvl w:val="0"/>
          <w:numId w:val="12"/>
        </w:numPr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>Consistent with the Commonwealth Regional Investment Framework</w:t>
      </w:r>
      <w:r w:rsidR="00304525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 xml:space="preserve"> and the National Agreement on Closing the Gap</w:t>
      </w:r>
      <w:r w:rsidRPr="00E53067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>.</w:t>
      </w:r>
    </w:p>
    <w:p w14:paraId="0C6F6245" w14:textId="77777777" w:rsidR="00E53067" w:rsidRPr="00E53067" w:rsidRDefault="00E53067" w:rsidP="00E53067">
      <w:pPr>
        <w:pStyle w:val="ListParagraph"/>
        <w:widowControl/>
        <w:numPr>
          <w:ilvl w:val="0"/>
          <w:numId w:val="12"/>
        </w:numPr>
        <w:rPr>
          <w:rStyle w:val="normaltextrun"/>
          <w:rFonts w:ascii="Corbel" w:eastAsia="Times New Roman" w:hAnsi="Corbel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/>
          <w:sz w:val="26"/>
          <w:szCs w:val="26"/>
          <w:lang w:val="en-AU" w:eastAsia="en-AU"/>
        </w:rPr>
        <w:t xml:space="preserve">Strategically aligned with regional priorities, including by supporting existing regional development plans and aligning with First Nations priorities, where possible. </w:t>
      </w:r>
    </w:p>
    <w:p w14:paraId="7EFBC48F" w14:textId="77777777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Transparency and integrity </w:t>
      </w:r>
    </w:p>
    <w:p w14:paraId="5186C07C" w14:textId="6C1134F8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Directed towards clear outcomes and objectives</w:t>
      </w:r>
      <w:r w:rsidR="00E8365D">
        <w:rPr>
          <w:rStyle w:val="normaltextrun"/>
          <w:rFonts w:ascii="Corbel" w:hAnsi="Corbel"/>
          <w:sz w:val="26"/>
          <w:szCs w:val="26"/>
        </w:rPr>
        <w:t>.</w:t>
      </w:r>
    </w:p>
    <w:p w14:paraId="39932DD6" w14:textId="6B29F9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t>Value for money</w:t>
      </w:r>
      <w:r w:rsidR="00E8365D">
        <w:rPr>
          <w:rStyle w:val="normaltextrun"/>
          <w:rFonts w:ascii="Corbel" w:hAnsi="Corbel"/>
          <w:sz w:val="26"/>
          <w:szCs w:val="26"/>
        </w:rPr>
        <w:t>.</w:t>
      </w:r>
    </w:p>
    <w:p w14:paraId="5E524DF2" w14:textId="77777777" w:rsidR="00E53067" w:rsidRPr="00E53067" w:rsidRDefault="00E53067" w:rsidP="00E53067">
      <w:pPr>
        <w:pStyle w:val="paragraph"/>
        <w:numPr>
          <w:ilvl w:val="0"/>
          <w:numId w:val="12"/>
        </w:numPr>
        <w:textAlignment w:val="baseline"/>
        <w:rPr>
          <w:rStyle w:val="normaltextrun"/>
          <w:rFonts w:ascii="Corbel" w:hAnsi="Corbel"/>
          <w:sz w:val="26"/>
          <w:szCs w:val="26"/>
        </w:rPr>
      </w:pPr>
      <w:r w:rsidRPr="00E53067">
        <w:rPr>
          <w:rStyle w:val="normaltextrun"/>
          <w:rFonts w:ascii="Corbel" w:hAnsi="Corbel"/>
          <w:sz w:val="26"/>
          <w:szCs w:val="26"/>
        </w:rPr>
        <w:lastRenderedPageBreak/>
        <w:t>Transparency through administration and evaluation.</w:t>
      </w:r>
    </w:p>
    <w:p w14:paraId="37DCEF26" w14:textId="77777777" w:rsidR="001442FF" w:rsidRPr="00983486" w:rsidRDefault="001442FF" w:rsidP="001442FF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hAnsi="Corbel" w:cs="Calibri"/>
          <w:sz w:val="26"/>
          <w:szCs w:val="26"/>
        </w:rPr>
      </w:pPr>
      <w:r w:rsidRPr="00983486">
        <w:rPr>
          <w:rStyle w:val="normaltextrun"/>
          <w:rFonts w:ascii="Corbel" w:hAnsi="Corbel" w:cs="Calibri"/>
          <w:sz w:val="26"/>
          <w:szCs w:val="26"/>
        </w:rPr>
        <w:t>Evidence-based </w:t>
      </w:r>
    </w:p>
    <w:p w14:paraId="34B23C1C" w14:textId="77777777" w:rsidR="00E53067" w:rsidRPr="00E53067" w:rsidRDefault="00E53067" w:rsidP="00E53067">
      <w:pPr>
        <w:pStyle w:val="ListParagraph"/>
        <w:numPr>
          <w:ilvl w:val="0"/>
          <w:numId w:val="12"/>
        </w:numPr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</w:pPr>
      <w:r w:rsidRPr="00E53067">
        <w:rPr>
          <w:rStyle w:val="normaltextrun"/>
          <w:rFonts w:ascii="Corbel" w:eastAsia="Times New Roman" w:hAnsi="Corbel" w:cs="Times New Roman"/>
          <w:sz w:val="26"/>
          <w:szCs w:val="26"/>
          <w:lang w:val="en-AU" w:eastAsia="en-AU"/>
        </w:rPr>
        <w:t>Underpinned by a transparent evidence base supported by multiple lines of inquiry.</w:t>
      </w:r>
    </w:p>
    <w:p w14:paraId="31CF4C4A" w14:textId="7882D736" w:rsidR="001442FF" w:rsidRPr="00983486" w:rsidRDefault="001442FF" w:rsidP="000F14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/>
          <w:sz w:val="26"/>
          <w:szCs w:val="26"/>
        </w:rPr>
      </w:pPr>
    </w:p>
    <w:p w14:paraId="3A942BD8" w14:textId="181FB06D" w:rsidR="004D28DF" w:rsidRPr="00914F29" w:rsidRDefault="004D28DF" w:rsidP="004D28D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b/>
          <w:i/>
          <w:sz w:val="26"/>
          <w:szCs w:val="26"/>
        </w:rPr>
      </w:pPr>
      <w:r w:rsidRPr="00D70426">
        <w:rPr>
          <w:rStyle w:val="normaltextrun"/>
          <w:rFonts w:ascii="Corbel" w:eastAsia="Segoe UI Semilight" w:hAnsi="Corbel" w:cstheme="minorBidi"/>
          <w:b/>
          <w:i/>
          <w:sz w:val="26"/>
          <w:szCs w:val="26"/>
        </w:rPr>
        <w:t>Consultation</w:t>
      </w:r>
    </w:p>
    <w:p w14:paraId="6AB1B4D6" w14:textId="66EAA75F" w:rsidR="00130FE5" w:rsidRPr="00914F29" w:rsidRDefault="00B9699A" w:rsidP="44ED761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1442FF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will develop a Consultation Plan to inform program design and development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4338BDCB" w14:textId="6CDB5941" w:rsidR="005B6AD6" w:rsidRDefault="005B6AD6" w:rsidP="00F052D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T</w:t>
      </w:r>
      <w:r w:rsidR="001442FF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he</w:t>
      </w:r>
      <w:r w:rsidR="00537944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Consultation Plan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F052D5"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d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etail how place-based consultations will occur in the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Murray-Darling Basin, including </w:t>
      </w:r>
      <w:r w:rsidR="00B81B9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(at a minimum)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the role</w:t>
      </w:r>
      <w:r w:rsidR="0000605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of 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local government</w:t>
      </w:r>
      <w:r w:rsidR="00FA5AF2">
        <w:rPr>
          <w:rStyle w:val="normaltextrun"/>
          <w:rFonts w:ascii="Corbel" w:eastAsia="Segoe UI Semilight" w:hAnsi="Corbel" w:cstheme="minorBidi"/>
          <w:sz w:val="26"/>
          <w:szCs w:val="26"/>
        </w:rPr>
        <w:t>s</w:t>
      </w:r>
      <w:r w:rsidR="00312D2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, key regional leaders, </w:t>
      </w:r>
      <w:r w:rsidR="00B81B9F">
        <w:rPr>
          <w:rStyle w:val="normaltextrun"/>
          <w:rFonts w:ascii="Corbel" w:eastAsia="Segoe UI Semilight" w:hAnsi="Corbel" w:cstheme="minorBidi"/>
          <w:sz w:val="26"/>
          <w:szCs w:val="26"/>
        </w:rPr>
        <w:t>community members, industry</w:t>
      </w:r>
      <w:r w:rsidR="00EB4E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representatives</w:t>
      </w:r>
      <w:r w:rsidR="00B81B9F">
        <w:rPr>
          <w:rStyle w:val="normaltextrun"/>
          <w:rFonts w:ascii="Corbel" w:eastAsia="Segoe UI Semilight" w:hAnsi="Corbel" w:cstheme="minorBidi"/>
          <w:sz w:val="26"/>
          <w:szCs w:val="26"/>
        </w:rPr>
        <w:t>, and First Nations groups in those consultations</w:t>
      </w:r>
      <w:r w:rsidRPr="4EDBEB33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35956235" w14:textId="032E7092" w:rsidR="00CB57C5" w:rsidRDefault="00B9699A" w:rsidP="005C2F7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1C3A2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provide insights and feedback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as they arise </w:t>
      </w:r>
      <w:r w:rsidR="001C3A23">
        <w:rPr>
          <w:rStyle w:val="normaltextrun"/>
          <w:rFonts w:ascii="Corbel" w:eastAsia="Segoe UI Semilight" w:hAnsi="Corbel" w:cstheme="minorBidi"/>
          <w:sz w:val="26"/>
          <w:szCs w:val="26"/>
        </w:rPr>
        <w:t>about</w:t>
      </w:r>
      <w:r w:rsidR="00371666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socioeconomic impacts</w:t>
      </w:r>
      <w:r w:rsidR="009E644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may provide</w:t>
      </w:r>
      <w:r w:rsidR="009E644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A5000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suggestions </w:t>
      </w:r>
      <w:r w:rsidR="009447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or ideas to </w:t>
      </w:r>
      <w:r w:rsidR="00A5000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improve the </w:t>
      </w:r>
      <w:r w:rsidR="0067154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implementation of </w:t>
      </w:r>
      <w:r w:rsidR="009447AF">
        <w:rPr>
          <w:rStyle w:val="normaltextrun"/>
          <w:rFonts w:ascii="Corbel" w:eastAsia="Segoe UI Semilight" w:hAnsi="Corbel" w:cstheme="minorBidi"/>
          <w:sz w:val="26"/>
          <w:szCs w:val="26"/>
        </w:rPr>
        <w:t>the 450 GL program</w:t>
      </w:r>
      <w:r w:rsidR="00161258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via the Steering Committee</w:t>
      </w:r>
      <w:r w:rsidR="00671547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7378DE8" w14:textId="095805EB" w:rsidR="00E00A83" w:rsidRDefault="00B9699A" w:rsidP="005C2F7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E00A83">
        <w:rPr>
          <w:rStyle w:val="normaltextrun"/>
          <w:rFonts w:ascii="Corbel" w:eastAsia="Segoe UI Semilight" w:hAnsi="Corbel" w:cstheme="minorBidi"/>
          <w:sz w:val="26"/>
          <w:szCs w:val="26"/>
        </w:rPr>
        <w:t>will advise the Commonwealth on the timing and location of consultations.</w:t>
      </w:r>
    </w:p>
    <w:p w14:paraId="46AF4A29" w14:textId="20351430" w:rsidR="00DD5E29" w:rsidRDefault="00DD5E29" w:rsidP="005C2F75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Commonwealth may also attend these forums to discuss Commonwealth water </w:t>
      </w:r>
      <w:r w:rsidR="006F064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recovery </w:t>
      </w: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>programs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, where mutually agreed</w:t>
      </w:r>
      <w:r w:rsidRPr="4E9A5843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0011508A" w14:textId="6B841696" w:rsidR="005B6AD6" w:rsidRPr="00914F29" w:rsidRDefault="005B6AD6" w:rsidP="005B6AD6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The Consultation Plan will include, at a minimum</w:t>
      </w:r>
      <w:r w:rsidR="00F052D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a description of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:</w:t>
      </w:r>
    </w:p>
    <w:p w14:paraId="4DB1E3F5" w14:textId="77777777" w:rsidR="00F052D5" w:rsidRPr="00914F29" w:rsidRDefault="00F052D5" w:rsidP="005B6AD6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The overall approach to consultation and engagement </w:t>
      </w:r>
    </w:p>
    <w:p w14:paraId="43D5DB29" w14:textId="7109104D" w:rsidR="00792EC7" w:rsidRDefault="00792EC7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792EC7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The roles and responsibilities of each party (Commonwealth and </w:t>
      </w:r>
      <w:r w:rsidR="00B9699A" w:rsidRPr="00B9699A">
        <w:rPr>
          <w:rStyle w:val="normaltextrun"/>
          <w:rFonts w:ascii="Corbel" w:eastAsia="Segoe UI Semilight" w:hAnsi="Corbel" w:cstheme="minorHAnsi"/>
          <w:sz w:val="26"/>
          <w:szCs w:val="26"/>
        </w:rPr>
        <w:t>New South Wales</w:t>
      </w:r>
      <w:r w:rsidRPr="00792EC7">
        <w:rPr>
          <w:rStyle w:val="normaltextrun"/>
          <w:rFonts w:ascii="Corbel" w:eastAsia="Segoe UI Semilight" w:hAnsi="Corbel" w:cstheme="minorHAnsi"/>
          <w:sz w:val="26"/>
          <w:szCs w:val="26"/>
        </w:rPr>
        <w:t>) with respect to consultation of community adjustment assistance under the 450 GL program.</w:t>
      </w:r>
    </w:p>
    <w:p w14:paraId="0C8414E9" w14:textId="62A3E004" w:rsidR="00F052D5" w:rsidRPr="00914F29" w:rsidRDefault="00F052D5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>T</w:t>
      </w:r>
      <w:r w:rsidR="005B6AD6"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he </w:t>
      </w:r>
      <w:r w:rsidR="001442FF"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>planned consultation activities</w:t>
      </w: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and the phasing of those activities</w:t>
      </w:r>
    </w:p>
    <w:p w14:paraId="7DEFF77E" w14:textId="59B9FF03" w:rsidR="005B6AD6" w:rsidRPr="00914F29" w:rsidRDefault="00F052D5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Which places and people </w:t>
      </w:r>
      <w:r w:rsidR="005B6AD6"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>will be targeted</w:t>
      </w:r>
      <w:r w:rsidRPr="00914F29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for consultation and when</w:t>
      </w:r>
    </w:p>
    <w:p w14:paraId="7219FB48" w14:textId="144168E2" w:rsidR="007902D2" w:rsidRPr="00D70426" w:rsidRDefault="007902D2" w:rsidP="00F052D5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How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522828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provide insights to the Commonwealth about community impacts</w:t>
      </w:r>
      <w:r w:rsidR="00FB508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water recovery opportunities</w:t>
      </w:r>
      <w:r w:rsidR="00CB1E9A">
        <w:rPr>
          <w:rStyle w:val="normaltextrun"/>
          <w:rFonts w:ascii="Corbel" w:eastAsia="Segoe UI Semilight" w:hAnsi="Corbel" w:cstheme="minorBidi"/>
          <w:sz w:val="26"/>
          <w:szCs w:val="26"/>
        </w:rPr>
        <w:t>, and</w:t>
      </w:r>
    </w:p>
    <w:p w14:paraId="08037A9D" w14:textId="4EABFCE6" w:rsidR="633052C0" w:rsidRDefault="633052C0">
      <w:pPr>
        <w:pStyle w:val="paragraph"/>
        <w:numPr>
          <w:ilvl w:val="1"/>
          <w:numId w:val="16"/>
        </w:numPr>
        <w:spacing w:before="120" w:beforeAutospacing="0" w:after="120" w:afterAutospacing="0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Reporting o</w:t>
      </w:r>
      <w:r w:rsidR="00D13E80">
        <w:rPr>
          <w:rStyle w:val="normaltextrun"/>
          <w:rFonts w:ascii="Corbel" w:eastAsia="Segoe UI Semilight" w:hAnsi="Corbel" w:cstheme="minorBidi"/>
          <w:sz w:val="26"/>
          <w:szCs w:val="26"/>
        </w:rPr>
        <w:t>n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consultation activities. </w:t>
      </w:r>
    </w:p>
    <w:p w14:paraId="7972429F" w14:textId="290D5122" w:rsidR="0015291D" w:rsidRPr="00F052D5" w:rsidRDefault="0015291D" w:rsidP="0015291D">
      <w:pPr>
        <w:pStyle w:val="paragraph"/>
        <w:spacing w:before="120" w:beforeAutospacing="0" w:after="120" w:afterAutospacing="0"/>
        <w:ind w:left="36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</w:p>
    <w:p w14:paraId="06B55E79" w14:textId="50343180" w:rsidR="000340BB" w:rsidRDefault="00273C65" w:rsidP="001442F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273C65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Implementation Plan</w:t>
      </w:r>
    </w:p>
    <w:p w14:paraId="18A15C11" w14:textId="083FCA96" w:rsidR="0012786B" w:rsidRDefault="00B9699A" w:rsidP="000340BB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0340BB" w:rsidRPr="000340BB">
        <w:rPr>
          <w:rStyle w:val="normaltextrun"/>
          <w:rFonts w:ascii="Corbel" w:eastAsia="Segoe UI Semilight" w:hAnsi="Corbel" w:cstheme="minorBidi"/>
          <w:sz w:val="26"/>
          <w:szCs w:val="26"/>
        </w:rPr>
        <w:t>w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ill develop an Implementation Plan for the development and delivery of community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adjustment assistance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>, which will</w:t>
      </w:r>
      <w:r w:rsidR="00513911">
        <w:rPr>
          <w:rStyle w:val="normaltextrun"/>
          <w:rFonts w:ascii="Corbel" w:eastAsia="Segoe UI Semilight" w:hAnsi="Corbel" w:cstheme="minorBidi"/>
          <w:sz w:val="26"/>
          <w:szCs w:val="26"/>
        </w:rPr>
        <w:t>,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at a minimum:</w:t>
      </w:r>
    </w:p>
    <w:p w14:paraId="3156F58E" w14:textId="05BE2979" w:rsidR="00513911" w:rsidRDefault="0012786B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Define</w:t>
      </w:r>
      <w:r w:rsidR="0051391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the p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rogram objectives</w:t>
      </w:r>
      <w:r w:rsidR="0051391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scope, aligned to the Principles and Focus Areas</w:t>
      </w:r>
    </w:p>
    <w:p w14:paraId="01D8E763" w14:textId="4BC08DF6" w:rsidR="0012786B" w:rsidRPr="00513911" w:rsidRDefault="00513911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lastRenderedPageBreak/>
        <w:t xml:space="preserve">Include project outcomes, </w:t>
      </w:r>
      <w:r w:rsidR="0012786B" w:rsidRPr="00513911">
        <w:rPr>
          <w:rStyle w:val="normaltextrun"/>
          <w:rFonts w:ascii="Corbel" w:eastAsia="Segoe UI Semilight" w:hAnsi="Corbel" w:cstheme="minorBidi"/>
          <w:sz w:val="26"/>
          <w:szCs w:val="26"/>
        </w:rPr>
        <w:t>milestones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deliverables</w:t>
      </w:r>
    </w:p>
    <w:p w14:paraId="5273736C" w14:textId="3097CB3D" w:rsidR="000340BB" w:rsidRDefault="00513911" w:rsidP="0012786B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Include r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>isks and mitigation strategies</w:t>
      </w:r>
    </w:p>
    <w:p w14:paraId="6DA809D1" w14:textId="676B23F4" w:rsidR="0012786B" w:rsidRDefault="00513911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Include a </w:t>
      </w:r>
      <w:r w:rsidR="0012786B">
        <w:rPr>
          <w:rStyle w:val="normaltextrun"/>
          <w:rFonts w:ascii="Corbel" w:eastAsia="Segoe UI Semilight" w:hAnsi="Corbel" w:cstheme="minorBidi"/>
          <w:sz w:val="26"/>
          <w:szCs w:val="26"/>
        </w:rPr>
        <w:t>Budget</w:t>
      </w:r>
    </w:p>
    <w:p w14:paraId="57AC7F4C" w14:textId="12A4A97F" w:rsidR="005D7CF4" w:rsidRDefault="005D7CF4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 w:rsidR="00B510E0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Commonwealth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861AA1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work with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and provide </w:t>
      </w:r>
      <w:r w:rsidR="007E3A37">
        <w:rPr>
          <w:rStyle w:val="normaltextrun"/>
          <w:rFonts w:ascii="Corbel" w:eastAsia="Segoe UI Semilight" w:hAnsi="Corbel" w:cstheme="minorBidi"/>
          <w:sz w:val="26"/>
          <w:szCs w:val="26"/>
        </w:rPr>
        <w:t>information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about </w:t>
      </w:r>
      <w:r w:rsidR="000005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water 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>purchase</w:t>
      </w:r>
      <w:r w:rsidR="007E3A3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0005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program </w:t>
      </w:r>
      <w:r w:rsidR="00807C0C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where possible (subject to commercial, probity, privacy and market sensitivities) </w:t>
      </w:r>
      <w:r w:rsidR="007E3A3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to assist in the design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and delivery of community adjustment assistance</w:t>
      </w:r>
      <w:r w:rsidR="003F156F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1EA4C67A" w14:textId="2DB44077" w:rsidR="00E00A83" w:rsidRDefault="00E00A83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Through the program Steering Committee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will consult with the Commonwealth on proposed projects and programs and provide regular updates.</w:t>
      </w:r>
    </w:p>
    <w:p w14:paraId="5BBFA6BC" w14:textId="4D29AC5C" w:rsidR="00E00A83" w:rsidRDefault="00B9699A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E00A83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consult the </w:t>
      </w:r>
      <w:r w:rsidR="00E00A83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>Commonwealth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on the dates </w:t>
      </w:r>
      <w:r w:rsidR="00E00A83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of any announcement 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of </w:t>
      </w:r>
      <w:r w:rsidR="00E00A83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>program or project funding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formally notify the Commonwealth at least one week ahead of announcement</w:t>
      </w:r>
      <w:r w:rsidR="00E00A83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94ABF29" w14:textId="53B5B061" w:rsidR="00E00A83" w:rsidRDefault="00E00A83" w:rsidP="005D7CF4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All funding announcements 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and signage </w:t>
      </w:r>
      <w:r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>be joint announcements</w:t>
      </w:r>
      <w:r w:rsidR="00485FFD">
        <w:rPr>
          <w:rStyle w:val="normaltextrun"/>
          <w:rFonts w:ascii="Corbel" w:eastAsia="Segoe UI Semilight" w:hAnsi="Corbel" w:cstheme="minorBidi"/>
          <w:sz w:val="26"/>
          <w:szCs w:val="26"/>
        </w:rPr>
        <w:t>, unless otherwise agreed,</w:t>
      </w:r>
      <w:r w:rsidR="006A01C6"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</w:t>
      </w:r>
      <w:r w:rsidRPr="39291905">
        <w:rPr>
          <w:rStyle w:val="normaltextrun"/>
          <w:rFonts w:ascii="Corbel" w:eastAsia="Segoe UI Semilight" w:hAnsi="Corbel" w:cstheme="minorBidi"/>
          <w:sz w:val="26"/>
          <w:szCs w:val="26"/>
        </w:rPr>
        <w:t>acknowledge Commonwealth funding.</w:t>
      </w:r>
    </w:p>
    <w:p w14:paraId="7D25401C" w14:textId="77777777" w:rsidR="00E06165" w:rsidRDefault="00E06165" w:rsidP="001442F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</w:p>
    <w:p w14:paraId="2A7E9EE9" w14:textId="74D07BAB" w:rsidR="00273C65" w:rsidRDefault="00273C65" w:rsidP="001442F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273C65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Monitoring and Evaluation Plan</w:t>
      </w:r>
    </w:p>
    <w:p w14:paraId="5A479EB4" w14:textId="60FA8D46" w:rsidR="004D28DF" w:rsidRPr="00914F29" w:rsidRDefault="00B9699A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collect and use data appropriate for 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monitoring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evaluating the effectiveness of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community adjustment assistance measures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3E399586" w14:textId="435B23D5" w:rsidR="00513911" w:rsidRDefault="00B9699A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51391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will develop a Monitoring and Evaluation Plan which will, at a minimum:</w:t>
      </w:r>
    </w:p>
    <w:p w14:paraId="102CA688" w14:textId="5032C774" w:rsidR="000A105A" w:rsidRDefault="000A105A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Set out </w:t>
      </w:r>
      <w:r w:rsidR="00947A0D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targets and 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t>KPIs</w:t>
      </w:r>
      <w:r w:rsidR="00947A0D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to measure performance outcomes</w:t>
      </w:r>
      <w:r w:rsidR="00792EC7">
        <w:rPr>
          <w:rStyle w:val="normaltextrun"/>
          <w:rFonts w:ascii="Corbel" w:eastAsia="Segoe UI Semilight" w:hAnsi="Corbel" w:cstheme="minorHAnsi"/>
          <w:sz w:val="26"/>
          <w:szCs w:val="26"/>
        </w:rPr>
        <w:t>.</w:t>
      </w:r>
    </w:p>
    <w:p w14:paraId="052635A6" w14:textId="471A7B24" w:rsidR="00513911" w:rsidRPr="00513911" w:rsidRDefault="00AA0DDE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Describe </w:t>
      </w:r>
      <w:r w:rsidR="0051391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target populations, </w:t>
      </w:r>
      <w:r w:rsidR="0051391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datasets, collection methods, activities to be measured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and methods of analysis</w:t>
      </w:r>
      <w:r w:rsidR="00792EC7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487F8C7" w14:textId="5DF2F14A" w:rsidR="001743AE" w:rsidRDefault="00792EC7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Include outcomes, indicators and measures that can be used to report on progress.</w:t>
      </w:r>
    </w:p>
    <w:p w14:paraId="1DA314E9" w14:textId="161B9B55" w:rsidR="00513911" w:rsidRDefault="00792EC7" w:rsidP="00513911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Detail the evaluations to be conducted, including the timing and nature or reports and their alignment with the annual and final reports detailed below</w:t>
      </w:r>
      <w:r w:rsidR="001743AE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2B0ED4EE" w14:textId="77777777" w:rsidR="00C77AEF" w:rsidRDefault="00C77AEF" w:rsidP="004D28D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</w:p>
    <w:p w14:paraId="08A03B42" w14:textId="41B4B169" w:rsidR="004D28DF" w:rsidRPr="00341932" w:rsidRDefault="00AC087B" w:rsidP="004D28DF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 xml:space="preserve">Annual </w:t>
      </w:r>
      <w:r w:rsidR="00C36714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 xml:space="preserve">Progress </w:t>
      </w:r>
      <w:r w:rsidR="004D28DF" w:rsidRPr="00341932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Report</w:t>
      </w:r>
      <w:r w:rsidR="00273C65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s</w:t>
      </w:r>
      <w:r w:rsidR="00AF528F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 xml:space="preserve"> </w:t>
      </w:r>
    </w:p>
    <w:p w14:paraId="6154363F" w14:textId="03F8CEA7" w:rsidR="004D28DF" w:rsidRDefault="00B9699A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0861F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D661F7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complete </w:t>
      </w:r>
      <w:r w:rsidR="00D91BE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Annual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Progress </w:t>
      </w:r>
      <w:r w:rsidR="00AA1880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R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eports</w:t>
      </w:r>
      <w:r w:rsidR="00D661F7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which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will cover, at a minimum: </w:t>
      </w:r>
    </w:p>
    <w:p w14:paraId="76B1E739" w14:textId="2FBFAC33" w:rsidR="004D28DF" w:rsidRDefault="00EF157E" w:rsidP="00AE38CD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A </w:t>
      </w:r>
      <w:r w:rsidR="00AF1A4E">
        <w:rPr>
          <w:rStyle w:val="normaltextrun"/>
          <w:rFonts w:ascii="Corbel" w:eastAsia="Segoe UI Semilight" w:hAnsi="Corbel" w:cstheme="minorHAnsi"/>
          <w:sz w:val="26"/>
          <w:szCs w:val="26"/>
        </w:rPr>
        <w:t>summary of</w:t>
      </w:r>
      <w:r w:rsidR="004D28DF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feedback</w:t>
      </w:r>
      <w:r w:rsidR="00BA792E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</w:t>
      </w:r>
      <w:r w:rsidR="00B73F40">
        <w:rPr>
          <w:rStyle w:val="normaltextrun"/>
          <w:rFonts w:ascii="Corbel" w:eastAsia="Segoe UI Semilight" w:hAnsi="Corbel" w:cstheme="minorHAnsi"/>
          <w:sz w:val="26"/>
          <w:szCs w:val="26"/>
        </w:rPr>
        <w:t>received</w:t>
      </w:r>
      <w:r w:rsidR="00103302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which</w:t>
      </w:r>
      <w:r w:rsidR="00E07DF0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may include</w:t>
      </w:r>
      <w:r w:rsidR="00600225">
        <w:rPr>
          <w:rStyle w:val="normaltextrun"/>
          <w:rFonts w:ascii="Corbel" w:eastAsia="Segoe UI Semilight" w:hAnsi="Corbel" w:cstheme="minorHAnsi"/>
          <w:sz w:val="26"/>
          <w:szCs w:val="26"/>
        </w:rPr>
        <w:t>, but is not limited to</w:t>
      </w:r>
      <w:r w:rsidR="00103302">
        <w:rPr>
          <w:rStyle w:val="normaltextrun"/>
          <w:rFonts w:ascii="Corbel" w:eastAsia="Segoe UI Semilight" w:hAnsi="Corbel" w:cstheme="minorHAnsi"/>
          <w:sz w:val="26"/>
          <w:szCs w:val="26"/>
        </w:rPr>
        <w:t>,</w:t>
      </w:r>
      <w:r w:rsidR="00600225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feedback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from communities, regions and industry, both through</w:t>
      </w:r>
      <w:r w:rsidR="00103302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formal</w:t>
      </w:r>
      <w:r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consultations and</w:t>
      </w:r>
      <w:r w:rsidR="0081049B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 other interactions where feedback </w:t>
      </w:r>
      <w:r w:rsidR="00E8365D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was received </w:t>
      </w:r>
      <w:r w:rsidR="007C26AA">
        <w:rPr>
          <w:rStyle w:val="normaltextrun"/>
          <w:rFonts w:ascii="Corbel" w:eastAsia="Segoe UI Semilight" w:hAnsi="Corbel" w:cstheme="minorHAnsi"/>
          <w:sz w:val="26"/>
          <w:szCs w:val="26"/>
        </w:rPr>
        <w:t xml:space="preserve">about the </w:t>
      </w:r>
      <w:r w:rsidR="00E8365D">
        <w:rPr>
          <w:rStyle w:val="normaltextrun"/>
          <w:rFonts w:ascii="Corbel" w:eastAsia="Segoe UI Semilight" w:hAnsi="Corbel" w:cstheme="minorHAnsi"/>
          <w:sz w:val="26"/>
          <w:szCs w:val="26"/>
        </w:rPr>
        <w:t>community adjustment assistance or broader 450 GL program</w:t>
      </w:r>
      <w:r w:rsidR="0081049B">
        <w:rPr>
          <w:rStyle w:val="normaltextrun"/>
          <w:rFonts w:ascii="Corbel" w:eastAsia="Segoe UI Semilight" w:hAnsi="Corbel" w:cstheme="minorHAnsi"/>
          <w:sz w:val="26"/>
          <w:szCs w:val="26"/>
        </w:rPr>
        <w:t>.</w:t>
      </w:r>
    </w:p>
    <w:p w14:paraId="3408F4A6" w14:textId="2C22D916" w:rsidR="00947A0D" w:rsidRDefault="004A2B4C" w:rsidP="00AE38CD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lastRenderedPageBreak/>
        <w:t>Reporting against the targets and KPIs set out in the Monitoring and Evaluation Plan</w:t>
      </w:r>
    </w:p>
    <w:p w14:paraId="611B6045" w14:textId="6890A32F" w:rsidR="00B647DE" w:rsidRPr="008C5947" w:rsidRDefault="00B647DE" w:rsidP="00B647DE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communities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/</w:t>
      </w: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regions that received funding, which projects were funded and the funding amounts.</w:t>
      </w:r>
    </w:p>
    <w:p w14:paraId="6CD592EB" w14:textId="35248C34" w:rsidR="004D28DF" w:rsidRPr="008C5947" w:rsidRDefault="004D28DF" w:rsidP="00AE38CD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Analysis of the effectiveness of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community adjustment assistance delivered as scheduled in the Monitoring and Evaluation Plan</w:t>
      </w:r>
      <w:r w:rsidR="007F29ED">
        <w:rPr>
          <w:rStyle w:val="normaltextrun"/>
          <w:rFonts w:ascii="Corbel" w:eastAsia="Segoe UI Semilight" w:hAnsi="Corbel" w:cstheme="minorBidi"/>
          <w:sz w:val="26"/>
          <w:szCs w:val="26"/>
        </w:rPr>
        <w:t>,</w:t>
      </w:r>
      <w:r w:rsidR="003B3029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3B3029" w:rsidRPr="003B3029">
        <w:rPr>
          <w:rStyle w:val="normaltextrun"/>
          <w:rFonts w:ascii="Corbel" w:eastAsia="Segoe UI Semilight" w:hAnsi="Corbel" w:cstheme="minorBidi"/>
          <w:sz w:val="26"/>
          <w:szCs w:val="26"/>
        </w:rPr>
        <w:t>where evaluation has occurred and data is therefore available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. </w:t>
      </w:r>
    </w:p>
    <w:p w14:paraId="690B9314" w14:textId="544B93E4" w:rsidR="001772AC" w:rsidRDefault="00B9699A" w:rsidP="00057FB7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4D28DF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475873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report </w:t>
      </w:r>
      <w:r w:rsidR="00775765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expenditure through the Annual Progress Reports</w:t>
      </w:r>
      <w:r w:rsidR="00057FB7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will </w:t>
      </w:r>
      <w:r w:rsidR="000F38B2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include</w:t>
      </w:r>
      <w:r w:rsidR="007D02C7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expenditure</w:t>
      </w:r>
      <w:r w:rsidR="00626D70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6F759A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detailed </w:t>
      </w:r>
      <w:r w:rsidR="000F38B2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by region </w:t>
      </w:r>
      <w:r w:rsidR="00E77CF8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and/or program</w:t>
      </w:r>
      <w:r w:rsidR="0088774A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626D70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and </w:t>
      </w:r>
      <w:r w:rsidR="003210B7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any </w:t>
      </w:r>
      <w:r w:rsidR="00626D70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unspent amounts</w:t>
      </w:r>
      <w:r w:rsidR="00CD45D3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  <w:r w:rsidR="007A6F3E" w:rsidRPr="6BC620F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</w:p>
    <w:p w14:paraId="587224F3" w14:textId="6E8154B7" w:rsidR="004D28DF" w:rsidRPr="00907B42" w:rsidRDefault="00B9699A" w:rsidP="00907B42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C91AF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annual e</w:t>
      </w:r>
      <w:r w:rsidR="0061304B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xpenditure reporting </w:t>
      </w:r>
      <w:r w:rsidR="00C91AF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will </w:t>
      </w:r>
      <w:r w:rsidR="00626D70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be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certified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the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Chief Financial Officer</w:t>
      </w:r>
      <w:r w:rsidR="00EC294C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of the relevant </w:t>
      </w:r>
      <w:r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4D28DF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agency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/ agencies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  <w:r w:rsidR="006E71D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Annual </w:t>
      </w:r>
      <w:r w:rsidR="00907B4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e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xpenditure reports </w:t>
      </w:r>
      <w:r w:rsidR="006E71D2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will be independently audited</w:t>
      </w:r>
      <w:r w:rsidR="00F54105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in accordance with the relevant Australian Auditing Standards.</w:t>
      </w:r>
    </w:p>
    <w:p w14:paraId="37A56029" w14:textId="61A16E64" w:rsidR="004541C8" w:rsidRPr="00E00A83" w:rsidRDefault="004541C8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Annual Progress Reports will </w:t>
      </w:r>
      <w:r w:rsidR="00873709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cover the period of 12 months commencing 1 July each year and will be provided to the Commonwealth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no later than the </w:t>
      </w:r>
      <w:r w:rsidR="006E59D6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statutory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date the relevant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delivery agency</w:t>
      </w:r>
      <w:r w:rsidR="00873709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is also required to </w:t>
      </w:r>
      <w:r w:rsidR="006E59D6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provide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its Annual Report to its Minister or the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4F7163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Treasurer.</w:t>
      </w:r>
    </w:p>
    <w:p w14:paraId="15EC5A5C" w14:textId="6F24DD61" w:rsidR="00E00A83" w:rsidRDefault="00E00A83" w:rsidP="00AE38CD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At the second annual progress report</w:t>
      </w:r>
      <w:r w:rsidR="003635E6">
        <w:rPr>
          <w:rStyle w:val="normaltextrun"/>
          <w:rFonts w:ascii="Corbel" w:eastAsia="Segoe UI Semilight" w:hAnsi="Corbel" w:cstheme="minorBidi"/>
          <w:sz w:val="26"/>
          <w:szCs w:val="26"/>
        </w:rPr>
        <w:t>,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the Commonwealth and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will conduct a</w:t>
      </w:r>
      <w:r w:rsidR="00F2683B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mid-point review of the program to consider the progress of water recovery in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and</w:t>
      </w:r>
      <w:r w:rsidR="00A9159E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any implications for the Sustainable Communities Program.  </w:t>
      </w:r>
    </w:p>
    <w:p w14:paraId="4B9E4E3D" w14:textId="77777777" w:rsidR="00226032" w:rsidRDefault="00226032" w:rsidP="00697B56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sz w:val="26"/>
          <w:szCs w:val="26"/>
        </w:rPr>
      </w:pPr>
    </w:p>
    <w:p w14:paraId="5666058F" w14:textId="10F2BF37" w:rsidR="00697B56" w:rsidRPr="000D446F" w:rsidRDefault="00697B56" w:rsidP="00697B56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</w:pPr>
      <w:r w:rsidRPr="000D446F">
        <w:rPr>
          <w:rStyle w:val="normaltextrun"/>
          <w:rFonts w:ascii="Corbel" w:eastAsia="Segoe UI Semilight" w:hAnsi="Corbel" w:cstheme="minorHAnsi"/>
          <w:b/>
          <w:bCs/>
          <w:i/>
          <w:iCs/>
          <w:sz w:val="26"/>
          <w:szCs w:val="26"/>
        </w:rPr>
        <w:t>Final Report</w:t>
      </w:r>
    </w:p>
    <w:p w14:paraId="0A6D9AEA" w14:textId="33908A44" w:rsidR="00112F16" w:rsidRPr="00914F29" w:rsidRDefault="00226032" w:rsidP="00B647DE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The Final Report will cover</w:t>
      </w:r>
      <w:r w:rsidR="00B647DE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, at a minimum:</w:t>
      </w:r>
    </w:p>
    <w:p w14:paraId="60A18861" w14:textId="68C2D7B2" w:rsidR="00B647DE" w:rsidRDefault="00B647DE" w:rsidP="00B647DE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A summary of t</w:t>
      </w: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he communities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/</w:t>
      </w:r>
      <w:r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regions that received funding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the amounts.</w:t>
      </w:r>
    </w:p>
    <w:p w14:paraId="1D856E14" w14:textId="6B8C9EF8" w:rsidR="00B647DE" w:rsidRPr="008C5947" w:rsidRDefault="00B647DE" w:rsidP="00B647DE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A complete list of all projects funded amount</w:t>
      </w:r>
      <w:r w:rsidR="00AA62A4">
        <w:rPr>
          <w:rStyle w:val="normaltextrun"/>
          <w:rFonts w:ascii="Corbel" w:eastAsia="Segoe UI Semilight" w:hAnsi="Corbel" w:cstheme="minorBidi"/>
          <w:sz w:val="26"/>
          <w:szCs w:val="26"/>
        </w:rPr>
        <w:t>s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, location</w:t>
      </w:r>
      <w:r w:rsidR="00AA62A4">
        <w:rPr>
          <w:rStyle w:val="normaltextrun"/>
          <w:rFonts w:ascii="Corbel" w:eastAsia="Segoe UI Semilight" w:hAnsi="Corbel" w:cstheme="minorBidi"/>
          <w:sz w:val="26"/>
          <w:szCs w:val="26"/>
        </w:rPr>
        <w:t>s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completion status</w:t>
      </w:r>
      <w:r w:rsidR="00AA62A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6C3B4210" w14:textId="5C8AEB97" w:rsidR="001743AE" w:rsidRDefault="00AA62A4" w:rsidP="00AA62A4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>With reference to the targets</w:t>
      </w:r>
      <w:r w:rsidR="009C6F9D">
        <w:rPr>
          <w:rStyle w:val="normaltextrun"/>
          <w:rFonts w:ascii="Corbel" w:eastAsia="Segoe UI Semilight" w:hAnsi="Corbel" w:cstheme="minorBidi"/>
          <w:sz w:val="26"/>
          <w:szCs w:val="26"/>
        </w:rPr>
        <w:t>/KPIs</w:t>
      </w:r>
      <w:r w:rsidR="006873AF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set out in the Monitoring and Evaluation plan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>, an overall a</w:t>
      </w:r>
      <w:r w:rsidR="00B647DE" w:rsidRPr="7642C093">
        <w:rPr>
          <w:rStyle w:val="normaltextrun"/>
          <w:rFonts w:ascii="Corbel" w:eastAsia="Segoe UI Semilight" w:hAnsi="Corbel" w:cstheme="minorBidi"/>
          <w:sz w:val="26"/>
          <w:szCs w:val="26"/>
        </w:rPr>
        <w:t>nalysis of the effectiveness of support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p w14:paraId="3CCD2EAD" w14:textId="3AAC368C" w:rsidR="00AA62A4" w:rsidRDefault="00AA62A4" w:rsidP="00AA62A4">
      <w:pPr>
        <w:pStyle w:val="paragraph"/>
        <w:numPr>
          <w:ilvl w:val="1"/>
          <w:numId w:val="16"/>
        </w:numPr>
        <w:spacing w:before="120" w:beforeAutospacing="0" w:after="120" w:afterAutospacing="0"/>
        <w:textAlignment w:val="baseline"/>
        <w:rPr>
          <w:rStyle w:val="normaltextrun"/>
          <w:rFonts w:ascii="Corbel" w:eastAsia="Segoe UI Semilight" w:hAnsi="Corbel" w:cstheme="minorBidi"/>
          <w:sz w:val="26"/>
          <w:szCs w:val="26"/>
        </w:rPr>
      </w:pP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>f</w:t>
      </w:r>
      <w:r w:rsidR="00230719">
        <w:rPr>
          <w:rStyle w:val="normaltextrun"/>
          <w:rFonts w:ascii="Corbel" w:eastAsia="Segoe UI Semilight" w:hAnsi="Corbel" w:cstheme="minorBidi"/>
          <w:sz w:val="26"/>
          <w:szCs w:val="26"/>
        </w:rPr>
        <w:t>inal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audited</w:t>
      </w:r>
      <w:r w:rsidR="00230719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Financial Acquittal, </w:t>
      </w:r>
      <w:r w:rsidR="005F0488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approved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by 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the </w:t>
      </w:r>
      <w:r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Chief Finance Officer </w:t>
      </w:r>
      <w:r w:rsidR="005F0488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from the relevant </w:t>
      </w:r>
      <w:r w:rsidR="00B9699A" w:rsidRPr="00B9699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New South Wales </w:t>
      </w:r>
      <w:r w:rsidR="005F0488">
        <w:rPr>
          <w:rStyle w:val="normaltextrun"/>
          <w:rFonts w:ascii="Corbel" w:eastAsia="Segoe UI Semilight" w:hAnsi="Corbel" w:cstheme="minorBidi"/>
          <w:sz w:val="26"/>
          <w:szCs w:val="26"/>
        </w:rPr>
        <w:t>agency.</w:t>
      </w:r>
      <w:r w:rsidR="0048244A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</w:p>
    <w:p w14:paraId="52893CD9" w14:textId="3B303F2B" w:rsidR="00F70B06" w:rsidRPr="00424A28" w:rsidRDefault="004D28DF" w:rsidP="00424A28">
      <w:pPr>
        <w:pStyle w:val="paragraph"/>
        <w:numPr>
          <w:ilvl w:val="0"/>
          <w:numId w:val="16"/>
        </w:numPr>
        <w:spacing w:before="120" w:beforeAutospacing="0" w:after="120" w:afterAutospacing="0"/>
        <w:textAlignment w:val="baseline"/>
        <w:rPr>
          <w:rFonts w:ascii="Corbel" w:eastAsia="Segoe UI Semilight" w:hAnsi="Corbel" w:cstheme="minorHAnsi"/>
          <w:sz w:val="26"/>
          <w:szCs w:val="26"/>
        </w:rPr>
      </w:pP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Final reports</w:t>
      </w:r>
      <w:r w:rsidR="00E8365D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and </w:t>
      </w:r>
      <w:r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Financial Acquittals are to be provided to the Commonwealth</w:t>
      </w:r>
      <w:r w:rsidR="006E094A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</w:t>
      </w:r>
      <w:r w:rsidR="00FF3907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before the end date of this Schedule</w:t>
      </w:r>
      <w:r w:rsidR="00591891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 xml:space="preserve"> as per the Milestone Table</w:t>
      </w:r>
      <w:r w:rsidR="00513F36" w:rsidRPr="742DA0F4">
        <w:rPr>
          <w:rStyle w:val="normaltextrun"/>
          <w:rFonts w:ascii="Corbel" w:eastAsia="Segoe UI Semilight" w:hAnsi="Corbel" w:cstheme="minorBidi"/>
          <w:sz w:val="26"/>
          <w:szCs w:val="26"/>
        </w:rPr>
        <w:t>.</w:t>
      </w:r>
    </w:p>
    <w:sectPr w:rsidR="00F70B06" w:rsidRPr="00424A28" w:rsidSect="00FD5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0041" w14:textId="77777777" w:rsidR="00E63EE2" w:rsidRDefault="00E63EE2">
      <w:r>
        <w:separator/>
      </w:r>
    </w:p>
  </w:endnote>
  <w:endnote w:type="continuationSeparator" w:id="0">
    <w:p w14:paraId="68242BB9" w14:textId="77777777" w:rsidR="00E63EE2" w:rsidRDefault="00E63EE2">
      <w:r>
        <w:continuationSeparator/>
      </w:r>
    </w:p>
  </w:endnote>
  <w:endnote w:type="continuationNotice" w:id="1">
    <w:p w14:paraId="0F1E415E" w14:textId="77777777" w:rsidR="00E63EE2" w:rsidRDefault="00E6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6331" w14:textId="3E3F1895" w:rsidR="00F51EC9" w:rsidRDefault="00434CDC">
    <w:pPr>
      <w:pStyle w:val="FooterEven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9EE299" wp14:editId="0F1FE6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2091450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F6051" w14:textId="064EFA91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EE29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CEF6051" w14:textId="064EFA91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E73"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E401" w14:textId="64FBA0FC" w:rsidR="00F51EC9" w:rsidRDefault="00434CDC" w:rsidP="00EC633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45BD85D" wp14:editId="7C76D8EE">
              <wp:simplePos x="718457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0435866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70F9B" w14:textId="307E7E4F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BD8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7D70F9B" w14:textId="307E7E4F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F7E4" w14:textId="67640D38" w:rsidR="00F51EC9" w:rsidRPr="00CA24B0" w:rsidRDefault="00434CDC" w:rsidP="00EC633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45BF936" wp14:editId="714FAD5A">
              <wp:simplePos x="718457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6281563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F3CFF" w14:textId="4833BC08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BF9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left:0;text-align:left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DDF3CFF" w14:textId="4833BC08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B2B7" w14:textId="6199D31B" w:rsidR="00434CDC" w:rsidRDefault="00434C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5449FD4" wp14:editId="646D3D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3382433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7DEC0" w14:textId="7A794AAE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49F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F87DEC0" w14:textId="7A794AAE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7AF4" w14:textId="12749AC9" w:rsidR="00434CDC" w:rsidRDefault="00434C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E62D9B4" wp14:editId="5DD5D4BD">
              <wp:simplePos x="914400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8288311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7F377" w14:textId="3733E8CF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2D9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5A7F377" w14:textId="3733E8CF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2A29" w14:textId="6B0FBB61" w:rsidR="00434CDC" w:rsidRDefault="00434C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594724C" wp14:editId="5BCA9B56">
              <wp:simplePos x="718457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5485639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39711" w14:textId="7D676DE5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4724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1239711" w14:textId="7D676DE5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42D2" w14:textId="77777777" w:rsidR="00E63EE2" w:rsidRDefault="00E63EE2">
      <w:r>
        <w:separator/>
      </w:r>
    </w:p>
  </w:footnote>
  <w:footnote w:type="continuationSeparator" w:id="0">
    <w:p w14:paraId="167D0FD4" w14:textId="77777777" w:rsidR="00E63EE2" w:rsidRDefault="00E63EE2">
      <w:r>
        <w:continuationSeparator/>
      </w:r>
    </w:p>
  </w:footnote>
  <w:footnote w:type="continuationNotice" w:id="1">
    <w:p w14:paraId="43BF56E6" w14:textId="77777777" w:rsidR="00E63EE2" w:rsidRDefault="00E6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6BEA" w14:textId="269D17F8" w:rsidR="00434CDC" w:rsidRDefault="00434C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AD5317" wp14:editId="341A43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5232515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E4E3A" w14:textId="782C0C84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D53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49E4E3A" w14:textId="782C0C84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3B44" w14:textId="18BFB5E1" w:rsidR="00434CDC" w:rsidRDefault="00434C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B12A1F" wp14:editId="6F50E638">
              <wp:simplePos x="718457" y="44631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638995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A4B00" w14:textId="278BFA45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12A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E2A4B00" w14:textId="278BFA45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292C" w14:textId="12F8A705" w:rsidR="00F51EC9" w:rsidRDefault="00434CDC" w:rsidP="00001415">
    <w:pPr>
      <w:pStyle w:val="Header"/>
      <w:tabs>
        <w:tab w:val="clear" w:pos="9026"/>
        <w:tab w:val="left" w:pos="4513"/>
        <w:tab w:val="left" w:pos="661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2C35F8" wp14:editId="0E4935F6">
              <wp:simplePos x="718457" y="44631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5682416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86B24" w14:textId="11F32689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C3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4B86B24" w14:textId="11F32689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1415">
      <w:tab/>
    </w:r>
    <w:r w:rsidR="00001415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DB65" w14:textId="53C73935" w:rsidR="00884E8F" w:rsidRDefault="00434C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EA99DF" wp14:editId="7EB7E3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379218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841E5" w14:textId="4C74D119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A99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D2841E5" w14:textId="4C74D119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0810" w14:textId="013A590A" w:rsidR="00884E8F" w:rsidRDefault="00434C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767620" wp14:editId="5EDB5BA6">
              <wp:simplePos x="914400" y="44631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2919661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45FD8" w14:textId="2AADD203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676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A145FD8" w14:textId="2AADD203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F2C9" w14:textId="59CF6E12" w:rsidR="00884E8F" w:rsidRDefault="00434CD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BE8574" wp14:editId="2B7972B9">
              <wp:simplePos x="718457" y="44631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9830384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D67F5" w14:textId="1BBA04C3" w:rsidR="00434CDC" w:rsidRPr="00434CDC" w:rsidRDefault="00434CDC" w:rsidP="00434CD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34CD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E85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1ED67F5" w14:textId="1BBA04C3" w:rsidR="00434CDC" w:rsidRPr="00434CDC" w:rsidRDefault="00434CDC" w:rsidP="00434CD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34CD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A67"/>
    <w:multiLevelType w:val="hybridMultilevel"/>
    <w:tmpl w:val="92F2E292"/>
    <w:lvl w:ilvl="0" w:tplc="B8926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418E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4D842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BA64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3E46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73C9C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4E44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98F6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56AC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2301BBC"/>
    <w:multiLevelType w:val="hybridMultilevel"/>
    <w:tmpl w:val="36F6E6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31"/>
      <w:numFmt w:val="bullet"/>
      <w:lvlText w:val="-"/>
      <w:lvlJc w:val="left"/>
      <w:pPr>
        <w:ind w:left="1980" w:hanging="360"/>
      </w:pPr>
      <w:rPr>
        <w:rFonts w:ascii="Corbel" w:eastAsia="Times New Roman" w:hAnsi="Corbe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23F75"/>
    <w:multiLevelType w:val="multilevel"/>
    <w:tmpl w:val="36B0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F2422"/>
    <w:multiLevelType w:val="multilevel"/>
    <w:tmpl w:val="B11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925672"/>
    <w:multiLevelType w:val="hybridMultilevel"/>
    <w:tmpl w:val="39DE4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33F5"/>
    <w:multiLevelType w:val="hybridMultilevel"/>
    <w:tmpl w:val="FC34228C"/>
    <w:lvl w:ilvl="0" w:tplc="DA464D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BFE7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E2A1E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BB650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5C3D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430E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86A88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5A2A1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F884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280619B9"/>
    <w:multiLevelType w:val="multilevel"/>
    <w:tmpl w:val="231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27333F"/>
    <w:multiLevelType w:val="hybridMultilevel"/>
    <w:tmpl w:val="6030A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044AE"/>
    <w:multiLevelType w:val="hybridMultilevel"/>
    <w:tmpl w:val="10921C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B33BBD"/>
    <w:multiLevelType w:val="multilevel"/>
    <w:tmpl w:val="2168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656843"/>
    <w:multiLevelType w:val="multilevel"/>
    <w:tmpl w:val="27AC3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6AA2F73"/>
    <w:multiLevelType w:val="hybridMultilevel"/>
    <w:tmpl w:val="3A74009E"/>
    <w:lvl w:ilvl="0" w:tplc="EEE2D7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A64E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D444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532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BE00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290EE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0E5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13E18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CD6C6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46C943EB"/>
    <w:multiLevelType w:val="multilevel"/>
    <w:tmpl w:val="BBB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012D1B"/>
    <w:multiLevelType w:val="hybridMultilevel"/>
    <w:tmpl w:val="A1F81F3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DF00B6F2">
      <w:start w:val="31"/>
      <w:numFmt w:val="bullet"/>
      <w:lvlText w:val="-"/>
      <w:lvlJc w:val="left"/>
      <w:pPr>
        <w:ind w:left="1980" w:hanging="360"/>
      </w:pPr>
      <w:rPr>
        <w:rFonts w:ascii="Corbel" w:eastAsia="Times New Roman" w:hAnsi="Corbe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025C2"/>
    <w:multiLevelType w:val="multilevel"/>
    <w:tmpl w:val="66A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1174D0"/>
    <w:multiLevelType w:val="multilevel"/>
    <w:tmpl w:val="1D2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2415AD"/>
    <w:multiLevelType w:val="multilevel"/>
    <w:tmpl w:val="92C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8" w15:restartNumberingAfterBreak="0">
    <w:nsid w:val="6FB7088E"/>
    <w:multiLevelType w:val="hybridMultilevel"/>
    <w:tmpl w:val="AFD654B8"/>
    <w:lvl w:ilvl="0" w:tplc="ABD819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7A6CB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20E29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8768E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244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10E4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BE8A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76EEE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72F4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77177209"/>
    <w:multiLevelType w:val="hybridMultilevel"/>
    <w:tmpl w:val="09B4A06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7F426D61"/>
    <w:multiLevelType w:val="multilevel"/>
    <w:tmpl w:val="E72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0178814">
    <w:abstractNumId w:val="20"/>
  </w:num>
  <w:num w:numId="2" w16cid:durableId="355741241">
    <w:abstractNumId w:val="17"/>
  </w:num>
  <w:num w:numId="3" w16cid:durableId="294874235">
    <w:abstractNumId w:val="2"/>
  </w:num>
  <w:num w:numId="4" w16cid:durableId="342052420">
    <w:abstractNumId w:val="15"/>
  </w:num>
  <w:num w:numId="5" w16cid:durableId="119501769">
    <w:abstractNumId w:val="16"/>
  </w:num>
  <w:num w:numId="6" w16cid:durableId="360591855">
    <w:abstractNumId w:val="6"/>
  </w:num>
  <w:num w:numId="7" w16cid:durableId="243996992">
    <w:abstractNumId w:val="9"/>
  </w:num>
  <w:num w:numId="8" w16cid:durableId="1224098532">
    <w:abstractNumId w:val="10"/>
  </w:num>
  <w:num w:numId="9" w16cid:durableId="720254010">
    <w:abstractNumId w:val="21"/>
  </w:num>
  <w:num w:numId="10" w16cid:durableId="1415594203">
    <w:abstractNumId w:val="14"/>
  </w:num>
  <w:num w:numId="11" w16cid:durableId="1098525008">
    <w:abstractNumId w:val="12"/>
  </w:num>
  <w:num w:numId="12" w16cid:durableId="1317680893">
    <w:abstractNumId w:val="8"/>
  </w:num>
  <w:num w:numId="13" w16cid:durableId="340395945">
    <w:abstractNumId w:val="4"/>
  </w:num>
  <w:num w:numId="14" w16cid:durableId="768086156">
    <w:abstractNumId w:val="13"/>
  </w:num>
  <w:num w:numId="15" w16cid:durableId="2008707745">
    <w:abstractNumId w:val="3"/>
  </w:num>
  <w:num w:numId="16" w16cid:durableId="811604276">
    <w:abstractNumId w:val="1"/>
  </w:num>
  <w:num w:numId="17" w16cid:durableId="381487777">
    <w:abstractNumId w:val="19"/>
  </w:num>
  <w:num w:numId="18" w16cid:durableId="861014184">
    <w:abstractNumId w:val="7"/>
  </w:num>
  <w:num w:numId="19" w16cid:durableId="1992514555">
    <w:abstractNumId w:val="11"/>
  </w:num>
  <w:num w:numId="20" w16cid:durableId="631062443">
    <w:abstractNumId w:val="0"/>
  </w:num>
  <w:num w:numId="21" w16cid:durableId="328680356">
    <w:abstractNumId w:val="5"/>
  </w:num>
  <w:num w:numId="22" w16cid:durableId="1271737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005AF"/>
    <w:rsid w:val="00001415"/>
    <w:rsid w:val="000059CB"/>
    <w:rsid w:val="00006055"/>
    <w:rsid w:val="000064D9"/>
    <w:rsid w:val="00006FBF"/>
    <w:rsid w:val="00011BE2"/>
    <w:rsid w:val="00012C1E"/>
    <w:rsid w:val="00015498"/>
    <w:rsid w:val="0001755E"/>
    <w:rsid w:val="00020662"/>
    <w:rsid w:val="00020E90"/>
    <w:rsid w:val="000212A1"/>
    <w:rsid w:val="0002149C"/>
    <w:rsid w:val="00022035"/>
    <w:rsid w:val="000248EA"/>
    <w:rsid w:val="0002517D"/>
    <w:rsid w:val="0002564A"/>
    <w:rsid w:val="00026109"/>
    <w:rsid w:val="000267A3"/>
    <w:rsid w:val="00030D59"/>
    <w:rsid w:val="000340BB"/>
    <w:rsid w:val="00040812"/>
    <w:rsid w:val="00043DD2"/>
    <w:rsid w:val="0004490E"/>
    <w:rsid w:val="000468B6"/>
    <w:rsid w:val="00047F67"/>
    <w:rsid w:val="00052512"/>
    <w:rsid w:val="000539DB"/>
    <w:rsid w:val="00055578"/>
    <w:rsid w:val="00057FB7"/>
    <w:rsid w:val="0006035B"/>
    <w:rsid w:val="0006146A"/>
    <w:rsid w:val="00061A92"/>
    <w:rsid w:val="0006256A"/>
    <w:rsid w:val="00062A97"/>
    <w:rsid w:val="00064C57"/>
    <w:rsid w:val="00065614"/>
    <w:rsid w:val="0006794C"/>
    <w:rsid w:val="00070B63"/>
    <w:rsid w:val="00070E3B"/>
    <w:rsid w:val="000742ED"/>
    <w:rsid w:val="000744B8"/>
    <w:rsid w:val="00075156"/>
    <w:rsid w:val="00075C05"/>
    <w:rsid w:val="00076DEE"/>
    <w:rsid w:val="00077D10"/>
    <w:rsid w:val="00077F74"/>
    <w:rsid w:val="00083425"/>
    <w:rsid w:val="00083D46"/>
    <w:rsid w:val="000842CC"/>
    <w:rsid w:val="00084FC1"/>
    <w:rsid w:val="00085AA9"/>
    <w:rsid w:val="00085EAC"/>
    <w:rsid w:val="000861FF"/>
    <w:rsid w:val="00086E9C"/>
    <w:rsid w:val="00091093"/>
    <w:rsid w:val="00094C6E"/>
    <w:rsid w:val="000A105A"/>
    <w:rsid w:val="000A6C80"/>
    <w:rsid w:val="000A6D58"/>
    <w:rsid w:val="000B2B32"/>
    <w:rsid w:val="000B48B3"/>
    <w:rsid w:val="000B4E21"/>
    <w:rsid w:val="000B5584"/>
    <w:rsid w:val="000B6C33"/>
    <w:rsid w:val="000C016E"/>
    <w:rsid w:val="000C264B"/>
    <w:rsid w:val="000C49C9"/>
    <w:rsid w:val="000C49D4"/>
    <w:rsid w:val="000C6906"/>
    <w:rsid w:val="000D1B48"/>
    <w:rsid w:val="000D2364"/>
    <w:rsid w:val="000D363F"/>
    <w:rsid w:val="000D446F"/>
    <w:rsid w:val="000D5685"/>
    <w:rsid w:val="000D65DD"/>
    <w:rsid w:val="000D7AD2"/>
    <w:rsid w:val="000E5819"/>
    <w:rsid w:val="000E5DA7"/>
    <w:rsid w:val="000E7D2B"/>
    <w:rsid w:val="000F07E1"/>
    <w:rsid w:val="000F1496"/>
    <w:rsid w:val="000F17AA"/>
    <w:rsid w:val="000F182A"/>
    <w:rsid w:val="000F224D"/>
    <w:rsid w:val="000F38B2"/>
    <w:rsid w:val="000F4329"/>
    <w:rsid w:val="000F448F"/>
    <w:rsid w:val="000F5A5F"/>
    <w:rsid w:val="000F5FAA"/>
    <w:rsid w:val="000F7E14"/>
    <w:rsid w:val="001003A5"/>
    <w:rsid w:val="001011EB"/>
    <w:rsid w:val="00101F13"/>
    <w:rsid w:val="001021C9"/>
    <w:rsid w:val="00102B05"/>
    <w:rsid w:val="00103302"/>
    <w:rsid w:val="00103B22"/>
    <w:rsid w:val="001052E3"/>
    <w:rsid w:val="00112346"/>
    <w:rsid w:val="00112F16"/>
    <w:rsid w:val="00113BB8"/>
    <w:rsid w:val="00113ED8"/>
    <w:rsid w:val="0011494C"/>
    <w:rsid w:val="00117058"/>
    <w:rsid w:val="0011708D"/>
    <w:rsid w:val="0011792A"/>
    <w:rsid w:val="00120879"/>
    <w:rsid w:val="0012260B"/>
    <w:rsid w:val="001226A2"/>
    <w:rsid w:val="00122744"/>
    <w:rsid w:val="0012786B"/>
    <w:rsid w:val="00130141"/>
    <w:rsid w:val="001305FD"/>
    <w:rsid w:val="00130FE5"/>
    <w:rsid w:val="00131186"/>
    <w:rsid w:val="00135703"/>
    <w:rsid w:val="001378BB"/>
    <w:rsid w:val="00140E0B"/>
    <w:rsid w:val="00140E46"/>
    <w:rsid w:val="0014139B"/>
    <w:rsid w:val="00142920"/>
    <w:rsid w:val="001429D5"/>
    <w:rsid w:val="00143C39"/>
    <w:rsid w:val="00143C77"/>
    <w:rsid w:val="001442FF"/>
    <w:rsid w:val="00144CE1"/>
    <w:rsid w:val="00147046"/>
    <w:rsid w:val="00147680"/>
    <w:rsid w:val="0015291D"/>
    <w:rsid w:val="00152B53"/>
    <w:rsid w:val="00152DDA"/>
    <w:rsid w:val="001530D7"/>
    <w:rsid w:val="001532B9"/>
    <w:rsid w:val="0015579F"/>
    <w:rsid w:val="001562F5"/>
    <w:rsid w:val="0016003F"/>
    <w:rsid w:val="001602B1"/>
    <w:rsid w:val="00161258"/>
    <w:rsid w:val="00161F27"/>
    <w:rsid w:val="00163249"/>
    <w:rsid w:val="00163CEC"/>
    <w:rsid w:val="001648ED"/>
    <w:rsid w:val="00164A1E"/>
    <w:rsid w:val="00164A57"/>
    <w:rsid w:val="0016606C"/>
    <w:rsid w:val="00167E3E"/>
    <w:rsid w:val="00167FA9"/>
    <w:rsid w:val="0017105E"/>
    <w:rsid w:val="00171432"/>
    <w:rsid w:val="00171AD9"/>
    <w:rsid w:val="001741BE"/>
    <w:rsid w:val="001743AE"/>
    <w:rsid w:val="001772AC"/>
    <w:rsid w:val="001812BE"/>
    <w:rsid w:val="00182F77"/>
    <w:rsid w:val="001846E2"/>
    <w:rsid w:val="001862E0"/>
    <w:rsid w:val="00186F73"/>
    <w:rsid w:val="00190AE9"/>
    <w:rsid w:val="00190B34"/>
    <w:rsid w:val="00191463"/>
    <w:rsid w:val="001945DF"/>
    <w:rsid w:val="001A21D7"/>
    <w:rsid w:val="001A3792"/>
    <w:rsid w:val="001A4AB7"/>
    <w:rsid w:val="001A5143"/>
    <w:rsid w:val="001A7047"/>
    <w:rsid w:val="001A71E5"/>
    <w:rsid w:val="001B17E1"/>
    <w:rsid w:val="001B1CA0"/>
    <w:rsid w:val="001B35EE"/>
    <w:rsid w:val="001B4002"/>
    <w:rsid w:val="001B5393"/>
    <w:rsid w:val="001C1FE1"/>
    <w:rsid w:val="001C2D15"/>
    <w:rsid w:val="001C2FBE"/>
    <w:rsid w:val="001C3A23"/>
    <w:rsid w:val="001C3E83"/>
    <w:rsid w:val="001C4266"/>
    <w:rsid w:val="001C6E2F"/>
    <w:rsid w:val="001D02AC"/>
    <w:rsid w:val="001D22ED"/>
    <w:rsid w:val="001D28BD"/>
    <w:rsid w:val="001D6A09"/>
    <w:rsid w:val="001E0777"/>
    <w:rsid w:val="001E3DA8"/>
    <w:rsid w:val="001E679A"/>
    <w:rsid w:val="001E7145"/>
    <w:rsid w:val="001F1E57"/>
    <w:rsid w:val="001F2FE9"/>
    <w:rsid w:val="001F634D"/>
    <w:rsid w:val="001F76D8"/>
    <w:rsid w:val="00200E9F"/>
    <w:rsid w:val="002047B6"/>
    <w:rsid w:val="002051C6"/>
    <w:rsid w:val="00205625"/>
    <w:rsid w:val="002111AD"/>
    <w:rsid w:val="00211C31"/>
    <w:rsid w:val="00211E86"/>
    <w:rsid w:val="00212038"/>
    <w:rsid w:val="002147D5"/>
    <w:rsid w:val="002179F3"/>
    <w:rsid w:val="00221FA3"/>
    <w:rsid w:val="002237A3"/>
    <w:rsid w:val="00225E03"/>
    <w:rsid w:val="00225E17"/>
    <w:rsid w:val="00226032"/>
    <w:rsid w:val="00226C91"/>
    <w:rsid w:val="00230719"/>
    <w:rsid w:val="0023205B"/>
    <w:rsid w:val="00232CFD"/>
    <w:rsid w:val="002344CC"/>
    <w:rsid w:val="00235024"/>
    <w:rsid w:val="0024294B"/>
    <w:rsid w:val="002456C4"/>
    <w:rsid w:val="002463DC"/>
    <w:rsid w:val="0024699A"/>
    <w:rsid w:val="0024714D"/>
    <w:rsid w:val="00252C94"/>
    <w:rsid w:val="00253F46"/>
    <w:rsid w:val="00257565"/>
    <w:rsid w:val="00257A58"/>
    <w:rsid w:val="0026025F"/>
    <w:rsid w:val="0026034B"/>
    <w:rsid w:val="00262C8B"/>
    <w:rsid w:val="0026494D"/>
    <w:rsid w:val="002673FA"/>
    <w:rsid w:val="00270BA7"/>
    <w:rsid w:val="00270CE6"/>
    <w:rsid w:val="002723B5"/>
    <w:rsid w:val="00272B34"/>
    <w:rsid w:val="00273932"/>
    <w:rsid w:val="00273C65"/>
    <w:rsid w:val="00277D48"/>
    <w:rsid w:val="0028013E"/>
    <w:rsid w:val="00282BF6"/>
    <w:rsid w:val="00283DC0"/>
    <w:rsid w:val="00284154"/>
    <w:rsid w:val="00284699"/>
    <w:rsid w:val="00284C69"/>
    <w:rsid w:val="00285736"/>
    <w:rsid w:val="00290646"/>
    <w:rsid w:val="00291DB2"/>
    <w:rsid w:val="00295F7D"/>
    <w:rsid w:val="0029653E"/>
    <w:rsid w:val="00297DC2"/>
    <w:rsid w:val="002A03D8"/>
    <w:rsid w:val="002A1361"/>
    <w:rsid w:val="002A1557"/>
    <w:rsid w:val="002A1B7E"/>
    <w:rsid w:val="002A2B4F"/>
    <w:rsid w:val="002A2EDF"/>
    <w:rsid w:val="002A39D5"/>
    <w:rsid w:val="002B34ED"/>
    <w:rsid w:val="002B3CFE"/>
    <w:rsid w:val="002B42B8"/>
    <w:rsid w:val="002B73A3"/>
    <w:rsid w:val="002C242D"/>
    <w:rsid w:val="002C4A1B"/>
    <w:rsid w:val="002C500C"/>
    <w:rsid w:val="002C67AC"/>
    <w:rsid w:val="002C7CDF"/>
    <w:rsid w:val="002D1FE1"/>
    <w:rsid w:val="002D3078"/>
    <w:rsid w:val="002D41BC"/>
    <w:rsid w:val="002D4A70"/>
    <w:rsid w:val="002D698C"/>
    <w:rsid w:val="002E4C04"/>
    <w:rsid w:val="002E76B0"/>
    <w:rsid w:val="002F0EE4"/>
    <w:rsid w:val="002F181D"/>
    <w:rsid w:val="00301651"/>
    <w:rsid w:val="00301FCB"/>
    <w:rsid w:val="00302765"/>
    <w:rsid w:val="0030436C"/>
    <w:rsid w:val="00304525"/>
    <w:rsid w:val="00306C06"/>
    <w:rsid w:val="00306E07"/>
    <w:rsid w:val="003078AE"/>
    <w:rsid w:val="00312CAE"/>
    <w:rsid w:val="00312D2A"/>
    <w:rsid w:val="00313A0A"/>
    <w:rsid w:val="0031466D"/>
    <w:rsid w:val="00315C89"/>
    <w:rsid w:val="00316339"/>
    <w:rsid w:val="00316DFD"/>
    <w:rsid w:val="00317FB3"/>
    <w:rsid w:val="00320354"/>
    <w:rsid w:val="003210B7"/>
    <w:rsid w:val="00322536"/>
    <w:rsid w:val="003239D2"/>
    <w:rsid w:val="00323E00"/>
    <w:rsid w:val="003248F6"/>
    <w:rsid w:val="00325E15"/>
    <w:rsid w:val="003303FC"/>
    <w:rsid w:val="0033123F"/>
    <w:rsid w:val="0033427B"/>
    <w:rsid w:val="00336BBA"/>
    <w:rsid w:val="00336D2A"/>
    <w:rsid w:val="00340A4C"/>
    <w:rsid w:val="00341932"/>
    <w:rsid w:val="00342B59"/>
    <w:rsid w:val="00342E5D"/>
    <w:rsid w:val="00344364"/>
    <w:rsid w:val="00346FA9"/>
    <w:rsid w:val="003511D0"/>
    <w:rsid w:val="0035164F"/>
    <w:rsid w:val="00351D6D"/>
    <w:rsid w:val="00355C5E"/>
    <w:rsid w:val="00361CAB"/>
    <w:rsid w:val="003635E6"/>
    <w:rsid w:val="0036483B"/>
    <w:rsid w:val="00364F23"/>
    <w:rsid w:val="003655CA"/>
    <w:rsid w:val="00365640"/>
    <w:rsid w:val="003657E5"/>
    <w:rsid w:val="00367C3E"/>
    <w:rsid w:val="00367EF3"/>
    <w:rsid w:val="00371666"/>
    <w:rsid w:val="0037179E"/>
    <w:rsid w:val="00371F39"/>
    <w:rsid w:val="00372B7F"/>
    <w:rsid w:val="00375CA7"/>
    <w:rsid w:val="00381687"/>
    <w:rsid w:val="0038174B"/>
    <w:rsid w:val="00385984"/>
    <w:rsid w:val="00386DD8"/>
    <w:rsid w:val="00387F05"/>
    <w:rsid w:val="00390460"/>
    <w:rsid w:val="00391FBA"/>
    <w:rsid w:val="00392688"/>
    <w:rsid w:val="0039399C"/>
    <w:rsid w:val="00393ED6"/>
    <w:rsid w:val="003944F6"/>
    <w:rsid w:val="00396853"/>
    <w:rsid w:val="003A096C"/>
    <w:rsid w:val="003A0ABF"/>
    <w:rsid w:val="003A1814"/>
    <w:rsid w:val="003A1C01"/>
    <w:rsid w:val="003A1E04"/>
    <w:rsid w:val="003A2EFD"/>
    <w:rsid w:val="003A3BF2"/>
    <w:rsid w:val="003A524E"/>
    <w:rsid w:val="003A6650"/>
    <w:rsid w:val="003B3029"/>
    <w:rsid w:val="003B59D5"/>
    <w:rsid w:val="003C1861"/>
    <w:rsid w:val="003C1F39"/>
    <w:rsid w:val="003C2F75"/>
    <w:rsid w:val="003C5701"/>
    <w:rsid w:val="003C6B1E"/>
    <w:rsid w:val="003C6F47"/>
    <w:rsid w:val="003D25C6"/>
    <w:rsid w:val="003D2C47"/>
    <w:rsid w:val="003E064E"/>
    <w:rsid w:val="003E1298"/>
    <w:rsid w:val="003E1A44"/>
    <w:rsid w:val="003E2020"/>
    <w:rsid w:val="003E31FF"/>
    <w:rsid w:val="003E4527"/>
    <w:rsid w:val="003E5023"/>
    <w:rsid w:val="003E54CB"/>
    <w:rsid w:val="003E6429"/>
    <w:rsid w:val="003E7FC7"/>
    <w:rsid w:val="003F156F"/>
    <w:rsid w:val="003F31BA"/>
    <w:rsid w:val="003F563F"/>
    <w:rsid w:val="00402247"/>
    <w:rsid w:val="0040286A"/>
    <w:rsid w:val="004030FE"/>
    <w:rsid w:val="0040408C"/>
    <w:rsid w:val="004051A3"/>
    <w:rsid w:val="00406FBB"/>
    <w:rsid w:val="00411BD0"/>
    <w:rsid w:val="00413D4C"/>
    <w:rsid w:val="00413FB1"/>
    <w:rsid w:val="00414A76"/>
    <w:rsid w:val="00415432"/>
    <w:rsid w:val="004156E8"/>
    <w:rsid w:val="0041604E"/>
    <w:rsid w:val="00416A96"/>
    <w:rsid w:val="00420E5A"/>
    <w:rsid w:val="00421400"/>
    <w:rsid w:val="004238BF"/>
    <w:rsid w:val="00424A28"/>
    <w:rsid w:val="00424D8A"/>
    <w:rsid w:val="00424F31"/>
    <w:rsid w:val="00425313"/>
    <w:rsid w:val="00425CAD"/>
    <w:rsid w:val="004264E0"/>
    <w:rsid w:val="0042724F"/>
    <w:rsid w:val="004278E1"/>
    <w:rsid w:val="00427CDC"/>
    <w:rsid w:val="00431607"/>
    <w:rsid w:val="00433F37"/>
    <w:rsid w:val="00434CDC"/>
    <w:rsid w:val="004360C0"/>
    <w:rsid w:val="004429AB"/>
    <w:rsid w:val="004440D8"/>
    <w:rsid w:val="00445D89"/>
    <w:rsid w:val="00446297"/>
    <w:rsid w:val="00451864"/>
    <w:rsid w:val="004518E6"/>
    <w:rsid w:val="00452A51"/>
    <w:rsid w:val="004534D5"/>
    <w:rsid w:val="004540E0"/>
    <w:rsid w:val="004541C8"/>
    <w:rsid w:val="00455078"/>
    <w:rsid w:val="004559BB"/>
    <w:rsid w:val="00457EFF"/>
    <w:rsid w:val="00463A64"/>
    <w:rsid w:val="00465DA2"/>
    <w:rsid w:val="00466908"/>
    <w:rsid w:val="004671EF"/>
    <w:rsid w:val="00471BD1"/>
    <w:rsid w:val="00471EA3"/>
    <w:rsid w:val="00472564"/>
    <w:rsid w:val="00472F90"/>
    <w:rsid w:val="00475873"/>
    <w:rsid w:val="00476D13"/>
    <w:rsid w:val="00476E71"/>
    <w:rsid w:val="00476F44"/>
    <w:rsid w:val="00477055"/>
    <w:rsid w:val="00477536"/>
    <w:rsid w:val="00482184"/>
    <w:rsid w:val="0048244A"/>
    <w:rsid w:val="00484E02"/>
    <w:rsid w:val="00485FFD"/>
    <w:rsid w:val="0049202A"/>
    <w:rsid w:val="00492442"/>
    <w:rsid w:val="00492C2C"/>
    <w:rsid w:val="00494E01"/>
    <w:rsid w:val="00495C53"/>
    <w:rsid w:val="004A0EDF"/>
    <w:rsid w:val="004A25B2"/>
    <w:rsid w:val="004A2B4C"/>
    <w:rsid w:val="004A2B9E"/>
    <w:rsid w:val="004A2E50"/>
    <w:rsid w:val="004A34E9"/>
    <w:rsid w:val="004A3549"/>
    <w:rsid w:val="004A68F3"/>
    <w:rsid w:val="004A782B"/>
    <w:rsid w:val="004B061E"/>
    <w:rsid w:val="004B13F3"/>
    <w:rsid w:val="004B16B8"/>
    <w:rsid w:val="004B1916"/>
    <w:rsid w:val="004B5C84"/>
    <w:rsid w:val="004B60DC"/>
    <w:rsid w:val="004C1BD6"/>
    <w:rsid w:val="004C52AB"/>
    <w:rsid w:val="004C53BD"/>
    <w:rsid w:val="004D1ED3"/>
    <w:rsid w:val="004D28DF"/>
    <w:rsid w:val="004D62E7"/>
    <w:rsid w:val="004D6B64"/>
    <w:rsid w:val="004D7448"/>
    <w:rsid w:val="004E5413"/>
    <w:rsid w:val="004E67DA"/>
    <w:rsid w:val="004E6A10"/>
    <w:rsid w:val="004E7D73"/>
    <w:rsid w:val="004F0C66"/>
    <w:rsid w:val="004F118C"/>
    <w:rsid w:val="004F1516"/>
    <w:rsid w:val="004F6116"/>
    <w:rsid w:val="004F6183"/>
    <w:rsid w:val="004F7163"/>
    <w:rsid w:val="00500A68"/>
    <w:rsid w:val="00504D18"/>
    <w:rsid w:val="005111E8"/>
    <w:rsid w:val="00511284"/>
    <w:rsid w:val="00513911"/>
    <w:rsid w:val="00513F36"/>
    <w:rsid w:val="00522479"/>
    <w:rsid w:val="00522567"/>
    <w:rsid w:val="00522828"/>
    <w:rsid w:val="00523178"/>
    <w:rsid w:val="00523CD3"/>
    <w:rsid w:val="00525940"/>
    <w:rsid w:val="00530BAB"/>
    <w:rsid w:val="00531682"/>
    <w:rsid w:val="00531DDF"/>
    <w:rsid w:val="00533504"/>
    <w:rsid w:val="005350AE"/>
    <w:rsid w:val="005354C8"/>
    <w:rsid w:val="00535A3A"/>
    <w:rsid w:val="00537944"/>
    <w:rsid w:val="005419AB"/>
    <w:rsid w:val="0054253F"/>
    <w:rsid w:val="00542CED"/>
    <w:rsid w:val="00544DAA"/>
    <w:rsid w:val="005451D2"/>
    <w:rsid w:val="005457C6"/>
    <w:rsid w:val="00546185"/>
    <w:rsid w:val="005478D9"/>
    <w:rsid w:val="00547BA8"/>
    <w:rsid w:val="00550BEF"/>
    <w:rsid w:val="0055138B"/>
    <w:rsid w:val="005515D8"/>
    <w:rsid w:val="005517F7"/>
    <w:rsid w:val="00552CAE"/>
    <w:rsid w:val="00557B7E"/>
    <w:rsid w:val="005608A7"/>
    <w:rsid w:val="005609EE"/>
    <w:rsid w:val="00562B54"/>
    <w:rsid w:val="00563D22"/>
    <w:rsid w:val="00564F5F"/>
    <w:rsid w:val="00565892"/>
    <w:rsid w:val="005677F0"/>
    <w:rsid w:val="00571AC4"/>
    <w:rsid w:val="0057224A"/>
    <w:rsid w:val="00573D46"/>
    <w:rsid w:val="00576184"/>
    <w:rsid w:val="005817FD"/>
    <w:rsid w:val="005830E7"/>
    <w:rsid w:val="00583EA7"/>
    <w:rsid w:val="005903CA"/>
    <w:rsid w:val="00591891"/>
    <w:rsid w:val="005A0520"/>
    <w:rsid w:val="005A139A"/>
    <w:rsid w:val="005A1B79"/>
    <w:rsid w:val="005A2966"/>
    <w:rsid w:val="005A38B2"/>
    <w:rsid w:val="005A4AE8"/>
    <w:rsid w:val="005A6410"/>
    <w:rsid w:val="005A78D8"/>
    <w:rsid w:val="005B297A"/>
    <w:rsid w:val="005B6AD6"/>
    <w:rsid w:val="005C2F75"/>
    <w:rsid w:val="005C5729"/>
    <w:rsid w:val="005C65F0"/>
    <w:rsid w:val="005C71DB"/>
    <w:rsid w:val="005D0FA2"/>
    <w:rsid w:val="005D11F9"/>
    <w:rsid w:val="005D1B09"/>
    <w:rsid w:val="005D63C0"/>
    <w:rsid w:val="005D738E"/>
    <w:rsid w:val="005D7CF4"/>
    <w:rsid w:val="005E26E9"/>
    <w:rsid w:val="005E76CE"/>
    <w:rsid w:val="005F0488"/>
    <w:rsid w:val="005F0942"/>
    <w:rsid w:val="005F19B9"/>
    <w:rsid w:val="005F202A"/>
    <w:rsid w:val="005F2A39"/>
    <w:rsid w:val="005F5664"/>
    <w:rsid w:val="00600225"/>
    <w:rsid w:val="00602C44"/>
    <w:rsid w:val="00604DD4"/>
    <w:rsid w:val="0060538F"/>
    <w:rsid w:val="00606F22"/>
    <w:rsid w:val="00610C83"/>
    <w:rsid w:val="00611263"/>
    <w:rsid w:val="00611A7B"/>
    <w:rsid w:val="0061304B"/>
    <w:rsid w:val="00615274"/>
    <w:rsid w:val="0062658D"/>
    <w:rsid w:val="00626D70"/>
    <w:rsid w:val="00632E3C"/>
    <w:rsid w:val="00633386"/>
    <w:rsid w:val="00633CA0"/>
    <w:rsid w:val="00641023"/>
    <w:rsid w:val="0064121C"/>
    <w:rsid w:val="00641AEB"/>
    <w:rsid w:val="00645F08"/>
    <w:rsid w:val="00646D50"/>
    <w:rsid w:val="0065236E"/>
    <w:rsid w:val="00652600"/>
    <w:rsid w:val="00652C9E"/>
    <w:rsid w:val="00653A3A"/>
    <w:rsid w:val="00654197"/>
    <w:rsid w:val="00654C5C"/>
    <w:rsid w:val="006556A9"/>
    <w:rsid w:val="00657596"/>
    <w:rsid w:val="00657CED"/>
    <w:rsid w:val="0066042F"/>
    <w:rsid w:val="006616FE"/>
    <w:rsid w:val="00662060"/>
    <w:rsid w:val="0066335A"/>
    <w:rsid w:val="00663AEE"/>
    <w:rsid w:val="00663BFC"/>
    <w:rsid w:val="00671547"/>
    <w:rsid w:val="00672E8A"/>
    <w:rsid w:val="00673CCB"/>
    <w:rsid w:val="0067488A"/>
    <w:rsid w:val="00674A12"/>
    <w:rsid w:val="0067657F"/>
    <w:rsid w:val="0068097C"/>
    <w:rsid w:val="0068109C"/>
    <w:rsid w:val="0068145A"/>
    <w:rsid w:val="00683FEC"/>
    <w:rsid w:val="00684E1F"/>
    <w:rsid w:val="00685548"/>
    <w:rsid w:val="006873AF"/>
    <w:rsid w:val="00694D37"/>
    <w:rsid w:val="00695AAA"/>
    <w:rsid w:val="006962CA"/>
    <w:rsid w:val="006962D5"/>
    <w:rsid w:val="006962DE"/>
    <w:rsid w:val="00697B56"/>
    <w:rsid w:val="00697D58"/>
    <w:rsid w:val="006A01C6"/>
    <w:rsid w:val="006A0572"/>
    <w:rsid w:val="006A16BD"/>
    <w:rsid w:val="006A5B9B"/>
    <w:rsid w:val="006A6204"/>
    <w:rsid w:val="006A7E39"/>
    <w:rsid w:val="006B13B8"/>
    <w:rsid w:val="006B5286"/>
    <w:rsid w:val="006B613E"/>
    <w:rsid w:val="006B6E73"/>
    <w:rsid w:val="006B730B"/>
    <w:rsid w:val="006C0E9C"/>
    <w:rsid w:val="006C2032"/>
    <w:rsid w:val="006C2494"/>
    <w:rsid w:val="006C66B7"/>
    <w:rsid w:val="006C76ED"/>
    <w:rsid w:val="006D0D89"/>
    <w:rsid w:val="006D23EB"/>
    <w:rsid w:val="006D2A40"/>
    <w:rsid w:val="006D2C39"/>
    <w:rsid w:val="006D3FBA"/>
    <w:rsid w:val="006D5435"/>
    <w:rsid w:val="006E0198"/>
    <w:rsid w:val="006E094A"/>
    <w:rsid w:val="006E0D36"/>
    <w:rsid w:val="006E16C0"/>
    <w:rsid w:val="006E1910"/>
    <w:rsid w:val="006E20C4"/>
    <w:rsid w:val="006E4B99"/>
    <w:rsid w:val="006E59D6"/>
    <w:rsid w:val="006E7178"/>
    <w:rsid w:val="006E71D2"/>
    <w:rsid w:val="006F009E"/>
    <w:rsid w:val="006F0641"/>
    <w:rsid w:val="006F3E88"/>
    <w:rsid w:val="006F56E1"/>
    <w:rsid w:val="006F5D51"/>
    <w:rsid w:val="006F605B"/>
    <w:rsid w:val="006F7483"/>
    <w:rsid w:val="006F759A"/>
    <w:rsid w:val="006F797C"/>
    <w:rsid w:val="00700F54"/>
    <w:rsid w:val="00701DE9"/>
    <w:rsid w:val="007032AE"/>
    <w:rsid w:val="00703729"/>
    <w:rsid w:val="00704788"/>
    <w:rsid w:val="00705670"/>
    <w:rsid w:val="00705AA1"/>
    <w:rsid w:val="007105D6"/>
    <w:rsid w:val="0071513C"/>
    <w:rsid w:val="007154AD"/>
    <w:rsid w:val="00716688"/>
    <w:rsid w:val="007201CB"/>
    <w:rsid w:val="00721CD9"/>
    <w:rsid w:val="00722341"/>
    <w:rsid w:val="007233F6"/>
    <w:rsid w:val="00724AE8"/>
    <w:rsid w:val="00725B49"/>
    <w:rsid w:val="00726330"/>
    <w:rsid w:val="0073055A"/>
    <w:rsid w:val="007357AE"/>
    <w:rsid w:val="00740EB0"/>
    <w:rsid w:val="00742148"/>
    <w:rsid w:val="00742549"/>
    <w:rsid w:val="00742BFF"/>
    <w:rsid w:val="0074760C"/>
    <w:rsid w:val="00747D8E"/>
    <w:rsid w:val="00747F43"/>
    <w:rsid w:val="00750D18"/>
    <w:rsid w:val="00753948"/>
    <w:rsid w:val="00754633"/>
    <w:rsid w:val="00754AFB"/>
    <w:rsid w:val="00756789"/>
    <w:rsid w:val="00756AA6"/>
    <w:rsid w:val="00757C5A"/>
    <w:rsid w:val="00757DB8"/>
    <w:rsid w:val="00761586"/>
    <w:rsid w:val="0076415C"/>
    <w:rsid w:val="0076508C"/>
    <w:rsid w:val="00766369"/>
    <w:rsid w:val="00766BF2"/>
    <w:rsid w:val="00774CD2"/>
    <w:rsid w:val="00775765"/>
    <w:rsid w:val="00776252"/>
    <w:rsid w:val="00777774"/>
    <w:rsid w:val="00782095"/>
    <w:rsid w:val="00783DDB"/>
    <w:rsid w:val="00784BD7"/>
    <w:rsid w:val="00787F87"/>
    <w:rsid w:val="007902D2"/>
    <w:rsid w:val="00792EC7"/>
    <w:rsid w:val="00793B48"/>
    <w:rsid w:val="0079414E"/>
    <w:rsid w:val="00794625"/>
    <w:rsid w:val="007959B2"/>
    <w:rsid w:val="007A0AAB"/>
    <w:rsid w:val="007A239F"/>
    <w:rsid w:val="007A5067"/>
    <w:rsid w:val="007A633E"/>
    <w:rsid w:val="007A6F3E"/>
    <w:rsid w:val="007B136F"/>
    <w:rsid w:val="007B1892"/>
    <w:rsid w:val="007B3E36"/>
    <w:rsid w:val="007B6419"/>
    <w:rsid w:val="007B7E60"/>
    <w:rsid w:val="007C2400"/>
    <w:rsid w:val="007C26AA"/>
    <w:rsid w:val="007C3A3B"/>
    <w:rsid w:val="007C420D"/>
    <w:rsid w:val="007C688E"/>
    <w:rsid w:val="007C6E30"/>
    <w:rsid w:val="007D00E1"/>
    <w:rsid w:val="007D02C7"/>
    <w:rsid w:val="007D0866"/>
    <w:rsid w:val="007D2713"/>
    <w:rsid w:val="007D3111"/>
    <w:rsid w:val="007D426C"/>
    <w:rsid w:val="007D524A"/>
    <w:rsid w:val="007E35FA"/>
    <w:rsid w:val="007E3A37"/>
    <w:rsid w:val="007E538F"/>
    <w:rsid w:val="007E59C5"/>
    <w:rsid w:val="007E601D"/>
    <w:rsid w:val="007E6B59"/>
    <w:rsid w:val="007E7819"/>
    <w:rsid w:val="007F046A"/>
    <w:rsid w:val="007F05C3"/>
    <w:rsid w:val="007F1A67"/>
    <w:rsid w:val="007F2357"/>
    <w:rsid w:val="007F29ED"/>
    <w:rsid w:val="007F2D80"/>
    <w:rsid w:val="007F5169"/>
    <w:rsid w:val="00802A34"/>
    <w:rsid w:val="00805CCE"/>
    <w:rsid w:val="008060E1"/>
    <w:rsid w:val="00807C0C"/>
    <w:rsid w:val="0081049B"/>
    <w:rsid w:val="008108C9"/>
    <w:rsid w:val="00810ED7"/>
    <w:rsid w:val="00811098"/>
    <w:rsid w:val="0081379C"/>
    <w:rsid w:val="00813DD8"/>
    <w:rsid w:val="00815BE1"/>
    <w:rsid w:val="0082094E"/>
    <w:rsid w:val="008221EC"/>
    <w:rsid w:val="00826880"/>
    <w:rsid w:val="0082760A"/>
    <w:rsid w:val="00832127"/>
    <w:rsid w:val="00832C49"/>
    <w:rsid w:val="008335CC"/>
    <w:rsid w:val="008337BB"/>
    <w:rsid w:val="00840DC8"/>
    <w:rsid w:val="00841468"/>
    <w:rsid w:val="00842099"/>
    <w:rsid w:val="00843DAD"/>
    <w:rsid w:val="00845F78"/>
    <w:rsid w:val="00846430"/>
    <w:rsid w:val="008516DF"/>
    <w:rsid w:val="00851FAF"/>
    <w:rsid w:val="00852053"/>
    <w:rsid w:val="00854069"/>
    <w:rsid w:val="00856309"/>
    <w:rsid w:val="008600D1"/>
    <w:rsid w:val="0086075C"/>
    <w:rsid w:val="00861AA1"/>
    <w:rsid w:val="0086374C"/>
    <w:rsid w:val="0086516D"/>
    <w:rsid w:val="00865BF6"/>
    <w:rsid w:val="0086624A"/>
    <w:rsid w:val="00866640"/>
    <w:rsid w:val="00866CBC"/>
    <w:rsid w:val="00867E90"/>
    <w:rsid w:val="008711E9"/>
    <w:rsid w:val="0087173E"/>
    <w:rsid w:val="00871F3A"/>
    <w:rsid w:val="00872E42"/>
    <w:rsid w:val="00873709"/>
    <w:rsid w:val="0087409A"/>
    <w:rsid w:val="00874D37"/>
    <w:rsid w:val="008759C2"/>
    <w:rsid w:val="00880024"/>
    <w:rsid w:val="008825DF"/>
    <w:rsid w:val="0088290B"/>
    <w:rsid w:val="008830D6"/>
    <w:rsid w:val="00883D28"/>
    <w:rsid w:val="00884C97"/>
    <w:rsid w:val="00884E8F"/>
    <w:rsid w:val="0088774A"/>
    <w:rsid w:val="00892644"/>
    <w:rsid w:val="008A1347"/>
    <w:rsid w:val="008A2039"/>
    <w:rsid w:val="008A5DE2"/>
    <w:rsid w:val="008A76A3"/>
    <w:rsid w:val="008B0543"/>
    <w:rsid w:val="008B19E9"/>
    <w:rsid w:val="008B5E17"/>
    <w:rsid w:val="008B65AA"/>
    <w:rsid w:val="008B70E9"/>
    <w:rsid w:val="008B7115"/>
    <w:rsid w:val="008B7425"/>
    <w:rsid w:val="008B773E"/>
    <w:rsid w:val="008B7E73"/>
    <w:rsid w:val="008B7FAB"/>
    <w:rsid w:val="008C3B99"/>
    <w:rsid w:val="008C5059"/>
    <w:rsid w:val="008C5158"/>
    <w:rsid w:val="008C5947"/>
    <w:rsid w:val="008D361A"/>
    <w:rsid w:val="008D43F3"/>
    <w:rsid w:val="008E09D9"/>
    <w:rsid w:val="008E1D92"/>
    <w:rsid w:val="008E1F86"/>
    <w:rsid w:val="008E53BE"/>
    <w:rsid w:val="008E62E2"/>
    <w:rsid w:val="008E6A54"/>
    <w:rsid w:val="008E7BDD"/>
    <w:rsid w:val="008F175B"/>
    <w:rsid w:val="008F17E2"/>
    <w:rsid w:val="008F7C3A"/>
    <w:rsid w:val="00900A41"/>
    <w:rsid w:val="00900F68"/>
    <w:rsid w:val="00901625"/>
    <w:rsid w:val="00903175"/>
    <w:rsid w:val="00903E87"/>
    <w:rsid w:val="009050F4"/>
    <w:rsid w:val="0090530A"/>
    <w:rsid w:val="00905FC2"/>
    <w:rsid w:val="00907B42"/>
    <w:rsid w:val="00907F70"/>
    <w:rsid w:val="00912819"/>
    <w:rsid w:val="0091334F"/>
    <w:rsid w:val="00914F29"/>
    <w:rsid w:val="009204A8"/>
    <w:rsid w:val="00921889"/>
    <w:rsid w:val="00923247"/>
    <w:rsid w:val="0092586B"/>
    <w:rsid w:val="00925DFC"/>
    <w:rsid w:val="009275A1"/>
    <w:rsid w:val="00927DF0"/>
    <w:rsid w:val="00931576"/>
    <w:rsid w:val="00931816"/>
    <w:rsid w:val="00933F36"/>
    <w:rsid w:val="00937021"/>
    <w:rsid w:val="00937F22"/>
    <w:rsid w:val="00940B9F"/>
    <w:rsid w:val="009424C5"/>
    <w:rsid w:val="0094348B"/>
    <w:rsid w:val="0094367F"/>
    <w:rsid w:val="009447AF"/>
    <w:rsid w:val="009456E6"/>
    <w:rsid w:val="00947A0D"/>
    <w:rsid w:val="00951AA6"/>
    <w:rsid w:val="00951F48"/>
    <w:rsid w:val="00952279"/>
    <w:rsid w:val="0095270E"/>
    <w:rsid w:val="0095326C"/>
    <w:rsid w:val="00953D4D"/>
    <w:rsid w:val="009540A3"/>
    <w:rsid w:val="00955007"/>
    <w:rsid w:val="009576C0"/>
    <w:rsid w:val="0096046F"/>
    <w:rsid w:val="00960E3F"/>
    <w:rsid w:val="00964B8F"/>
    <w:rsid w:val="00964D79"/>
    <w:rsid w:val="00967B01"/>
    <w:rsid w:val="00967C88"/>
    <w:rsid w:val="00970D62"/>
    <w:rsid w:val="00971DB2"/>
    <w:rsid w:val="00973A27"/>
    <w:rsid w:val="009764CA"/>
    <w:rsid w:val="0098056B"/>
    <w:rsid w:val="0098189E"/>
    <w:rsid w:val="009819DD"/>
    <w:rsid w:val="0098317B"/>
    <w:rsid w:val="00983486"/>
    <w:rsid w:val="0098460A"/>
    <w:rsid w:val="00985FED"/>
    <w:rsid w:val="009864E3"/>
    <w:rsid w:val="009907DD"/>
    <w:rsid w:val="00991B0F"/>
    <w:rsid w:val="0099231C"/>
    <w:rsid w:val="0099522C"/>
    <w:rsid w:val="00996470"/>
    <w:rsid w:val="009968B1"/>
    <w:rsid w:val="00996BB8"/>
    <w:rsid w:val="00997ED2"/>
    <w:rsid w:val="009A04FA"/>
    <w:rsid w:val="009A0596"/>
    <w:rsid w:val="009A05C0"/>
    <w:rsid w:val="009B0276"/>
    <w:rsid w:val="009B4886"/>
    <w:rsid w:val="009B59FF"/>
    <w:rsid w:val="009B735A"/>
    <w:rsid w:val="009B7B44"/>
    <w:rsid w:val="009C0679"/>
    <w:rsid w:val="009C099B"/>
    <w:rsid w:val="009C131F"/>
    <w:rsid w:val="009C23C6"/>
    <w:rsid w:val="009C3443"/>
    <w:rsid w:val="009C5ED4"/>
    <w:rsid w:val="009C6EF9"/>
    <w:rsid w:val="009C6F9D"/>
    <w:rsid w:val="009C7F28"/>
    <w:rsid w:val="009D35F2"/>
    <w:rsid w:val="009D59F6"/>
    <w:rsid w:val="009D5BA6"/>
    <w:rsid w:val="009D6BED"/>
    <w:rsid w:val="009D6C8D"/>
    <w:rsid w:val="009E3D71"/>
    <w:rsid w:val="009E644B"/>
    <w:rsid w:val="009E6896"/>
    <w:rsid w:val="009E7C49"/>
    <w:rsid w:val="009F1ACB"/>
    <w:rsid w:val="009F2468"/>
    <w:rsid w:val="009F3AFE"/>
    <w:rsid w:val="009F3C0D"/>
    <w:rsid w:val="009F455A"/>
    <w:rsid w:val="009F461F"/>
    <w:rsid w:val="009F681B"/>
    <w:rsid w:val="009F68C8"/>
    <w:rsid w:val="009F7662"/>
    <w:rsid w:val="00A00DEE"/>
    <w:rsid w:val="00A020B2"/>
    <w:rsid w:val="00A05A02"/>
    <w:rsid w:val="00A05ADF"/>
    <w:rsid w:val="00A0636F"/>
    <w:rsid w:val="00A06521"/>
    <w:rsid w:val="00A06883"/>
    <w:rsid w:val="00A07A49"/>
    <w:rsid w:val="00A07D3F"/>
    <w:rsid w:val="00A14093"/>
    <w:rsid w:val="00A14379"/>
    <w:rsid w:val="00A16783"/>
    <w:rsid w:val="00A174CC"/>
    <w:rsid w:val="00A17B44"/>
    <w:rsid w:val="00A22052"/>
    <w:rsid w:val="00A25EE1"/>
    <w:rsid w:val="00A272C8"/>
    <w:rsid w:val="00A300EB"/>
    <w:rsid w:val="00A30914"/>
    <w:rsid w:val="00A3190E"/>
    <w:rsid w:val="00A34BD6"/>
    <w:rsid w:val="00A34D3E"/>
    <w:rsid w:val="00A37459"/>
    <w:rsid w:val="00A37981"/>
    <w:rsid w:val="00A46F91"/>
    <w:rsid w:val="00A47AC4"/>
    <w:rsid w:val="00A47B7A"/>
    <w:rsid w:val="00A50007"/>
    <w:rsid w:val="00A507C4"/>
    <w:rsid w:val="00A51B8B"/>
    <w:rsid w:val="00A52AE1"/>
    <w:rsid w:val="00A52E77"/>
    <w:rsid w:val="00A55AEA"/>
    <w:rsid w:val="00A6094E"/>
    <w:rsid w:val="00A63B44"/>
    <w:rsid w:val="00A64165"/>
    <w:rsid w:val="00A65A24"/>
    <w:rsid w:val="00A65C44"/>
    <w:rsid w:val="00A66BA5"/>
    <w:rsid w:val="00A675A8"/>
    <w:rsid w:val="00A7055E"/>
    <w:rsid w:val="00A7101C"/>
    <w:rsid w:val="00A71562"/>
    <w:rsid w:val="00A7381B"/>
    <w:rsid w:val="00A741FA"/>
    <w:rsid w:val="00A74A5D"/>
    <w:rsid w:val="00A74D19"/>
    <w:rsid w:val="00A75335"/>
    <w:rsid w:val="00A75D8E"/>
    <w:rsid w:val="00A77B37"/>
    <w:rsid w:val="00A77C87"/>
    <w:rsid w:val="00A82C37"/>
    <w:rsid w:val="00A869A7"/>
    <w:rsid w:val="00A86F02"/>
    <w:rsid w:val="00A87662"/>
    <w:rsid w:val="00A90287"/>
    <w:rsid w:val="00A9159E"/>
    <w:rsid w:val="00A918DA"/>
    <w:rsid w:val="00A93F0B"/>
    <w:rsid w:val="00AA0DDE"/>
    <w:rsid w:val="00AA1880"/>
    <w:rsid w:val="00AA22C9"/>
    <w:rsid w:val="00AA35D2"/>
    <w:rsid w:val="00AA423E"/>
    <w:rsid w:val="00AA4FFC"/>
    <w:rsid w:val="00AA5584"/>
    <w:rsid w:val="00AA62A4"/>
    <w:rsid w:val="00AA6F12"/>
    <w:rsid w:val="00AA7070"/>
    <w:rsid w:val="00AB069E"/>
    <w:rsid w:val="00AB124F"/>
    <w:rsid w:val="00AB6187"/>
    <w:rsid w:val="00AC087B"/>
    <w:rsid w:val="00AC1F5D"/>
    <w:rsid w:val="00AC525E"/>
    <w:rsid w:val="00AD1AF2"/>
    <w:rsid w:val="00AD229B"/>
    <w:rsid w:val="00AD2572"/>
    <w:rsid w:val="00AD27B7"/>
    <w:rsid w:val="00AD2F2D"/>
    <w:rsid w:val="00AD4EDE"/>
    <w:rsid w:val="00AD604A"/>
    <w:rsid w:val="00AE0A85"/>
    <w:rsid w:val="00AE0C65"/>
    <w:rsid w:val="00AE1403"/>
    <w:rsid w:val="00AE2A99"/>
    <w:rsid w:val="00AE2BC3"/>
    <w:rsid w:val="00AE38CD"/>
    <w:rsid w:val="00AE3AE7"/>
    <w:rsid w:val="00AE4118"/>
    <w:rsid w:val="00AE4DBE"/>
    <w:rsid w:val="00AE53E6"/>
    <w:rsid w:val="00AE6E0C"/>
    <w:rsid w:val="00AF1A4E"/>
    <w:rsid w:val="00AF1BCA"/>
    <w:rsid w:val="00AF3444"/>
    <w:rsid w:val="00AF528F"/>
    <w:rsid w:val="00AF5F8C"/>
    <w:rsid w:val="00B0021E"/>
    <w:rsid w:val="00B02F1A"/>
    <w:rsid w:val="00B03821"/>
    <w:rsid w:val="00B0693B"/>
    <w:rsid w:val="00B145C9"/>
    <w:rsid w:val="00B21065"/>
    <w:rsid w:val="00B21FD0"/>
    <w:rsid w:val="00B23031"/>
    <w:rsid w:val="00B26807"/>
    <w:rsid w:val="00B274A0"/>
    <w:rsid w:val="00B316F8"/>
    <w:rsid w:val="00B31EB6"/>
    <w:rsid w:val="00B33101"/>
    <w:rsid w:val="00B33323"/>
    <w:rsid w:val="00B368F2"/>
    <w:rsid w:val="00B36A7F"/>
    <w:rsid w:val="00B4177F"/>
    <w:rsid w:val="00B42E2C"/>
    <w:rsid w:val="00B445F5"/>
    <w:rsid w:val="00B47CAC"/>
    <w:rsid w:val="00B509BE"/>
    <w:rsid w:val="00B510E0"/>
    <w:rsid w:val="00B51F2D"/>
    <w:rsid w:val="00B53D73"/>
    <w:rsid w:val="00B54ACA"/>
    <w:rsid w:val="00B56CD6"/>
    <w:rsid w:val="00B60A04"/>
    <w:rsid w:val="00B61D24"/>
    <w:rsid w:val="00B63981"/>
    <w:rsid w:val="00B647DE"/>
    <w:rsid w:val="00B66643"/>
    <w:rsid w:val="00B67244"/>
    <w:rsid w:val="00B73F40"/>
    <w:rsid w:val="00B801B9"/>
    <w:rsid w:val="00B80E5F"/>
    <w:rsid w:val="00B81B9F"/>
    <w:rsid w:val="00B8298A"/>
    <w:rsid w:val="00B832B3"/>
    <w:rsid w:val="00B8484A"/>
    <w:rsid w:val="00B85811"/>
    <w:rsid w:val="00B8635F"/>
    <w:rsid w:val="00B8641C"/>
    <w:rsid w:val="00B876FA"/>
    <w:rsid w:val="00B905B1"/>
    <w:rsid w:val="00B92CAA"/>
    <w:rsid w:val="00B938B3"/>
    <w:rsid w:val="00B95911"/>
    <w:rsid w:val="00B967A5"/>
    <w:rsid w:val="00B9699A"/>
    <w:rsid w:val="00B97CBB"/>
    <w:rsid w:val="00BA17CE"/>
    <w:rsid w:val="00BA3476"/>
    <w:rsid w:val="00BA35BB"/>
    <w:rsid w:val="00BA4B57"/>
    <w:rsid w:val="00BA56D5"/>
    <w:rsid w:val="00BA5CA0"/>
    <w:rsid w:val="00BA5FE9"/>
    <w:rsid w:val="00BA68B3"/>
    <w:rsid w:val="00BA792E"/>
    <w:rsid w:val="00BA79D7"/>
    <w:rsid w:val="00BA7C9C"/>
    <w:rsid w:val="00BB0778"/>
    <w:rsid w:val="00BB41C8"/>
    <w:rsid w:val="00BB4E32"/>
    <w:rsid w:val="00BB5597"/>
    <w:rsid w:val="00BB6B87"/>
    <w:rsid w:val="00BB7493"/>
    <w:rsid w:val="00BB7CDF"/>
    <w:rsid w:val="00BD1ADF"/>
    <w:rsid w:val="00BD2D65"/>
    <w:rsid w:val="00BD63CB"/>
    <w:rsid w:val="00BD6E01"/>
    <w:rsid w:val="00BE77D5"/>
    <w:rsid w:val="00BF0A3C"/>
    <w:rsid w:val="00BF1294"/>
    <w:rsid w:val="00BF16B1"/>
    <w:rsid w:val="00C0004E"/>
    <w:rsid w:val="00C004F4"/>
    <w:rsid w:val="00C02F68"/>
    <w:rsid w:val="00C06C75"/>
    <w:rsid w:val="00C100A3"/>
    <w:rsid w:val="00C12D79"/>
    <w:rsid w:val="00C17772"/>
    <w:rsid w:val="00C17AA6"/>
    <w:rsid w:val="00C20D38"/>
    <w:rsid w:val="00C2122C"/>
    <w:rsid w:val="00C216EF"/>
    <w:rsid w:val="00C2241A"/>
    <w:rsid w:val="00C22EA4"/>
    <w:rsid w:val="00C2591E"/>
    <w:rsid w:val="00C31955"/>
    <w:rsid w:val="00C34071"/>
    <w:rsid w:val="00C3549A"/>
    <w:rsid w:val="00C357D0"/>
    <w:rsid w:val="00C36714"/>
    <w:rsid w:val="00C36F60"/>
    <w:rsid w:val="00C41F8E"/>
    <w:rsid w:val="00C422F1"/>
    <w:rsid w:val="00C43D4F"/>
    <w:rsid w:val="00C4454D"/>
    <w:rsid w:val="00C44919"/>
    <w:rsid w:val="00C475B9"/>
    <w:rsid w:val="00C516BF"/>
    <w:rsid w:val="00C51B19"/>
    <w:rsid w:val="00C52392"/>
    <w:rsid w:val="00C53DC4"/>
    <w:rsid w:val="00C5522F"/>
    <w:rsid w:val="00C55B8F"/>
    <w:rsid w:val="00C5748F"/>
    <w:rsid w:val="00C6012D"/>
    <w:rsid w:val="00C6121B"/>
    <w:rsid w:val="00C61F5B"/>
    <w:rsid w:val="00C64730"/>
    <w:rsid w:val="00C67040"/>
    <w:rsid w:val="00C704D2"/>
    <w:rsid w:val="00C71E7A"/>
    <w:rsid w:val="00C72191"/>
    <w:rsid w:val="00C721C2"/>
    <w:rsid w:val="00C7307B"/>
    <w:rsid w:val="00C7383C"/>
    <w:rsid w:val="00C77AEF"/>
    <w:rsid w:val="00C82092"/>
    <w:rsid w:val="00C82591"/>
    <w:rsid w:val="00C8340E"/>
    <w:rsid w:val="00C8370D"/>
    <w:rsid w:val="00C84685"/>
    <w:rsid w:val="00C84F5A"/>
    <w:rsid w:val="00C8561F"/>
    <w:rsid w:val="00C8775C"/>
    <w:rsid w:val="00C87F8B"/>
    <w:rsid w:val="00C90BF0"/>
    <w:rsid w:val="00C91AFF"/>
    <w:rsid w:val="00C91B5F"/>
    <w:rsid w:val="00C92F10"/>
    <w:rsid w:val="00C93034"/>
    <w:rsid w:val="00C933C0"/>
    <w:rsid w:val="00C938A6"/>
    <w:rsid w:val="00C93BE4"/>
    <w:rsid w:val="00C93D44"/>
    <w:rsid w:val="00C94243"/>
    <w:rsid w:val="00C9424E"/>
    <w:rsid w:val="00C9455B"/>
    <w:rsid w:val="00CA0397"/>
    <w:rsid w:val="00CA0B35"/>
    <w:rsid w:val="00CA29A7"/>
    <w:rsid w:val="00CA3CA2"/>
    <w:rsid w:val="00CA54E0"/>
    <w:rsid w:val="00CB07E5"/>
    <w:rsid w:val="00CB1E9A"/>
    <w:rsid w:val="00CB355E"/>
    <w:rsid w:val="00CB3CB7"/>
    <w:rsid w:val="00CB415D"/>
    <w:rsid w:val="00CB57C5"/>
    <w:rsid w:val="00CB6DE5"/>
    <w:rsid w:val="00CB7D16"/>
    <w:rsid w:val="00CC0545"/>
    <w:rsid w:val="00CC2B40"/>
    <w:rsid w:val="00CC4A36"/>
    <w:rsid w:val="00CC74EC"/>
    <w:rsid w:val="00CD07D4"/>
    <w:rsid w:val="00CD0FC8"/>
    <w:rsid w:val="00CD45D3"/>
    <w:rsid w:val="00CD583F"/>
    <w:rsid w:val="00CD71FC"/>
    <w:rsid w:val="00CD7D12"/>
    <w:rsid w:val="00CE0423"/>
    <w:rsid w:val="00CE353F"/>
    <w:rsid w:val="00CE40DA"/>
    <w:rsid w:val="00CE53FD"/>
    <w:rsid w:val="00CE55CE"/>
    <w:rsid w:val="00CF0B25"/>
    <w:rsid w:val="00CF43D3"/>
    <w:rsid w:val="00CF46AA"/>
    <w:rsid w:val="00CF78AE"/>
    <w:rsid w:val="00D10F6B"/>
    <w:rsid w:val="00D13799"/>
    <w:rsid w:val="00D13E80"/>
    <w:rsid w:val="00D16224"/>
    <w:rsid w:val="00D20008"/>
    <w:rsid w:val="00D20E4F"/>
    <w:rsid w:val="00D210F6"/>
    <w:rsid w:val="00D23335"/>
    <w:rsid w:val="00D24A5A"/>
    <w:rsid w:val="00D24F59"/>
    <w:rsid w:val="00D25565"/>
    <w:rsid w:val="00D26DE9"/>
    <w:rsid w:val="00D2725A"/>
    <w:rsid w:val="00D27E5C"/>
    <w:rsid w:val="00D305C8"/>
    <w:rsid w:val="00D31A0D"/>
    <w:rsid w:val="00D3469A"/>
    <w:rsid w:val="00D3545F"/>
    <w:rsid w:val="00D36E68"/>
    <w:rsid w:val="00D37D3E"/>
    <w:rsid w:val="00D42A37"/>
    <w:rsid w:val="00D43D54"/>
    <w:rsid w:val="00D45934"/>
    <w:rsid w:val="00D4710F"/>
    <w:rsid w:val="00D54783"/>
    <w:rsid w:val="00D60BE9"/>
    <w:rsid w:val="00D626A9"/>
    <w:rsid w:val="00D63C5E"/>
    <w:rsid w:val="00D64C14"/>
    <w:rsid w:val="00D661F7"/>
    <w:rsid w:val="00D663C3"/>
    <w:rsid w:val="00D669FF"/>
    <w:rsid w:val="00D70426"/>
    <w:rsid w:val="00D71608"/>
    <w:rsid w:val="00D72A49"/>
    <w:rsid w:val="00D76259"/>
    <w:rsid w:val="00D7673B"/>
    <w:rsid w:val="00D8016C"/>
    <w:rsid w:val="00D811D5"/>
    <w:rsid w:val="00D82996"/>
    <w:rsid w:val="00D843BF"/>
    <w:rsid w:val="00D869DA"/>
    <w:rsid w:val="00D874E1"/>
    <w:rsid w:val="00D90E85"/>
    <w:rsid w:val="00D91BE3"/>
    <w:rsid w:val="00D92288"/>
    <w:rsid w:val="00D93BEF"/>
    <w:rsid w:val="00D93DE3"/>
    <w:rsid w:val="00D94358"/>
    <w:rsid w:val="00D94F5B"/>
    <w:rsid w:val="00D96EF6"/>
    <w:rsid w:val="00DA4165"/>
    <w:rsid w:val="00DA4CB6"/>
    <w:rsid w:val="00DA4CF8"/>
    <w:rsid w:val="00DA6D25"/>
    <w:rsid w:val="00DB1088"/>
    <w:rsid w:val="00DB26BB"/>
    <w:rsid w:val="00DB2FC8"/>
    <w:rsid w:val="00DB54A3"/>
    <w:rsid w:val="00DB5ABC"/>
    <w:rsid w:val="00DB5BC5"/>
    <w:rsid w:val="00DC17EC"/>
    <w:rsid w:val="00DC3950"/>
    <w:rsid w:val="00DC6331"/>
    <w:rsid w:val="00DD0372"/>
    <w:rsid w:val="00DD0895"/>
    <w:rsid w:val="00DD0AE7"/>
    <w:rsid w:val="00DD220E"/>
    <w:rsid w:val="00DD2516"/>
    <w:rsid w:val="00DD2B6B"/>
    <w:rsid w:val="00DD5397"/>
    <w:rsid w:val="00DD5E29"/>
    <w:rsid w:val="00DE0037"/>
    <w:rsid w:val="00DE2E3F"/>
    <w:rsid w:val="00DE440A"/>
    <w:rsid w:val="00DE6B28"/>
    <w:rsid w:val="00DE7F88"/>
    <w:rsid w:val="00DF0168"/>
    <w:rsid w:val="00DF17F6"/>
    <w:rsid w:val="00DF1C2C"/>
    <w:rsid w:val="00DF32AF"/>
    <w:rsid w:val="00DF71AB"/>
    <w:rsid w:val="00E00109"/>
    <w:rsid w:val="00E006AA"/>
    <w:rsid w:val="00E00A83"/>
    <w:rsid w:val="00E04C66"/>
    <w:rsid w:val="00E058E7"/>
    <w:rsid w:val="00E06165"/>
    <w:rsid w:val="00E071FA"/>
    <w:rsid w:val="00E07999"/>
    <w:rsid w:val="00E07DD8"/>
    <w:rsid w:val="00E07DF0"/>
    <w:rsid w:val="00E119CE"/>
    <w:rsid w:val="00E13133"/>
    <w:rsid w:val="00E1702A"/>
    <w:rsid w:val="00E21370"/>
    <w:rsid w:val="00E26BF9"/>
    <w:rsid w:val="00E2711C"/>
    <w:rsid w:val="00E34798"/>
    <w:rsid w:val="00E36BD7"/>
    <w:rsid w:val="00E40A18"/>
    <w:rsid w:val="00E42D3C"/>
    <w:rsid w:val="00E42EA5"/>
    <w:rsid w:val="00E45949"/>
    <w:rsid w:val="00E4637C"/>
    <w:rsid w:val="00E47485"/>
    <w:rsid w:val="00E47BD0"/>
    <w:rsid w:val="00E5138A"/>
    <w:rsid w:val="00E53067"/>
    <w:rsid w:val="00E5673E"/>
    <w:rsid w:val="00E56B95"/>
    <w:rsid w:val="00E639CC"/>
    <w:rsid w:val="00E63EE2"/>
    <w:rsid w:val="00E64947"/>
    <w:rsid w:val="00E64D79"/>
    <w:rsid w:val="00E6723C"/>
    <w:rsid w:val="00E67C28"/>
    <w:rsid w:val="00E70B30"/>
    <w:rsid w:val="00E70FE8"/>
    <w:rsid w:val="00E72E67"/>
    <w:rsid w:val="00E76785"/>
    <w:rsid w:val="00E77CF8"/>
    <w:rsid w:val="00E8365D"/>
    <w:rsid w:val="00E848A9"/>
    <w:rsid w:val="00E85555"/>
    <w:rsid w:val="00E86CED"/>
    <w:rsid w:val="00E8718A"/>
    <w:rsid w:val="00E9057A"/>
    <w:rsid w:val="00E93F29"/>
    <w:rsid w:val="00E94A6D"/>
    <w:rsid w:val="00E95703"/>
    <w:rsid w:val="00E96AEC"/>
    <w:rsid w:val="00E97A2A"/>
    <w:rsid w:val="00EA4B8A"/>
    <w:rsid w:val="00EB117D"/>
    <w:rsid w:val="00EB18FD"/>
    <w:rsid w:val="00EB26A3"/>
    <w:rsid w:val="00EB4E5D"/>
    <w:rsid w:val="00EB5E5D"/>
    <w:rsid w:val="00EC0597"/>
    <w:rsid w:val="00EC07EC"/>
    <w:rsid w:val="00EC294C"/>
    <w:rsid w:val="00EC3E4D"/>
    <w:rsid w:val="00EC3F2D"/>
    <w:rsid w:val="00EC6339"/>
    <w:rsid w:val="00EC685D"/>
    <w:rsid w:val="00EC6D4A"/>
    <w:rsid w:val="00ED08B9"/>
    <w:rsid w:val="00ED529C"/>
    <w:rsid w:val="00ED6908"/>
    <w:rsid w:val="00ED737E"/>
    <w:rsid w:val="00ED7AC1"/>
    <w:rsid w:val="00ED7C79"/>
    <w:rsid w:val="00EE0D22"/>
    <w:rsid w:val="00EE1508"/>
    <w:rsid w:val="00EE33E5"/>
    <w:rsid w:val="00EE45B3"/>
    <w:rsid w:val="00EF157E"/>
    <w:rsid w:val="00EF33B8"/>
    <w:rsid w:val="00EF3426"/>
    <w:rsid w:val="00EF344C"/>
    <w:rsid w:val="00EF7163"/>
    <w:rsid w:val="00EF74A0"/>
    <w:rsid w:val="00F01354"/>
    <w:rsid w:val="00F0357B"/>
    <w:rsid w:val="00F04755"/>
    <w:rsid w:val="00F052D5"/>
    <w:rsid w:val="00F070FA"/>
    <w:rsid w:val="00F10176"/>
    <w:rsid w:val="00F1071D"/>
    <w:rsid w:val="00F1443D"/>
    <w:rsid w:val="00F16A34"/>
    <w:rsid w:val="00F17DC6"/>
    <w:rsid w:val="00F22E9C"/>
    <w:rsid w:val="00F2613D"/>
    <w:rsid w:val="00F2683B"/>
    <w:rsid w:val="00F27BE3"/>
    <w:rsid w:val="00F27F47"/>
    <w:rsid w:val="00F304F0"/>
    <w:rsid w:val="00F41B0C"/>
    <w:rsid w:val="00F42B79"/>
    <w:rsid w:val="00F50589"/>
    <w:rsid w:val="00F50847"/>
    <w:rsid w:val="00F51DC9"/>
    <w:rsid w:val="00F51EC9"/>
    <w:rsid w:val="00F52054"/>
    <w:rsid w:val="00F524FA"/>
    <w:rsid w:val="00F54105"/>
    <w:rsid w:val="00F57AF5"/>
    <w:rsid w:val="00F6350D"/>
    <w:rsid w:val="00F66CAE"/>
    <w:rsid w:val="00F7034C"/>
    <w:rsid w:val="00F70680"/>
    <w:rsid w:val="00F70B06"/>
    <w:rsid w:val="00F71383"/>
    <w:rsid w:val="00F71CFE"/>
    <w:rsid w:val="00F7262B"/>
    <w:rsid w:val="00F81737"/>
    <w:rsid w:val="00F84436"/>
    <w:rsid w:val="00F84866"/>
    <w:rsid w:val="00F84A2E"/>
    <w:rsid w:val="00F85B57"/>
    <w:rsid w:val="00F8636C"/>
    <w:rsid w:val="00F86925"/>
    <w:rsid w:val="00F86FFD"/>
    <w:rsid w:val="00F87ACD"/>
    <w:rsid w:val="00F902EE"/>
    <w:rsid w:val="00F915AA"/>
    <w:rsid w:val="00F9419C"/>
    <w:rsid w:val="00F942C3"/>
    <w:rsid w:val="00F9595E"/>
    <w:rsid w:val="00F97BFE"/>
    <w:rsid w:val="00FA26E9"/>
    <w:rsid w:val="00FA2E6B"/>
    <w:rsid w:val="00FA54CD"/>
    <w:rsid w:val="00FA5AF2"/>
    <w:rsid w:val="00FA67DC"/>
    <w:rsid w:val="00FB0EA6"/>
    <w:rsid w:val="00FB1C91"/>
    <w:rsid w:val="00FB2026"/>
    <w:rsid w:val="00FB2C63"/>
    <w:rsid w:val="00FB37F2"/>
    <w:rsid w:val="00FB43E5"/>
    <w:rsid w:val="00FB508B"/>
    <w:rsid w:val="00FC0951"/>
    <w:rsid w:val="00FC0B8C"/>
    <w:rsid w:val="00FC0CE9"/>
    <w:rsid w:val="00FC4F0E"/>
    <w:rsid w:val="00FC5658"/>
    <w:rsid w:val="00FC780F"/>
    <w:rsid w:val="00FD1F15"/>
    <w:rsid w:val="00FD3F78"/>
    <w:rsid w:val="00FD50C0"/>
    <w:rsid w:val="00FE4C8D"/>
    <w:rsid w:val="00FE4D3C"/>
    <w:rsid w:val="00FF3907"/>
    <w:rsid w:val="00FF7C57"/>
    <w:rsid w:val="011A85E6"/>
    <w:rsid w:val="01A7B877"/>
    <w:rsid w:val="024D34E0"/>
    <w:rsid w:val="02B65647"/>
    <w:rsid w:val="0600C8B1"/>
    <w:rsid w:val="063D3333"/>
    <w:rsid w:val="06A2F724"/>
    <w:rsid w:val="06D0742A"/>
    <w:rsid w:val="07AC47F8"/>
    <w:rsid w:val="087755CA"/>
    <w:rsid w:val="08E883FA"/>
    <w:rsid w:val="0B31FADC"/>
    <w:rsid w:val="0BF3E899"/>
    <w:rsid w:val="0D2F3EE2"/>
    <w:rsid w:val="0E6FB2E0"/>
    <w:rsid w:val="10973D63"/>
    <w:rsid w:val="12C87E9A"/>
    <w:rsid w:val="150E8027"/>
    <w:rsid w:val="16001F5C"/>
    <w:rsid w:val="163AB710"/>
    <w:rsid w:val="1774397E"/>
    <w:rsid w:val="19EC2F60"/>
    <w:rsid w:val="1B15FB63"/>
    <w:rsid w:val="1C1ACAD9"/>
    <w:rsid w:val="1D0138F2"/>
    <w:rsid w:val="1DC9404F"/>
    <w:rsid w:val="1DE7365A"/>
    <w:rsid w:val="2024796E"/>
    <w:rsid w:val="214326C1"/>
    <w:rsid w:val="2165109E"/>
    <w:rsid w:val="21816C9B"/>
    <w:rsid w:val="21BF4DB0"/>
    <w:rsid w:val="21C049CF"/>
    <w:rsid w:val="22E63448"/>
    <w:rsid w:val="242C0C4A"/>
    <w:rsid w:val="251FACC5"/>
    <w:rsid w:val="2533F620"/>
    <w:rsid w:val="25672175"/>
    <w:rsid w:val="25FFD2D5"/>
    <w:rsid w:val="276925B6"/>
    <w:rsid w:val="2848FFB2"/>
    <w:rsid w:val="2A73A385"/>
    <w:rsid w:val="2A9BB886"/>
    <w:rsid w:val="2AA5ED5A"/>
    <w:rsid w:val="2BA35702"/>
    <w:rsid w:val="2D62BD6B"/>
    <w:rsid w:val="2D8AD16D"/>
    <w:rsid w:val="2DEF077A"/>
    <w:rsid w:val="2DF6BAE9"/>
    <w:rsid w:val="3147BAF6"/>
    <w:rsid w:val="31DBC4BB"/>
    <w:rsid w:val="32309D5A"/>
    <w:rsid w:val="33466D11"/>
    <w:rsid w:val="339663A5"/>
    <w:rsid w:val="3403CAF9"/>
    <w:rsid w:val="355202EC"/>
    <w:rsid w:val="368F768E"/>
    <w:rsid w:val="36B37640"/>
    <w:rsid w:val="36D0638B"/>
    <w:rsid w:val="380AB0E1"/>
    <w:rsid w:val="385EA403"/>
    <w:rsid w:val="389C2594"/>
    <w:rsid w:val="38B7982A"/>
    <w:rsid w:val="39291905"/>
    <w:rsid w:val="3D23348F"/>
    <w:rsid w:val="40024590"/>
    <w:rsid w:val="40B705C7"/>
    <w:rsid w:val="43241D8C"/>
    <w:rsid w:val="436E2F0D"/>
    <w:rsid w:val="43EEA689"/>
    <w:rsid w:val="440246B7"/>
    <w:rsid w:val="442829CF"/>
    <w:rsid w:val="44ED761D"/>
    <w:rsid w:val="45E18387"/>
    <w:rsid w:val="463A71DE"/>
    <w:rsid w:val="463F9F6F"/>
    <w:rsid w:val="48B89CB5"/>
    <w:rsid w:val="4BBC4DDE"/>
    <w:rsid w:val="4E9A5843"/>
    <w:rsid w:val="4EDBEB33"/>
    <w:rsid w:val="51E82864"/>
    <w:rsid w:val="52D1BDFE"/>
    <w:rsid w:val="549B7306"/>
    <w:rsid w:val="56B60843"/>
    <w:rsid w:val="56E6F16B"/>
    <w:rsid w:val="57016276"/>
    <w:rsid w:val="5744589B"/>
    <w:rsid w:val="579E89F0"/>
    <w:rsid w:val="58B31DB0"/>
    <w:rsid w:val="58CBB78E"/>
    <w:rsid w:val="5B5321C4"/>
    <w:rsid w:val="5CA7059B"/>
    <w:rsid w:val="5D28A7E3"/>
    <w:rsid w:val="5EBB357B"/>
    <w:rsid w:val="5FFAEF0B"/>
    <w:rsid w:val="61DA7BDF"/>
    <w:rsid w:val="61F12773"/>
    <w:rsid w:val="62A819DE"/>
    <w:rsid w:val="62BF8AF8"/>
    <w:rsid w:val="633052C0"/>
    <w:rsid w:val="63CC7F61"/>
    <w:rsid w:val="675F0EF1"/>
    <w:rsid w:val="6890446F"/>
    <w:rsid w:val="6A2C14D0"/>
    <w:rsid w:val="6A8D3311"/>
    <w:rsid w:val="6B9A1E61"/>
    <w:rsid w:val="6BC620FB"/>
    <w:rsid w:val="6C96BE3F"/>
    <w:rsid w:val="6D63B592"/>
    <w:rsid w:val="6ECF7128"/>
    <w:rsid w:val="6EFF85F3"/>
    <w:rsid w:val="6F567C7F"/>
    <w:rsid w:val="703EF46B"/>
    <w:rsid w:val="709B5654"/>
    <w:rsid w:val="716DB0DD"/>
    <w:rsid w:val="717D92BE"/>
    <w:rsid w:val="718FF45D"/>
    <w:rsid w:val="7377C9A2"/>
    <w:rsid w:val="742DA0F4"/>
    <w:rsid w:val="7561835C"/>
    <w:rsid w:val="7642C093"/>
    <w:rsid w:val="76E576E9"/>
    <w:rsid w:val="785267CB"/>
    <w:rsid w:val="786E1A2D"/>
    <w:rsid w:val="7A09EA8E"/>
    <w:rsid w:val="7A658FF3"/>
    <w:rsid w:val="7B9E3AEA"/>
    <w:rsid w:val="7BE5F681"/>
    <w:rsid w:val="7BF1122F"/>
    <w:rsid w:val="7D32EA2F"/>
    <w:rsid w:val="7E219B17"/>
    <w:rsid w:val="7E7E4F5D"/>
    <w:rsid w:val="7E8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E015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140E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140E0B"/>
  </w:style>
  <w:style w:type="character" w:customStyle="1" w:styleId="eop">
    <w:name w:val="eop"/>
    <w:basedOn w:val="DefaultParagraphFont"/>
    <w:rsid w:val="00140E0B"/>
  </w:style>
  <w:style w:type="character" w:styleId="CommentReference">
    <w:name w:val="annotation reference"/>
    <w:basedOn w:val="DefaultParagraphFont"/>
    <w:uiPriority w:val="99"/>
    <w:semiHidden/>
    <w:unhideWhenUsed/>
    <w:rsid w:val="00DE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F8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88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436C"/>
    <w:pPr>
      <w:spacing w:after="0" w:line="240" w:lineRule="auto"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14139B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E6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B0C65AD3B70B459EBC2378551F90E4" ma:contentTypeVersion="" ma:contentTypeDescription="PDMS Document Site Content Type" ma:contentTypeScope="" ma:versionID="93b5776622b04617ddd9f10debb97977">
  <xsd:schema xmlns:xsd="http://www.w3.org/2001/XMLSchema" xmlns:xs="http://www.w3.org/2001/XMLSchema" xmlns:p="http://schemas.microsoft.com/office/2006/metadata/properties" xmlns:ns2="5E316342-7F1F-4323-8FFD-609603887F52" targetNamespace="http://schemas.microsoft.com/office/2006/metadata/properties" ma:root="true" ma:fieldsID="80ea5cbed21628a787e9605fca7a095e" ns2:_="">
    <xsd:import namespace="5E316342-7F1F-4323-8FFD-609603887F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6342-7F1F-4323-8FFD-609603887F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E316342-7F1F-4323-8FFD-609603887F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178B-9D1D-42DF-BA23-FF8BE5FA1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B5A2A-DDBB-4620-8296-02D5B3408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16342-7F1F-4323-8FFD-60960388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4DF30-77BC-416A-99F7-4D52D125878E}">
  <ds:schemaRefs>
    <ds:schemaRef ds:uri="http://schemas.microsoft.com/office/2006/metadata/properties"/>
    <ds:schemaRef ds:uri="http://schemas.microsoft.com/office/infopath/2007/PartnerControls"/>
    <ds:schemaRef ds:uri="5E316342-7F1F-4323-8FFD-609603887F52"/>
  </ds:schemaRefs>
</ds:datastoreItem>
</file>

<file path=customXml/itemProps4.xml><?xml version="1.0" encoding="utf-8"?>
<ds:datastoreItem xmlns:ds="http://schemas.openxmlformats.org/officeDocument/2006/customXml" ds:itemID="{FA3A4655-2289-4BD9-B787-3011C1308B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2025-02-11T02:59:00Z</dcterms:created>
  <dcterms:modified xsi:type="dcterms:W3CDTF">2025-02-11T02:59:00Z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182900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0x010100266966F133664895A6EE3632470D45F5005FB0C65AD3B70B459EBC2378551F90E4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ClassificationContentMarkingHeaderShapeIds">
    <vt:lpwstr>7a98a568,627c7b23,15b0aa93,7125d160,20100951,da94349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6f084f94,3cd9eb46,2ff18a04,5cad39cb,498aaa52,22be172c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