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CC80" w14:textId="77777777" w:rsidR="00EC62AA" w:rsidRPr="00CB4BB2" w:rsidRDefault="00EC62AA" w:rsidP="00EC62AA">
      <w:pPr>
        <w:pStyle w:val="Heading1"/>
        <w:rPr>
          <w:rFonts w:ascii="Corbel" w:eastAsia="Times New Roman" w:hAnsi="Corbel" w:cs="Times New Roman"/>
          <w:color w:val="3D4B67"/>
          <w:kern w:val="0"/>
          <w:sz w:val="36"/>
          <w:szCs w:val="36"/>
          <w14:ligatures w14:val="none"/>
        </w:rPr>
      </w:pPr>
      <w:r w:rsidRPr="00CB4BB2">
        <w:rPr>
          <w:rFonts w:ascii="Corbel" w:eastAsia="Times New Roman" w:hAnsi="Corbel" w:cs="Times New Roman"/>
          <w:color w:val="3D4B67"/>
          <w:kern w:val="0"/>
          <w:sz w:val="36"/>
          <w:szCs w:val="36"/>
          <w14:ligatures w14:val="none"/>
        </w:rPr>
        <w:t xml:space="preserve">Appendix A: Bilateral Implementation Plan – </w:t>
      </w:r>
      <w:r w:rsidRPr="00CB4BB2">
        <w:rPr>
          <w:rFonts w:ascii="Corbel" w:hAnsi="Corbel"/>
        </w:rPr>
        <w:br/>
      </w:r>
      <w:r w:rsidRPr="00CB4BB2">
        <w:rPr>
          <w:rFonts w:ascii="Corbel" w:eastAsia="Times New Roman" w:hAnsi="Corbel" w:cs="Times New Roman"/>
          <w:color w:val="3D4B67"/>
          <w:kern w:val="0"/>
          <w:sz w:val="36"/>
          <w:szCs w:val="36"/>
          <w14:ligatures w14:val="none"/>
        </w:rPr>
        <w:t xml:space="preserve">National Skills Agreement Policy Initiatives </w:t>
      </w:r>
    </w:p>
    <w:p w14:paraId="77CF50FE" w14:textId="77777777" w:rsidR="00EC62AA" w:rsidRPr="00CB4BB2" w:rsidRDefault="00EC62AA" w:rsidP="00EC62AA">
      <w:pPr>
        <w:rPr>
          <w:rFonts w:ascii="Corbel" w:hAnsi="Corbel"/>
          <w:b/>
          <w:bCs/>
        </w:rPr>
      </w:pPr>
    </w:p>
    <w:p w14:paraId="67632246" w14:textId="77777777" w:rsidR="00EC62AA" w:rsidRPr="00CB4BB2" w:rsidRDefault="00EC62AA" w:rsidP="00EC62AA">
      <w:pPr>
        <w:pStyle w:val="ImplementationPlan1"/>
        <w:keepNext/>
        <w:numPr>
          <w:ilvl w:val="0"/>
          <w:numId w:val="0"/>
        </w:numPr>
        <w:outlineLvl w:val="1"/>
      </w:pPr>
      <w:r w:rsidRPr="00CB4BB2">
        <w:t>PRELIMINARIES</w:t>
      </w:r>
    </w:p>
    <w:p w14:paraId="6126B6F6" w14:textId="77777777" w:rsidR="00EC62AA" w:rsidRPr="00CB4BB2" w:rsidRDefault="00EC62AA" w:rsidP="00EC62AA">
      <w:pPr>
        <w:pStyle w:val="ImplementationPlan1"/>
        <w:keepNext/>
        <w:numPr>
          <w:ilvl w:val="0"/>
          <w:numId w:val="0"/>
        </w:numPr>
        <w:outlineLvl w:val="1"/>
      </w:pPr>
      <w:r w:rsidRPr="00CB4BB2">
        <w:t> </w:t>
      </w:r>
    </w:p>
    <w:p w14:paraId="2545EBE9" w14:textId="77777777" w:rsidR="00EC62AA" w:rsidRPr="00CB4BB2" w:rsidRDefault="00EC62AA" w:rsidP="00EC62AA">
      <w:pPr>
        <w:pStyle w:val="ScheduleA"/>
        <w:numPr>
          <w:ilvl w:val="0"/>
          <w:numId w:val="18"/>
        </w:numPr>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 xml:space="preserve">This implementation plan is made between the Commonwealth of Australia (Commonwealth) and Victoria under the 2024–2028 National Skills Agreement (the NSA) and should be read in conjunction with the NSA and the NSA Bilateral Implementation Plan Guidance. </w:t>
      </w:r>
    </w:p>
    <w:p w14:paraId="06781CBE" w14:textId="77777777" w:rsidR="00EC62AA" w:rsidRPr="00CB4BB2" w:rsidRDefault="66410DB1" w:rsidP="5A1ACE45">
      <w:pPr>
        <w:pStyle w:val="ScheduleA"/>
        <w:numPr>
          <w:ilvl w:val="0"/>
          <w:numId w:val="18"/>
        </w:numPr>
        <w:rPr>
          <w:rFonts w:ascii="Corbel" w:hAnsi="Corbel"/>
          <w:i/>
          <w:iCs/>
          <w:color w:val="000000" w:themeColor="text1"/>
        </w:rPr>
      </w:pPr>
      <w:r w:rsidRPr="5A1ACE45">
        <w:rPr>
          <w:rFonts w:ascii="Corbel" w:eastAsia="Corbel" w:hAnsi="Corbel" w:cs="Corbel"/>
          <w:color w:val="000000" w:themeColor="text1"/>
          <w:sz w:val="22"/>
          <w:szCs w:val="22"/>
        </w:rPr>
        <w:t>On</w:t>
      </w:r>
      <w:r w:rsidRPr="5A1ACE4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r w:rsidRPr="5A1ACE45">
          <w:rPr>
            <w:rStyle w:val="Hyperlink"/>
            <w:rFonts w:ascii="Corbel" w:eastAsia="Corbel" w:hAnsi="Corbel" w:cs="Corbel"/>
            <w:sz w:val="22"/>
            <w:szCs w:val="22"/>
          </w:rPr>
          <w:t>https://federalfinancialrelations.gov.au</w:t>
        </w:r>
      </w:hyperlink>
      <w:r w:rsidRPr="5A1ACE45">
        <w:rPr>
          <w:rFonts w:ascii="Corbel" w:eastAsia="Corbel" w:hAnsi="Corbel" w:cs="Corbel"/>
          <w:sz w:val="22"/>
          <w:szCs w:val="22"/>
        </w:rPr>
        <w:t>).</w:t>
      </w:r>
    </w:p>
    <w:p w14:paraId="48F3695C" w14:textId="77777777" w:rsidR="00EC62AA" w:rsidRPr="00CB4BB2" w:rsidRDefault="00EC62AA" w:rsidP="00EC62AA">
      <w:pPr>
        <w:pStyle w:val="ScheduleA"/>
        <w:numPr>
          <w:ilvl w:val="0"/>
          <w:numId w:val="18"/>
        </w:numPr>
        <w:rPr>
          <w:rFonts w:ascii="Corbel" w:eastAsia="Corbel" w:hAnsi="Corbel" w:cs="Corbel"/>
          <w:color w:val="000000" w:themeColor="text1"/>
          <w:sz w:val="22"/>
          <w:szCs w:val="22"/>
        </w:rPr>
      </w:pPr>
      <w:r w:rsidRPr="00CB4BB2">
        <w:rPr>
          <w:rFonts w:ascii="Corbel" w:eastAsia="Corbel" w:hAnsi="Corbel" w:cs="Corbel"/>
          <w:color w:val="000000" w:themeColor="text1"/>
        </w:rPr>
        <w:t>T</w:t>
      </w:r>
      <w:r w:rsidRPr="00CB4BB2">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3D1DBB13" w14:textId="72AAFF16" w:rsidR="00EC62AA" w:rsidRPr="00CB4BB2" w:rsidRDefault="00EC62AA" w:rsidP="00EC62AA">
      <w:pPr>
        <w:pStyle w:val="ScheduleA"/>
        <w:numPr>
          <w:ilvl w:val="0"/>
          <w:numId w:val="18"/>
        </w:numPr>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 xml:space="preserve">In </w:t>
      </w:r>
      <w:r w:rsidRPr="00CB4BB2">
        <w:rPr>
          <w:rFonts w:ascii="Corbel" w:eastAsia="Corbel" w:hAnsi="Corbel" w:cs="Corbel"/>
          <w:color w:val="000000" w:themeColor="text1"/>
        </w:rPr>
        <w:t>all</w:t>
      </w:r>
      <w:r w:rsidRPr="00CB4BB2">
        <w:rPr>
          <w:rFonts w:ascii="Corbel" w:eastAsia="Corbel" w:hAnsi="Corbel" w:cs="Corbel"/>
          <w:color w:val="000000" w:themeColor="text1"/>
          <w:sz w:val="22"/>
          <w:szCs w:val="22"/>
        </w:rPr>
        <w:t xml:space="preserve"> public materials relating to the policy initiatives, Victoria will acknowledge the Commonwealth’s contribution with the following statement: </w:t>
      </w:r>
      <w:r w:rsidR="009B4ACC" w:rsidRPr="00BA4D03">
        <w:rPr>
          <w:rFonts w:ascii="Corbel" w:eastAsia="Corbel" w:hAnsi="Corbel" w:cs="Corbel"/>
          <w:color w:val="000000" w:themeColor="text1"/>
          <w:sz w:val="22"/>
          <w:szCs w:val="22"/>
        </w:rPr>
        <w:t xml:space="preserve">[Name of policy initiative] </w:t>
      </w:r>
      <w:r w:rsidRPr="00CB4BB2">
        <w:rPr>
          <w:rFonts w:ascii="Corbel" w:eastAsia="Corbel" w:hAnsi="Corbel" w:cs="Corbel"/>
          <w:color w:val="000000" w:themeColor="text1"/>
          <w:sz w:val="22"/>
          <w:szCs w:val="22"/>
        </w:rPr>
        <w:t>is a joint initiative between the Australian Government and Victoria</w:t>
      </w:r>
      <w:r w:rsidR="00DD7548">
        <w:rPr>
          <w:rFonts w:ascii="Corbel" w:eastAsia="Corbel" w:hAnsi="Corbel" w:cs="Corbel"/>
          <w:color w:val="000000" w:themeColor="text1"/>
          <w:sz w:val="22"/>
          <w:szCs w:val="22"/>
        </w:rPr>
        <w:t>n</w:t>
      </w:r>
      <w:r w:rsidRPr="00CB4BB2">
        <w:rPr>
          <w:rFonts w:ascii="Corbel" w:eastAsia="Corbel" w:hAnsi="Corbel" w:cs="Corbel"/>
          <w:color w:val="000000" w:themeColor="text1"/>
          <w:sz w:val="22"/>
          <w:szCs w:val="22"/>
        </w:rPr>
        <w:t xml:space="preserve"> Government.</w:t>
      </w:r>
    </w:p>
    <w:p w14:paraId="389E9AC6" w14:textId="77777777" w:rsidR="00EC62AA" w:rsidRPr="00CB4BB2" w:rsidRDefault="00EC62AA" w:rsidP="00EC62AA">
      <w:pPr>
        <w:pStyle w:val="ImplementationPlan1"/>
        <w:keepNext/>
        <w:numPr>
          <w:ilvl w:val="0"/>
          <w:numId w:val="0"/>
        </w:numPr>
        <w:outlineLvl w:val="1"/>
      </w:pPr>
    </w:p>
    <w:p w14:paraId="37A473B9" w14:textId="77777777" w:rsidR="00EC62AA" w:rsidRPr="00CB4BB2" w:rsidRDefault="00EC62AA" w:rsidP="00EC62AA">
      <w:pPr>
        <w:pStyle w:val="ImplementationPlan1"/>
        <w:keepNext/>
        <w:numPr>
          <w:ilvl w:val="0"/>
          <w:numId w:val="0"/>
        </w:numPr>
        <w:outlineLvl w:val="1"/>
      </w:pPr>
      <w:r w:rsidRPr="00CB4BB2">
        <w:t>Reporting and Payments</w:t>
      </w:r>
    </w:p>
    <w:p w14:paraId="3AF85939" w14:textId="77777777" w:rsidR="00EC62AA" w:rsidRPr="00CB4BB2" w:rsidDel="00AC4CC7" w:rsidRDefault="00EC62AA" w:rsidP="003360D9">
      <w:pPr>
        <w:spacing w:after="0"/>
        <w:outlineLvl w:val="2"/>
        <w:rPr>
          <w:rFonts w:ascii="Corbel" w:hAnsi="Corbel"/>
          <w:b/>
          <w:bCs/>
          <w:color w:val="000000" w:themeColor="text1"/>
        </w:rPr>
      </w:pPr>
      <w:r w:rsidRPr="00CB4BB2">
        <w:rPr>
          <w:rFonts w:ascii="Corbel" w:hAnsi="Corbel"/>
          <w:b/>
          <w:bCs/>
          <w:color w:val="000000" w:themeColor="text1"/>
        </w:rPr>
        <w:t>Reporting</w:t>
      </w:r>
    </w:p>
    <w:p w14:paraId="6483B174" w14:textId="77777777" w:rsidR="00EC62AA" w:rsidRDefault="00EC62AA" w:rsidP="003360D9">
      <w:pPr>
        <w:pStyle w:val="ScheduleA"/>
        <w:numPr>
          <w:ilvl w:val="0"/>
          <w:numId w:val="19"/>
        </w:numPr>
        <w:spacing w:after="0"/>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Performance reporting</w:t>
      </w:r>
      <w:r w:rsidRPr="00CB4BB2"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1318D99A" w14:textId="77777777" w:rsidR="00010B59" w:rsidRPr="00010B59" w:rsidDel="00AC4CC7" w:rsidRDefault="00010B59" w:rsidP="00E402B1">
      <w:pPr>
        <w:spacing w:after="0"/>
        <w:rPr>
          <w:lang w:eastAsia="en-AU"/>
        </w:rPr>
      </w:pPr>
    </w:p>
    <w:p w14:paraId="2B3B8F80" w14:textId="77777777" w:rsidR="00EC62AA" w:rsidRPr="00CB4BB2" w:rsidRDefault="00EC62AA" w:rsidP="00EC62AA">
      <w:pPr>
        <w:pStyle w:val="ScheduleA"/>
        <w:numPr>
          <w:ilvl w:val="0"/>
          <w:numId w:val="19"/>
        </w:numPr>
        <w:rPr>
          <w:rFonts w:ascii="Corbel" w:eastAsia="Corbel" w:hAnsi="Corbel" w:cs="Corbel"/>
          <w:color w:val="000000" w:themeColor="text1"/>
        </w:rPr>
      </w:pPr>
      <w:r w:rsidRPr="00CB4BB2">
        <w:rPr>
          <w:rFonts w:ascii="Corbel" w:eastAsia="Corbel" w:hAnsi="Corbel" w:cs="Corbel"/>
          <w:color w:val="000000" w:themeColor="text1"/>
          <w:sz w:val="22"/>
          <w:szCs w:val="22"/>
        </w:rPr>
        <w:t>Victoria</w:t>
      </w:r>
      <w:r w:rsidRPr="00CB4BB2" w:rsidDel="00AC4CC7">
        <w:rPr>
          <w:rFonts w:ascii="Corbel" w:eastAsia="Corbel" w:hAnsi="Corbel" w:cs="Corbel"/>
          <w:color w:val="000000" w:themeColor="text1"/>
          <w:sz w:val="22"/>
          <w:szCs w:val="22"/>
        </w:rPr>
        <w:t xml:space="preserve"> </w:t>
      </w:r>
      <w:r w:rsidRPr="00CB4BB2">
        <w:rPr>
          <w:rFonts w:ascii="Corbel" w:eastAsia="Corbel" w:hAnsi="Corbel" w:cs="Corbel"/>
          <w:color w:val="000000" w:themeColor="text1"/>
          <w:sz w:val="22"/>
          <w:szCs w:val="22"/>
        </w:rPr>
        <w:t xml:space="preserve">will </w:t>
      </w:r>
      <w:r w:rsidRPr="00CB4BB2"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26FCEB9B" w14:textId="77777777" w:rsidR="00EC62AA" w:rsidRPr="00CB4BB2" w:rsidDel="00AC4CC7" w:rsidRDefault="00EC62AA" w:rsidP="00EC62AA">
      <w:pPr>
        <w:pStyle w:val="ScheduleA"/>
        <w:numPr>
          <w:ilvl w:val="0"/>
          <w:numId w:val="19"/>
        </w:numPr>
        <w:rPr>
          <w:rFonts w:ascii="Corbel" w:eastAsia="Corbel" w:hAnsi="Corbel" w:cs="Corbel"/>
          <w:color w:val="000000" w:themeColor="text1"/>
        </w:rPr>
      </w:pPr>
      <w:r w:rsidRPr="00CB4BB2">
        <w:rPr>
          <w:rFonts w:ascii="Corbel" w:eastAsia="Corbel" w:hAnsi="Corbel" w:cs="Corbel"/>
          <w:color w:val="000000" w:themeColor="text1"/>
          <w:sz w:val="22"/>
          <w:szCs w:val="22"/>
        </w:rPr>
        <w:t xml:space="preserve">The Commonwealth will provide templates for the purposes of reporting. </w:t>
      </w:r>
    </w:p>
    <w:p w14:paraId="4FE7656F" w14:textId="77777777" w:rsidR="00EC62AA" w:rsidRPr="00CB4BB2" w:rsidDel="00AC4CC7" w:rsidRDefault="00EC62AA" w:rsidP="003360D9">
      <w:pPr>
        <w:spacing w:after="0"/>
        <w:outlineLvl w:val="2"/>
        <w:rPr>
          <w:rFonts w:ascii="Corbel" w:hAnsi="Corbel"/>
          <w:b/>
          <w:bCs/>
          <w:color w:val="000000" w:themeColor="text1"/>
        </w:rPr>
      </w:pPr>
      <w:r w:rsidRPr="00CB4BB2">
        <w:rPr>
          <w:rFonts w:ascii="Corbel" w:hAnsi="Corbel"/>
          <w:b/>
          <w:bCs/>
          <w:color w:val="000000" w:themeColor="text1"/>
        </w:rPr>
        <w:t xml:space="preserve">Payments </w:t>
      </w:r>
    </w:p>
    <w:p w14:paraId="7B2B4224" w14:textId="77777777" w:rsidR="00EC62AA" w:rsidRDefault="66410DB1" w:rsidP="003360D9">
      <w:pPr>
        <w:pStyle w:val="ScheduleA"/>
        <w:numPr>
          <w:ilvl w:val="0"/>
          <w:numId w:val="20"/>
        </w:numPr>
        <w:spacing w:after="0"/>
        <w:rPr>
          <w:rFonts w:ascii="Corbel" w:eastAsia="Corbel" w:hAnsi="Corbel" w:cs="Corbel"/>
          <w:color w:val="000000" w:themeColor="text1"/>
          <w:sz w:val="22"/>
          <w:szCs w:val="22"/>
        </w:rPr>
      </w:pPr>
      <w:r w:rsidRPr="5A1ACE45">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2660096" w14:textId="77777777" w:rsidR="00010B59" w:rsidRPr="00010B59" w:rsidRDefault="00010B59" w:rsidP="00010B59">
      <w:pPr>
        <w:rPr>
          <w:lang w:eastAsia="en-AU"/>
        </w:rPr>
      </w:pPr>
    </w:p>
    <w:p w14:paraId="459551B8" w14:textId="77777777" w:rsidR="00EC62AA" w:rsidRPr="00CB4BB2" w:rsidRDefault="00EC62AA" w:rsidP="00EC62AA">
      <w:pPr>
        <w:pStyle w:val="ScheduleA"/>
        <w:numPr>
          <w:ilvl w:val="0"/>
          <w:numId w:val="20"/>
        </w:numPr>
        <w:rPr>
          <w:rFonts w:ascii="Corbel" w:eastAsia="Corbel" w:hAnsi="Corbel" w:cs="Corbel"/>
          <w:color w:val="000000" w:themeColor="text1"/>
        </w:rPr>
      </w:pPr>
      <w:r w:rsidRPr="00CB4BB2">
        <w:rPr>
          <w:rFonts w:ascii="Corbel" w:eastAsia="Corbel" w:hAnsi="Corbel" w:cs="Corbel"/>
          <w:color w:val="000000" w:themeColor="text1"/>
          <w:sz w:val="22"/>
          <w:szCs w:val="22"/>
        </w:rPr>
        <w:t>As part of the performance reporting, Victoria will provide evidence of what has been delivered in the reporting period. Payments will be processed once performance reports have been assessed and accepted.</w:t>
      </w:r>
    </w:p>
    <w:p w14:paraId="370C3468" w14:textId="77777777" w:rsidR="001A2CB7" w:rsidRPr="001A2CB7" w:rsidRDefault="66410DB1" w:rsidP="5A1ACE45">
      <w:pPr>
        <w:pStyle w:val="ScheduleA"/>
        <w:numPr>
          <w:ilvl w:val="0"/>
          <w:numId w:val="20"/>
        </w:numPr>
        <w:rPr>
          <w:rFonts w:ascii="Corbel" w:hAnsi="Corbel"/>
        </w:rPr>
      </w:pPr>
      <w:r w:rsidRPr="5A1ACE45">
        <w:rPr>
          <w:rFonts w:ascii="Corbel" w:eastAsia="Corbel" w:hAnsi="Corbel" w:cs="Corbel"/>
          <w:color w:val="000000" w:themeColor="text1"/>
          <w:sz w:val="22"/>
          <w:szCs w:val="22"/>
        </w:rPr>
        <w:t>Where a payment is due at a reporting period (31 March and/or 30 September), Victoria will complete the relevant section of the reporting template and provide the evidence required as agreed in the Milestones and Payments associated with this Implementation Plan.</w:t>
      </w:r>
    </w:p>
    <w:p w14:paraId="0C6CD664" w14:textId="0AEADB40" w:rsidR="00EC62AA" w:rsidRPr="00DF0011" w:rsidRDefault="10989A73" w:rsidP="5A1ACE45">
      <w:pPr>
        <w:pStyle w:val="ScheduleA"/>
        <w:numPr>
          <w:ilvl w:val="0"/>
          <w:numId w:val="20"/>
        </w:numPr>
        <w:rPr>
          <w:rFonts w:ascii="Corbel" w:eastAsia="Corbel" w:hAnsi="Corbel" w:cs="Corbel"/>
          <w:color w:val="000000" w:themeColor="text1"/>
          <w:sz w:val="22"/>
          <w:szCs w:val="22"/>
        </w:rPr>
      </w:pPr>
      <w:r w:rsidRPr="5A1ACE45">
        <w:rPr>
          <w:rFonts w:ascii="Corbel" w:eastAsia="Corbel" w:hAnsi="Corbel" w:cs="Corbel"/>
          <w:color w:val="000000" w:themeColor="text1"/>
          <w:sz w:val="22"/>
          <w:szCs w:val="22"/>
        </w:rPr>
        <w:t>Under A92 of the NSA</w:t>
      </w:r>
      <w:r w:rsidR="4B6F0CDC" w:rsidRPr="5A1ACE45">
        <w:rPr>
          <w:rFonts w:ascii="Corbel" w:eastAsia="Corbel" w:hAnsi="Corbel" w:cs="Corbel"/>
          <w:color w:val="000000" w:themeColor="text1"/>
          <w:sz w:val="22"/>
          <w:szCs w:val="22"/>
        </w:rPr>
        <w:t>,</w:t>
      </w:r>
      <w:r w:rsidR="66410DB1" w:rsidRPr="5A1ACE45">
        <w:rPr>
          <w:rFonts w:ascii="Corbel" w:eastAsia="Corbel" w:hAnsi="Corbel" w:cs="Corbel"/>
          <w:color w:val="000000" w:themeColor="text1"/>
          <w:sz w:val="22"/>
          <w:szCs w:val="22"/>
        </w:rPr>
        <w:t xml:space="preserve"> </w:t>
      </w:r>
      <w:r w:rsidRPr="5A1ACE45">
        <w:rPr>
          <w:rFonts w:ascii="Corbel" w:eastAsia="Corbel" w:hAnsi="Corbel" w:cs="Corbel"/>
          <w:color w:val="000000" w:themeColor="text1"/>
          <w:sz w:val="22"/>
          <w:szCs w:val="22"/>
        </w:rPr>
        <w:t>i</w:t>
      </w:r>
      <w:r w:rsidR="35E6DB41" w:rsidRPr="5A1ACE45">
        <w:rPr>
          <w:rFonts w:ascii="Corbel" w:eastAsia="Corbel" w:hAnsi="Corbel" w:cs="Corbel"/>
          <w:color w:val="000000" w:themeColor="text1"/>
          <w:sz w:val="22"/>
          <w:szCs w:val="22"/>
        </w:rPr>
        <w:t>f a State is unable to expend</w:t>
      </w:r>
      <w:r w:rsidR="64C60930" w:rsidRPr="5A1ACE45">
        <w:rPr>
          <w:rFonts w:ascii="Corbel" w:eastAsia="Corbel" w:hAnsi="Corbel" w:cs="Corbel"/>
          <w:color w:val="000000" w:themeColor="text1"/>
          <w:sz w:val="22"/>
          <w:szCs w:val="22"/>
        </w:rPr>
        <w:t xml:space="preserve"> any</w:t>
      </w:r>
      <w:r w:rsidR="35E6DB41" w:rsidRPr="5A1ACE45">
        <w:rPr>
          <w:rFonts w:ascii="Corbel" w:eastAsia="Corbel" w:hAnsi="Corbel" w:cs="Corbel"/>
          <w:color w:val="000000" w:themeColor="text1"/>
          <w:sz w:val="22"/>
          <w:szCs w:val="22"/>
        </w:rPr>
        <w:t xml:space="preserve"> Commonwealth funding provided</w:t>
      </w:r>
      <w:r w:rsidR="53DA695F" w:rsidRPr="5A1ACE45">
        <w:rPr>
          <w:rFonts w:ascii="Corbel" w:eastAsia="Corbel" w:hAnsi="Corbel" w:cs="Corbel"/>
          <w:color w:val="000000" w:themeColor="text1"/>
          <w:sz w:val="22"/>
          <w:szCs w:val="22"/>
        </w:rPr>
        <w:t xml:space="preserve"> for </w:t>
      </w:r>
      <w:r w:rsidR="78A35094" w:rsidRPr="5A1ACE45">
        <w:rPr>
          <w:rFonts w:ascii="Corbel" w:eastAsia="Corbel" w:hAnsi="Corbel" w:cs="Corbel"/>
          <w:color w:val="000000" w:themeColor="text1"/>
          <w:sz w:val="22"/>
          <w:szCs w:val="22"/>
        </w:rPr>
        <w:t>policy initiative</w:t>
      </w:r>
      <w:r w:rsidR="3067483B" w:rsidRPr="5A1ACE45">
        <w:rPr>
          <w:rFonts w:ascii="Corbel" w:eastAsia="Corbel" w:hAnsi="Corbel" w:cs="Corbel"/>
          <w:color w:val="000000" w:themeColor="text1"/>
          <w:sz w:val="22"/>
          <w:szCs w:val="22"/>
        </w:rPr>
        <w:t xml:space="preserve"> milestone</w:t>
      </w:r>
      <w:r w:rsidR="11618060" w:rsidRPr="5A1ACE45">
        <w:rPr>
          <w:rFonts w:ascii="Corbel" w:eastAsia="Corbel" w:hAnsi="Corbel" w:cs="Corbel"/>
          <w:color w:val="000000" w:themeColor="text1"/>
          <w:sz w:val="22"/>
          <w:szCs w:val="22"/>
        </w:rPr>
        <w:t xml:space="preserve"> payments</w:t>
      </w:r>
      <w:r w:rsidR="64C60930" w:rsidRPr="5A1ACE45">
        <w:rPr>
          <w:rFonts w:ascii="Corbel" w:eastAsia="Corbel" w:hAnsi="Corbel" w:cs="Corbel"/>
          <w:color w:val="000000" w:themeColor="text1"/>
          <w:sz w:val="22"/>
          <w:szCs w:val="22"/>
        </w:rPr>
        <w:t>,</w:t>
      </w:r>
      <w:r w:rsidR="3BCDD39B" w:rsidRPr="5A1ACE45">
        <w:rPr>
          <w:rFonts w:ascii="Corbel" w:eastAsia="Corbel" w:hAnsi="Corbel" w:cs="Corbel"/>
          <w:color w:val="000000" w:themeColor="text1"/>
          <w:sz w:val="22"/>
          <w:szCs w:val="22"/>
        </w:rPr>
        <w:t xml:space="preserve"> </w:t>
      </w:r>
      <w:r w:rsidR="35E6DB41" w:rsidRPr="5A1ACE45">
        <w:rPr>
          <w:rFonts w:ascii="Corbel" w:eastAsia="Corbel" w:hAnsi="Corbel" w:cs="Corbel"/>
          <w:color w:val="000000" w:themeColor="text1"/>
          <w:sz w:val="22"/>
          <w:szCs w:val="22"/>
        </w:rPr>
        <w:t>the Commonwealth may reduce a future payment by an amount equivalent to the unspent funds.</w:t>
      </w:r>
    </w:p>
    <w:p w14:paraId="6590C0D5" w14:textId="4C7E0D89" w:rsidR="000323DC" w:rsidRPr="00CB4BB2" w:rsidRDefault="000323DC" w:rsidP="00EC62AA">
      <w:pPr>
        <w:pStyle w:val="ImplementationPlan1"/>
        <w:keepNext/>
        <w:numPr>
          <w:ilvl w:val="0"/>
          <w:numId w:val="0"/>
        </w:numPr>
        <w:spacing w:after="240"/>
        <w:outlineLvl w:val="1"/>
        <w:rPr>
          <w:caps w:val="0"/>
        </w:rPr>
      </w:pPr>
      <w:r w:rsidRPr="00CB4BB2">
        <w:lastRenderedPageBreak/>
        <w:t xml:space="preserve">IMPROVED COMPLETIONS – ESPECIALLY FOR PRIORITY GROUPS </w:t>
      </w:r>
      <w:r w:rsidRPr="00CB4BB2">
        <w:rPr>
          <w:caps w:val="0"/>
        </w:rPr>
        <w:t>(Clause A141 to A150 of the NSA)</w:t>
      </w:r>
    </w:p>
    <w:p w14:paraId="047C4A46" w14:textId="467FF1D6" w:rsidR="00AB5321" w:rsidRPr="00CB4BB2" w:rsidRDefault="000323DC" w:rsidP="00AB5321">
      <w:pPr>
        <w:pStyle w:val="MBPoint"/>
        <w:numPr>
          <w:ilvl w:val="0"/>
          <w:numId w:val="3"/>
        </w:numPr>
        <w:rPr>
          <w:rFonts w:ascii="Corbel" w:hAnsi="Corbel"/>
          <w:b/>
          <w:bCs/>
        </w:rPr>
      </w:pPr>
      <w:r w:rsidRPr="00CB4BB2">
        <w:rPr>
          <w:rFonts w:ascii="Corbel" w:hAnsi="Corbel"/>
          <w:b/>
          <w:bCs/>
        </w:rPr>
        <w:t>Outline actions to improve completions and which element of clause A145 will be addressed.</w:t>
      </w:r>
    </w:p>
    <w:p w14:paraId="3F9E3189" w14:textId="20CDC9EA" w:rsidR="00AB5321" w:rsidRPr="00CB4BB2" w:rsidRDefault="00AB5321" w:rsidP="00DD726A">
      <w:pPr>
        <w:spacing w:after="120"/>
        <w:rPr>
          <w:rFonts w:ascii="Corbel" w:hAnsi="Corbel"/>
        </w:rPr>
      </w:pPr>
      <w:r w:rsidRPr="00CB4BB2">
        <w:rPr>
          <w:rFonts w:ascii="Corbel" w:hAnsi="Corbel"/>
        </w:rPr>
        <w:t xml:space="preserve">Victoria recognises that improving </w:t>
      </w:r>
      <w:r w:rsidR="006D62A9">
        <w:rPr>
          <w:rFonts w:ascii="Corbel" w:hAnsi="Corbel"/>
        </w:rPr>
        <w:t>vocational education and training (</w:t>
      </w:r>
      <w:r w:rsidRPr="00CB4BB2">
        <w:rPr>
          <w:rFonts w:ascii="Corbel" w:hAnsi="Corbel"/>
        </w:rPr>
        <w:t>VET</w:t>
      </w:r>
      <w:r w:rsidR="006D62A9">
        <w:rPr>
          <w:rFonts w:ascii="Corbel" w:hAnsi="Corbel"/>
        </w:rPr>
        <w:t>)</w:t>
      </w:r>
      <w:r w:rsidRPr="00CB4BB2">
        <w:rPr>
          <w:rFonts w:ascii="Corbel" w:hAnsi="Corbel"/>
        </w:rPr>
        <w:t xml:space="preserve"> completion rates is one of the most effective strategies to increase the number of learners transitioning from training into steady employment. </w:t>
      </w:r>
    </w:p>
    <w:p w14:paraId="32DF3C3F" w14:textId="2437ED4D" w:rsidR="00AB5321" w:rsidRPr="00CB4BB2" w:rsidRDefault="5E03749A" w:rsidP="5A1ACE45">
      <w:pPr>
        <w:spacing w:after="120"/>
        <w:rPr>
          <w:rFonts w:ascii="Corbel" w:hAnsi="Corbel"/>
        </w:rPr>
      </w:pPr>
      <w:r w:rsidRPr="5A1ACE45">
        <w:rPr>
          <w:rFonts w:ascii="Corbel" w:hAnsi="Corbel"/>
        </w:rPr>
        <w:t xml:space="preserve">Victoria has made sustained and proactive </w:t>
      </w:r>
      <w:r w:rsidR="3D601596" w:rsidRPr="5A1ACE45">
        <w:rPr>
          <w:rFonts w:ascii="Corbel" w:hAnsi="Corbel"/>
        </w:rPr>
        <w:t>efforts</w:t>
      </w:r>
      <w:r w:rsidRPr="5A1ACE45">
        <w:rPr>
          <w:rFonts w:ascii="Corbel" w:hAnsi="Corbel"/>
        </w:rPr>
        <w:t xml:space="preserve"> to improving student outcomes through a variety of VET student services </w:t>
      </w:r>
      <w:r w:rsidR="7BF0E884" w:rsidRPr="5A1ACE45">
        <w:rPr>
          <w:rFonts w:ascii="Corbel" w:hAnsi="Corbel"/>
        </w:rPr>
        <w:t xml:space="preserve">and </w:t>
      </w:r>
      <w:r w:rsidR="5C54AA5F" w:rsidRPr="5A1ACE45">
        <w:rPr>
          <w:rFonts w:ascii="Corbel" w:hAnsi="Corbel"/>
        </w:rPr>
        <w:t>training</w:t>
      </w:r>
      <w:r w:rsidR="7BF0E884" w:rsidRPr="5A1ACE45">
        <w:rPr>
          <w:rFonts w:ascii="Corbel" w:hAnsi="Corbel"/>
        </w:rPr>
        <w:t xml:space="preserve"> </w:t>
      </w:r>
      <w:r w:rsidRPr="5A1ACE45">
        <w:rPr>
          <w:rFonts w:ascii="Corbel" w:hAnsi="Corbel"/>
        </w:rPr>
        <w:t>focussed on supporting course completions. It has also taken great strides to better understand where there is more work to be done. This includes a recent review led by the Apprenticeships Taskforce which sets out 16 recommendations and 3 supporting actions to improve the training and working experience for apprentices, trainees and their employers – these were accepted in full or in-principle by the Victorian Government.</w:t>
      </w:r>
    </w:p>
    <w:p w14:paraId="45E85F81" w14:textId="5B2356F1" w:rsidR="00AB5321" w:rsidRPr="00CB4BB2" w:rsidRDefault="00AB5321" w:rsidP="00DD726A">
      <w:pPr>
        <w:spacing w:after="120"/>
        <w:rPr>
          <w:rFonts w:ascii="Corbel" w:hAnsi="Corbel"/>
        </w:rPr>
      </w:pPr>
      <w:r w:rsidRPr="00CB4BB2">
        <w:rPr>
          <w:rFonts w:ascii="Corbel" w:hAnsi="Corbel"/>
        </w:rPr>
        <w:t>The initiatives outlined below build on this considerable momentum and align with the NSA’s shared commitment to implement new, scalable completions initiatives and strengthen and evaluate existing initiatives designed to improve student outcomes that focus on addressing the key reasons for non-completion.</w:t>
      </w:r>
    </w:p>
    <w:p w14:paraId="2A31881A" w14:textId="0A56A23E" w:rsidR="00FD41FC" w:rsidRPr="00CB4BB2" w:rsidRDefault="00AB5321" w:rsidP="003360D9">
      <w:pPr>
        <w:spacing w:after="0"/>
        <w:rPr>
          <w:rFonts w:ascii="Corbel" w:hAnsi="Corbel"/>
          <w:b/>
          <w:i/>
        </w:rPr>
      </w:pPr>
      <w:r w:rsidRPr="00CB4BB2">
        <w:rPr>
          <w:rFonts w:ascii="Corbel" w:hAnsi="Corbel"/>
          <w:b/>
          <w:i/>
        </w:rPr>
        <w:t>Coordinated wrap-around services for at-risk cohorts</w:t>
      </w:r>
    </w:p>
    <w:p w14:paraId="0DCC68E1" w14:textId="7EB32B59" w:rsidR="00AB5321" w:rsidRPr="00CB4BB2" w:rsidRDefault="5E03749A" w:rsidP="003360D9">
      <w:pPr>
        <w:spacing w:after="0"/>
        <w:rPr>
          <w:rFonts w:ascii="Corbel" w:hAnsi="Corbel"/>
        </w:rPr>
      </w:pPr>
      <w:r w:rsidRPr="5A1ACE45">
        <w:rPr>
          <w:rFonts w:ascii="Corbel" w:hAnsi="Corbel"/>
        </w:rPr>
        <w:t>Research shows that non-completions are caused by an interplay of institutional, system and personal factors</w:t>
      </w:r>
      <w:r w:rsidR="00BE2298" w:rsidRPr="5A1ACE45">
        <w:rPr>
          <w:rStyle w:val="FootnoteReference"/>
          <w:rFonts w:ascii="Corbel" w:hAnsi="Corbel"/>
        </w:rPr>
        <w:footnoteReference w:id="2"/>
      </w:r>
      <w:r w:rsidRPr="5A1ACE45">
        <w:rPr>
          <w:rFonts w:ascii="Corbel" w:hAnsi="Corbel"/>
        </w:rPr>
        <w:t xml:space="preserve">. The 2023 Victorian Student Satisfaction Survey results found that more than half of the students not completing VET (and 30% of the total number) cited family/personal factors as the main reason for disengagement. </w:t>
      </w:r>
      <w:r w:rsidR="19FDA5C4" w:rsidRPr="5A1ACE45">
        <w:rPr>
          <w:rFonts w:ascii="Corbel" w:hAnsi="Corbel"/>
        </w:rPr>
        <w:t xml:space="preserve">The National Centre </w:t>
      </w:r>
      <w:r w:rsidR="26756FF4" w:rsidRPr="5A1ACE45">
        <w:rPr>
          <w:rFonts w:ascii="Corbel" w:hAnsi="Corbel"/>
        </w:rPr>
        <w:t>for Vocational Education Research (</w:t>
      </w:r>
      <w:r w:rsidRPr="5A1ACE45">
        <w:rPr>
          <w:rFonts w:ascii="Corbel" w:hAnsi="Corbel"/>
        </w:rPr>
        <w:t>NCVER</w:t>
      </w:r>
      <w:r w:rsidR="26756FF4" w:rsidRPr="5A1ACE45">
        <w:rPr>
          <w:rFonts w:ascii="Corbel" w:hAnsi="Corbel"/>
        </w:rPr>
        <w:t>)</w:t>
      </w:r>
      <w:r w:rsidRPr="5A1ACE45">
        <w:rPr>
          <w:rFonts w:ascii="Corbel" w:hAnsi="Corbel"/>
        </w:rPr>
        <w:t xml:space="preserve"> 2023 Completion Rate Data similarly found that personal circumstances impacted a student's ability to complete VET. </w:t>
      </w:r>
    </w:p>
    <w:p w14:paraId="75E0316A" w14:textId="037EABFE" w:rsidR="00AB5321" w:rsidRPr="00CB4BB2" w:rsidRDefault="00621EF5" w:rsidP="00DD726A">
      <w:pPr>
        <w:spacing w:after="120"/>
        <w:rPr>
          <w:rFonts w:ascii="Corbel" w:hAnsi="Corbel"/>
        </w:rPr>
      </w:pPr>
      <w:r>
        <w:rPr>
          <w:rFonts w:ascii="Corbel" w:hAnsi="Corbel"/>
        </w:rPr>
        <w:t xml:space="preserve">At a cost of $30 million over the life of the NSA, </w:t>
      </w:r>
      <w:r w:rsidR="009874E6">
        <w:rPr>
          <w:rFonts w:ascii="Corbel" w:hAnsi="Corbel"/>
        </w:rPr>
        <w:t>a</w:t>
      </w:r>
      <w:r w:rsidR="00DC6F95">
        <w:rPr>
          <w:rFonts w:ascii="Corbel" w:hAnsi="Corbel"/>
        </w:rPr>
        <w:t xml:space="preserve"> new </w:t>
      </w:r>
      <w:r w:rsidR="00F20E08">
        <w:rPr>
          <w:rFonts w:ascii="Corbel" w:hAnsi="Corbel"/>
        </w:rPr>
        <w:t xml:space="preserve">set of </w:t>
      </w:r>
      <w:r w:rsidR="00AB5321" w:rsidRPr="00CB4BB2" w:rsidDel="00DC6F95">
        <w:rPr>
          <w:rFonts w:ascii="Corbel" w:hAnsi="Corbel"/>
        </w:rPr>
        <w:t>c</w:t>
      </w:r>
      <w:r w:rsidR="00AB5321" w:rsidRPr="00CB4BB2">
        <w:rPr>
          <w:rFonts w:ascii="Corbel" w:hAnsi="Corbel"/>
        </w:rPr>
        <w:t>oordinated personalised wrap-around support services for students at risk of non-completion will help students manage personal challenges affecting their studies and set them up for success in completing their courses. Th</w:t>
      </w:r>
      <w:r w:rsidR="00E05033" w:rsidRPr="00CB4BB2">
        <w:rPr>
          <w:rFonts w:ascii="Corbel" w:hAnsi="Corbel"/>
        </w:rPr>
        <w:t xml:space="preserve">e </w:t>
      </w:r>
      <w:r w:rsidR="00F07CED">
        <w:rPr>
          <w:rFonts w:ascii="Corbel" w:hAnsi="Corbel"/>
        </w:rPr>
        <w:t xml:space="preserve">new and </w:t>
      </w:r>
      <w:r w:rsidR="00E05033" w:rsidRPr="00CB4BB2">
        <w:rPr>
          <w:rFonts w:ascii="Corbel" w:hAnsi="Corbel"/>
        </w:rPr>
        <w:t>expanded services</w:t>
      </w:r>
      <w:r w:rsidR="00AB5321" w:rsidRPr="00CB4BB2">
        <w:rPr>
          <w:rFonts w:ascii="Corbel" w:hAnsi="Corbel"/>
        </w:rPr>
        <w:t xml:space="preserve"> include counselling, referrals to other support services and careers advice, as well as additional support for students in out-of-home care. This will augment the current student support services provided through TAFEs and will be informed by a richer set of data insights provided through the </w:t>
      </w:r>
      <w:r w:rsidR="00736FBF">
        <w:rPr>
          <w:rFonts w:ascii="Corbel" w:hAnsi="Corbel"/>
        </w:rPr>
        <w:t>Customer Relationship Manager (</w:t>
      </w:r>
      <w:r w:rsidR="00AB5321" w:rsidRPr="00CB4BB2">
        <w:rPr>
          <w:rFonts w:ascii="Corbel" w:hAnsi="Corbel"/>
        </w:rPr>
        <w:t>CRM</w:t>
      </w:r>
      <w:r w:rsidR="00736FBF">
        <w:rPr>
          <w:rFonts w:ascii="Corbel" w:hAnsi="Corbel"/>
        </w:rPr>
        <w:t>)</w:t>
      </w:r>
      <w:r w:rsidR="00135A0D" w:rsidRPr="00CB4BB2">
        <w:rPr>
          <w:rFonts w:ascii="Corbel" w:hAnsi="Corbel"/>
        </w:rPr>
        <w:t>, as outlined below</w:t>
      </w:r>
      <w:r w:rsidR="00AB5321" w:rsidRPr="00CB4BB2">
        <w:rPr>
          <w:rFonts w:ascii="Corbel" w:hAnsi="Corbel"/>
        </w:rPr>
        <w:t>.</w:t>
      </w:r>
      <w:r w:rsidR="0009700E" w:rsidRPr="0009700E">
        <w:t xml:space="preserve"> </w:t>
      </w:r>
      <w:r w:rsidR="0009700E" w:rsidRPr="0009700E">
        <w:rPr>
          <w:rFonts w:ascii="Corbel" w:hAnsi="Corbel"/>
        </w:rPr>
        <w:t xml:space="preserve">The initiative will roll out to </w:t>
      </w:r>
      <w:r w:rsidR="00D83911">
        <w:rPr>
          <w:rFonts w:ascii="Corbel" w:hAnsi="Corbel"/>
        </w:rPr>
        <w:t>the</w:t>
      </w:r>
      <w:r w:rsidR="0009700E" w:rsidRPr="0009700E">
        <w:rPr>
          <w:rFonts w:ascii="Corbel" w:hAnsi="Corbel"/>
        </w:rPr>
        <w:t xml:space="preserve"> top 10% of students </w:t>
      </w:r>
      <w:r w:rsidR="00F0458A">
        <w:rPr>
          <w:rFonts w:ascii="Corbel" w:hAnsi="Corbel"/>
        </w:rPr>
        <w:t xml:space="preserve">at the </w:t>
      </w:r>
      <w:r w:rsidR="0009700E" w:rsidRPr="0009700E">
        <w:rPr>
          <w:rFonts w:ascii="Corbel" w:hAnsi="Corbel"/>
        </w:rPr>
        <w:t>highest risk of not completing (</w:t>
      </w:r>
      <w:r w:rsidR="00F0458A">
        <w:rPr>
          <w:rFonts w:ascii="Corbel" w:hAnsi="Corbel"/>
        </w:rPr>
        <w:t>equivalent to around 2</w:t>
      </w:r>
      <w:r w:rsidR="0009700E" w:rsidRPr="0009700E">
        <w:rPr>
          <w:rFonts w:ascii="Corbel" w:hAnsi="Corbel"/>
        </w:rPr>
        <w:t>5</w:t>
      </w:r>
      <w:r w:rsidR="00F0458A">
        <w:rPr>
          <w:rFonts w:ascii="Corbel" w:hAnsi="Corbel"/>
        </w:rPr>
        <w:t>,000 students</w:t>
      </w:r>
      <w:r w:rsidR="0009700E" w:rsidRPr="0009700E">
        <w:rPr>
          <w:rFonts w:ascii="Corbel" w:hAnsi="Corbel"/>
        </w:rPr>
        <w:t xml:space="preserve"> p.a.).</w:t>
      </w:r>
      <w:r w:rsidR="0009700E">
        <w:rPr>
          <w:rFonts w:ascii="Corbel" w:hAnsi="Corbel"/>
        </w:rPr>
        <w:t xml:space="preserve"> </w:t>
      </w:r>
      <w:r w:rsidR="00623FC0" w:rsidRPr="00623FC0">
        <w:rPr>
          <w:rFonts w:ascii="Corbel" w:hAnsi="Corbel"/>
          <w:lang w:val="en-US"/>
        </w:rPr>
        <w:t>TAFEs will assess and determine staffing requirements for delivery of support services based on the specific needs of their student cohort.</w:t>
      </w:r>
    </w:p>
    <w:p w14:paraId="34D499C2" w14:textId="77777777" w:rsidR="00AB5321" w:rsidRPr="00CB4BB2" w:rsidRDefault="00AB5321" w:rsidP="00DD726A">
      <w:pPr>
        <w:spacing w:after="120"/>
        <w:rPr>
          <w:rFonts w:ascii="Corbel" w:hAnsi="Corbel"/>
        </w:rPr>
      </w:pPr>
      <w:r w:rsidRPr="00CB4BB2">
        <w:rPr>
          <w:rFonts w:ascii="Corbel" w:hAnsi="Corbel"/>
        </w:rPr>
        <w:t>Expanding and integrating standalone programs is crucial to ensuring coordinated and effective supports for those who need it the most. These comprehensive supports will be scaled up to empower students to build confidence, navigate challenges and reduce barriers, allowing them to fully engage in their training and complete their courses successfully.</w:t>
      </w:r>
    </w:p>
    <w:p w14:paraId="46C46E8D" w14:textId="57C02E2D" w:rsidR="00AB5321" w:rsidRPr="00CB4BB2" w:rsidRDefault="00AB5321" w:rsidP="00DD726A">
      <w:pPr>
        <w:spacing w:after="120"/>
        <w:rPr>
          <w:rFonts w:ascii="Corbel" w:hAnsi="Corbel"/>
        </w:rPr>
      </w:pPr>
      <w:r w:rsidRPr="00CB4BB2">
        <w:rPr>
          <w:rFonts w:ascii="Corbel" w:hAnsi="Corbel"/>
        </w:rPr>
        <w:t xml:space="preserve">This initiative will focus on priority cohorts and qualifications to enhance support and retention. Wrap around service models for Aboriginal students will be co-designed with First Nations VET partners. Expanding and integrating existing standalone programs will ensure coordinated and more effective supports for those who need it the most. </w:t>
      </w:r>
    </w:p>
    <w:p w14:paraId="78D1E286" w14:textId="2AED92DB" w:rsidR="00AB5321" w:rsidRPr="00CB4BB2" w:rsidRDefault="00AB5321" w:rsidP="00DD726A">
      <w:pPr>
        <w:spacing w:after="120"/>
        <w:rPr>
          <w:rFonts w:ascii="Corbel" w:hAnsi="Corbel"/>
        </w:rPr>
      </w:pPr>
      <w:r w:rsidRPr="00CB4BB2">
        <w:rPr>
          <w:rFonts w:ascii="Corbel" w:hAnsi="Corbel"/>
        </w:rPr>
        <w:lastRenderedPageBreak/>
        <w:t xml:space="preserve">In addition to these TAFE-led support services, </w:t>
      </w:r>
      <w:r w:rsidR="006E166F">
        <w:rPr>
          <w:rFonts w:ascii="Corbel" w:hAnsi="Corbel"/>
        </w:rPr>
        <w:t xml:space="preserve">this funding will expand </w:t>
      </w:r>
      <w:r w:rsidRPr="00CB4BB2">
        <w:rPr>
          <w:rFonts w:ascii="Corbel" w:hAnsi="Corbel"/>
        </w:rPr>
        <w:t xml:space="preserve">Victoria’s </w:t>
      </w:r>
      <w:hyperlink r:id="rId12" w:history="1">
        <w:r w:rsidRPr="00CB4BB2">
          <w:rPr>
            <w:rStyle w:val="Hyperlink"/>
            <w:rFonts w:ascii="Corbel" w:hAnsi="Corbel"/>
          </w:rPr>
          <w:t>Raising Expectations Program</w:t>
        </w:r>
      </w:hyperlink>
      <w:r w:rsidR="00E552CC">
        <w:rPr>
          <w:rStyle w:val="Hyperlink"/>
          <w:rFonts w:ascii="Corbel" w:hAnsi="Corbel"/>
        </w:rPr>
        <w:t>.</w:t>
      </w:r>
      <w:r w:rsidRPr="00CB4BB2">
        <w:rPr>
          <w:rFonts w:ascii="Corbel" w:hAnsi="Corbel"/>
        </w:rPr>
        <w:t xml:space="preserve"> </w:t>
      </w:r>
      <w:r w:rsidR="00E552CC">
        <w:rPr>
          <w:rFonts w:ascii="Corbel" w:hAnsi="Corbel"/>
        </w:rPr>
        <w:t xml:space="preserve">The program </w:t>
      </w:r>
      <w:r w:rsidRPr="00CB4BB2">
        <w:rPr>
          <w:rFonts w:ascii="Corbel" w:hAnsi="Corbel"/>
        </w:rPr>
        <w:t xml:space="preserve">provides support services for young people in out-of-home care and care leavers pursuing post-secondary education. Raising Expectations was developed in 2015 to address the underrepresentation of care experienced people in post-secondary education. The program currently has formal partnerships with five universities including 3 dual sector providers. </w:t>
      </w:r>
    </w:p>
    <w:p w14:paraId="26EC1D93" w14:textId="77777777" w:rsidR="00AB5321" w:rsidRPr="00CB4BB2" w:rsidRDefault="00AB5321" w:rsidP="00DD726A">
      <w:pPr>
        <w:spacing w:after="120"/>
        <w:rPr>
          <w:rFonts w:ascii="Corbel" w:hAnsi="Corbel"/>
        </w:rPr>
      </w:pPr>
      <w:r w:rsidRPr="00CB4BB2">
        <w:rPr>
          <w:rFonts w:ascii="Corbel" w:hAnsi="Corbel"/>
        </w:rPr>
        <w:t>Victoria will build on this success by expanding the program to 6 standalone TAFEs to improve access for VET students, including those in regional areas who wish to pursue vocational courses and allow for enhancement of services and development of support resources undertaken through the program.</w:t>
      </w:r>
    </w:p>
    <w:p w14:paraId="07F42019" w14:textId="4B3763A6" w:rsidR="00AB5321" w:rsidRPr="00CB4BB2" w:rsidRDefault="00AB5321" w:rsidP="00DD726A">
      <w:pPr>
        <w:pStyle w:val="MBPoint"/>
        <w:numPr>
          <w:ilvl w:val="0"/>
          <w:numId w:val="0"/>
        </w:numPr>
        <w:spacing w:after="120"/>
        <w:rPr>
          <w:rFonts w:ascii="Corbel" w:hAnsi="Corbel"/>
        </w:rPr>
      </w:pPr>
      <w:r w:rsidRPr="00CB4BB2">
        <w:rPr>
          <w:rFonts w:ascii="Corbel" w:hAnsi="Corbel"/>
        </w:rPr>
        <w:t>An evaluation of the program found that Raising Expectations is seen as a respected, professional source of education and training and is providing valuable information to a range of sectors including child welfare and community service and education sectors (high school, VET, and higher education).</w:t>
      </w:r>
    </w:p>
    <w:p w14:paraId="0EBA2873" w14:textId="3D314729" w:rsidR="006A1A51" w:rsidRPr="00CB4BB2" w:rsidRDefault="00913D07" w:rsidP="00913D07">
      <w:pPr>
        <w:keepNext/>
        <w:spacing w:after="120"/>
        <w:rPr>
          <w:rFonts w:ascii="Corbel" w:hAnsi="Corbel"/>
          <w:b/>
          <w:i/>
        </w:rPr>
      </w:pPr>
      <w:r w:rsidRPr="00CB4BB2">
        <w:rPr>
          <w:rFonts w:ascii="Corbel" w:hAnsi="Corbel"/>
          <w:b/>
          <w:i/>
        </w:rPr>
        <w:t>Literacy and Numeracy Support to improve VET course completions</w:t>
      </w:r>
    </w:p>
    <w:p w14:paraId="03E13D47" w14:textId="04893B8D" w:rsidR="00913D07" w:rsidRDefault="0A17500D" w:rsidP="5A1ACE45">
      <w:pPr>
        <w:spacing w:after="120"/>
        <w:rPr>
          <w:rFonts w:ascii="Corbel" w:hAnsi="Corbel"/>
        </w:rPr>
      </w:pPr>
      <w:r w:rsidRPr="5A1ACE45">
        <w:rPr>
          <w:rFonts w:ascii="Corbel" w:hAnsi="Corbel"/>
        </w:rPr>
        <w:t xml:space="preserve">Analysis of Victorian VET system data indicates that students, including apprentices, who enrol in </w:t>
      </w:r>
      <w:r w:rsidR="60F49769" w:rsidRPr="5A1ACE45">
        <w:rPr>
          <w:rFonts w:ascii="Corbel" w:hAnsi="Corbel"/>
        </w:rPr>
        <w:t>literacy and numeracy</w:t>
      </w:r>
      <w:r w:rsidRPr="5A1ACE45">
        <w:rPr>
          <w:rFonts w:ascii="Corbel" w:hAnsi="Corbel"/>
        </w:rPr>
        <w:t xml:space="preserve"> programs in combination with a primary VET program are significantly more likely to complete the qualification and achieve employment outcomes. </w:t>
      </w:r>
      <w:r w:rsidR="7F85ED53" w:rsidRPr="5A1ACE45">
        <w:rPr>
          <w:rFonts w:ascii="Corbel" w:hAnsi="Corbel"/>
        </w:rPr>
        <w:t xml:space="preserve">Many students enter VET programs and apprenticeships without the foundation skills necessary to complete their studies. This is shown in the data that most training cessation occurs at the start and at the end of courses. Students with low literacy and numeracy are more likely to stop their course early. </w:t>
      </w:r>
    </w:p>
    <w:p w14:paraId="72F89180" w14:textId="6864CAA4" w:rsidR="00913D07" w:rsidRPr="00CB4BB2" w:rsidRDefault="00913D07" w:rsidP="00913D07">
      <w:pPr>
        <w:spacing w:after="120"/>
        <w:rPr>
          <w:rFonts w:ascii="Corbel" w:hAnsi="Corbel"/>
        </w:rPr>
      </w:pPr>
      <w:r w:rsidRPr="00CB4BB2">
        <w:rPr>
          <w:rFonts w:ascii="Corbel" w:hAnsi="Corbel"/>
        </w:rPr>
        <w:t xml:space="preserve">The Victorian Skills Plan confirms that low foundation skills create issues for learners. It recognises that delivering more foundation skills is a crucial response for improving economic participation and supporting sectors with high workforce demand that are aligned to the state’s priority areas. </w:t>
      </w:r>
    </w:p>
    <w:p w14:paraId="44F2CAFE" w14:textId="1E046C6D" w:rsidR="00913D07" w:rsidRPr="00CB4BB2" w:rsidRDefault="7F85ED53" w:rsidP="5A1ACE45">
      <w:pPr>
        <w:spacing w:after="120"/>
        <w:rPr>
          <w:rFonts w:ascii="Corbel" w:hAnsi="Corbel"/>
        </w:rPr>
      </w:pPr>
      <w:r w:rsidRPr="5A1ACE45">
        <w:rPr>
          <w:rFonts w:ascii="Corbel" w:hAnsi="Corbel"/>
        </w:rPr>
        <w:t>Victoria’s TAFEs deliver a specific literacy and numeracy support program, LNSUPPORT, as a dual enrolment for learners currently studying in priority and growth industries. LNSUPPORT is designed to assist students in developing their literacy, language and numeracy skills to set them up for success in completing their vocational studies and improve their core, transferable employability skills</w:t>
      </w:r>
      <w:r w:rsidR="33C1B37A" w:rsidRPr="5A1ACE45">
        <w:rPr>
          <w:rFonts w:ascii="Corbel" w:hAnsi="Corbel"/>
        </w:rPr>
        <w:t xml:space="preserve"> and has been shown to improve completions. </w:t>
      </w:r>
    </w:p>
    <w:p w14:paraId="7EE6B955" w14:textId="6F247787" w:rsidR="00684BB7" w:rsidRDefault="002706F8" w:rsidP="00913D07">
      <w:pPr>
        <w:spacing w:after="120"/>
        <w:rPr>
          <w:rFonts w:ascii="Corbel" w:hAnsi="Corbel"/>
        </w:rPr>
      </w:pPr>
      <w:r>
        <w:rPr>
          <w:rFonts w:ascii="Corbel" w:hAnsi="Corbel"/>
        </w:rPr>
        <w:t xml:space="preserve">$29.15 million </w:t>
      </w:r>
      <w:r w:rsidR="00FC4B13">
        <w:rPr>
          <w:rFonts w:ascii="Corbel" w:hAnsi="Corbel"/>
        </w:rPr>
        <w:t xml:space="preserve">through the Completions </w:t>
      </w:r>
      <w:r w:rsidR="007F7C14">
        <w:rPr>
          <w:rFonts w:ascii="Corbel" w:hAnsi="Corbel"/>
        </w:rPr>
        <w:t xml:space="preserve">Implementation Plan </w:t>
      </w:r>
      <w:r w:rsidR="00871D56">
        <w:rPr>
          <w:rFonts w:ascii="Corbel" w:hAnsi="Corbel"/>
        </w:rPr>
        <w:t xml:space="preserve">will be invested </w:t>
      </w:r>
      <w:r>
        <w:rPr>
          <w:rFonts w:ascii="Corbel" w:hAnsi="Corbel"/>
        </w:rPr>
        <w:t xml:space="preserve">to </w:t>
      </w:r>
      <w:r w:rsidR="00913D07" w:rsidRPr="00CB4BB2">
        <w:rPr>
          <w:rFonts w:ascii="Corbel" w:hAnsi="Corbel"/>
        </w:rPr>
        <w:t>expand this program to cover apprenticeship course co-enrolments, as well as priority non-apprentice courses.</w:t>
      </w:r>
      <w:r w:rsidR="00B9785A">
        <w:rPr>
          <w:rFonts w:ascii="Corbel" w:hAnsi="Corbel"/>
        </w:rPr>
        <w:t xml:space="preserve"> </w:t>
      </w:r>
      <w:r w:rsidR="00684BB7">
        <w:rPr>
          <w:rFonts w:ascii="Corbel" w:hAnsi="Corbel"/>
        </w:rPr>
        <w:t xml:space="preserve">Given the strong connection between foundation skills and student completions, Victoria </w:t>
      </w:r>
      <w:r w:rsidR="00815195">
        <w:rPr>
          <w:rFonts w:ascii="Corbel" w:hAnsi="Corbel"/>
        </w:rPr>
        <w:t>seeks to utilise funding available</w:t>
      </w:r>
      <w:r w:rsidR="008A08EF">
        <w:rPr>
          <w:rFonts w:ascii="Corbel" w:hAnsi="Corbel"/>
        </w:rPr>
        <w:t xml:space="preserve"> across the two policy initiatives</w:t>
      </w:r>
      <w:r w:rsidR="00EE19CC">
        <w:rPr>
          <w:rFonts w:ascii="Corbel" w:hAnsi="Corbel"/>
        </w:rPr>
        <w:t xml:space="preserve"> to maximise the number of students able to </w:t>
      </w:r>
      <w:r w:rsidR="00684BB7">
        <w:rPr>
          <w:rFonts w:ascii="Corbel" w:hAnsi="Corbel"/>
        </w:rPr>
        <w:t>access foundation skills training.</w:t>
      </w:r>
    </w:p>
    <w:p w14:paraId="316256E7" w14:textId="5A9C3F6E" w:rsidR="00913D07" w:rsidRPr="00CB4BB2" w:rsidRDefault="1A568D28" w:rsidP="5A1ACE45">
      <w:pPr>
        <w:spacing w:after="120"/>
        <w:rPr>
          <w:rFonts w:ascii="Corbel" w:hAnsi="Corbel"/>
        </w:rPr>
      </w:pPr>
      <w:r w:rsidRPr="5A1ACE45">
        <w:rPr>
          <w:rFonts w:ascii="Corbel" w:hAnsi="Corbel"/>
        </w:rPr>
        <w:t xml:space="preserve">The </w:t>
      </w:r>
      <w:r w:rsidR="0121802C" w:rsidRPr="5A1ACE45">
        <w:rPr>
          <w:rFonts w:ascii="Corbel" w:hAnsi="Corbel"/>
        </w:rPr>
        <w:t xml:space="preserve">total investment in LNSUPPORT across completions and foundation skills initiatives, </w:t>
      </w:r>
      <w:r w:rsidR="2D6F3E50" w:rsidRPr="5A1ACE45">
        <w:rPr>
          <w:rFonts w:ascii="Corbel" w:hAnsi="Corbel"/>
        </w:rPr>
        <w:t xml:space="preserve">is anticipated to result in at least </w:t>
      </w:r>
      <w:r w:rsidR="593AE56B" w:rsidRPr="5A1ACE45">
        <w:rPr>
          <w:rFonts w:ascii="Corbel" w:hAnsi="Corbel"/>
        </w:rPr>
        <w:t>8</w:t>
      </w:r>
      <w:r w:rsidR="2D6F3E50" w:rsidRPr="5A1ACE45">
        <w:rPr>
          <w:rFonts w:ascii="Corbel" w:hAnsi="Corbel"/>
        </w:rPr>
        <w:t xml:space="preserve">,000 additional co-enrolments per training year over the </w:t>
      </w:r>
      <w:r w:rsidR="01BF9C1A" w:rsidRPr="5A1ACE45">
        <w:rPr>
          <w:rFonts w:ascii="Corbel" w:hAnsi="Corbel"/>
        </w:rPr>
        <w:t>life</w:t>
      </w:r>
      <w:r w:rsidR="2D6F3E50" w:rsidRPr="5A1ACE45">
        <w:rPr>
          <w:rFonts w:ascii="Corbel" w:hAnsi="Corbel"/>
        </w:rPr>
        <w:t xml:space="preserve"> of the NSA.</w:t>
      </w:r>
      <w:r w:rsidR="7F85ED53" w:rsidRPr="5A1ACE45">
        <w:rPr>
          <w:rFonts w:ascii="Corbel" w:hAnsi="Corbel"/>
        </w:rPr>
        <w:t xml:space="preserve"> Th</w:t>
      </w:r>
      <w:r w:rsidR="23D9622E" w:rsidRPr="5A1ACE45">
        <w:rPr>
          <w:rFonts w:ascii="Corbel" w:hAnsi="Corbel"/>
        </w:rPr>
        <w:t>ese</w:t>
      </w:r>
      <w:r w:rsidR="7F85ED53" w:rsidRPr="5A1ACE45">
        <w:rPr>
          <w:rFonts w:ascii="Corbel" w:hAnsi="Corbel"/>
        </w:rPr>
        <w:t xml:space="preserve"> </w:t>
      </w:r>
      <w:r w:rsidR="23D9622E" w:rsidRPr="5A1ACE45">
        <w:rPr>
          <w:rFonts w:ascii="Corbel" w:hAnsi="Corbel"/>
        </w:rPr>
        <w:t xml:space="preserve">additional co-enrolments </w:t>
      </w:r>
      <w:r w:rsidR="7F85ED53" w:rsidRPr="5A1ACE45">
        <w:rPr>
          <w:rFonts w:ascii="Corbel" w:hAnsi="Corbel"/>
        </w:rPr>
        <w:t xml:space="preserve">will be critical to provide the </w:t>
      </w:r>
      <w:r w:rsidR="13C1F000" w:rsidRPr="5A1ACE45">
        <w:rPr>
          <w:rFonts w:ascii="Corbel" w:hAnsi="Corbel"/>
        </w:rPr>
        <w:t xml:space="preserve">foundational </w:t>
      </w:r>
      <w:r w:rsidR="7F85ED53" w:rsidRPr="5A1ACE45">
        <w:rPr>
          <w:rFonts w:ascii="Corbel" w:hAnsi="Corbel"/>
        </w:rPr>
        <w:t>support necessary for completions in priority areas such as construction, where ongoing growth in the supply of skilled workers will be required to enable Victoria to meet its housing commitments.</w:t>
      </w:r>
    </w:p>
    <w:p w14:paraId="24ACB396" w14:textId="77777777" w:rsidR="00913D07" w:rsidRDefault="00913D07" w:rsidP="00913D07">
      <w:pPr>
        <w:spacing w:after="120"/>
        <w:rPr>
          <w:rFonts w:ascii="Corbel" w:hAnsi="Corbel"/>
        </w:rPr>
      </w:pPr>
      <w:r w:rsidRPr="00CB4BB2">
        <w:rPr>
          <w:rFonts w:ascii="Corbel" w:hAnsi="Corbel"/>
        </w:rPr>
        <w:t xml:space="preserve">The program focuses on improving foundation skills through tailored and flexible delivery modes, including the team-teaching model, where specialist literacy and numeracy teachers work alongside the primary VET course trainer or through separate contextualised support classes. </w:t>
      </w:r>
    </w:p>
    <w:p w14:paraId="01E0B623" w14:textId="2E356CE9" w:rsidR="00DD726A" w:rsidRDefault="00DD726A" w:rsidP="00DD726A">
      <w:pPr>
        <w:keepNext/>
        <w:spacing w:after="120"/>
        <w:rPr>
          <w:rFonts w:ascii="Corbel" w:hAnsi="Corbel"/>
          <w:b/>
          <w:i/>
        </w:rPr>
      </w:pPr>
      <w:r w:rsidRPr="00CB4BB2">
        <w:rPr>
          <w:rFonts w:ascii="Corbel" w:hAnsi="Corbel"/>
          <w:b/>
          <w:i/>
        </w:rPr>
        <w:lastRenderedPageBreak/>
        <w:t xml:space="preserve">Customer Relationship Management tool </w:t>
      </w:r>
    </w:p>
    <w:p w14:paraId="24B81CC8" w14:textId="77777777" w:rsidR="00DD726A" w:rsidRPr="00CB4BB2" w:rsidRDefault="00DD726A" w:rsidP="00DD726A">
      <w:pPr>
        <w:spacing w:after="120"/>
        <w:rPr>
          <w:rFonts w:ascii="Corbel" w:hAnsi="Corbel"/>
        </w:rPr>
      </w:pPr>
      <w:r w:rsidRPr="00CB4BB2">
        <w:rPr>
          <w:rFonts w:ascii="Corbel" w:hAnsi="Corbel"/>
        </w:rPr>
        <w:t>A key factor in improving student retention and therefore VET completions is early identification of students who may be at risk of dropping out. These students could be struggling academically, facing personal challenges, or feeling disengaged from their studies.</w:t>
      </w:r>
    </w:p>
    <w:p w14:paraId="4634E3C0" w14:textId="5F848F00" w:rsidR="00DD726A" w:rsidRPr="00CB4BB2" w:rsidRDefault="637A9009" w:rsidP="5A1ACE45">
      <w:pPr>
        <w:spacing w:after="120"/>
        <w:rPr>
          <w:rFonts w:ascii="Corbel" w:hAnsi="Corbel"/>
        </w:rPr>
      </w:pPr>
      <w:r w:rsidRPr="5A1ACE45">
        <w:rPr>
          <w:rFonts w:ascii="Corbel" w:hAnsi="Corbel"/>
        </w:rPr>
        <w:t xml:space="preserve"> </w:t>
      </w:r>
      <w:r w:rsidR="5049AB76" w:rsidRPr="5A1ACE45">
        <w:rPr>
          <w:rFonts w:ascii="Corbel" w:hAnsi="Corbel"/>
        </w:rPr>
        <w:t xml:space="preserve">$2.350 million </w:t>
      </w:r>
      <w:r w:rsidR="006A57C2">
        <w:rPr>
          <w:rFonts w:ascii="Corbel" w:hAnsi="Corbel"/>
        </w:rPr>
        <w:t xml:space="preserve">will be </w:t>
      </w:r>
      <w:r w:rsidR="000A21A3">
        <w:rPr>
          <w:rFonts w:ascii="Corbel" w:hAnsi="Corbel"/>
        </w:rPr>
        <w:t xml:space="preserve">provided </w:t>
      </w:r>
      <w:r w:rsidR="006A57C2">
        <w:rPr>
          <w:rFonts w:ascii="Corbel" w:hAnsi="Corbel"/>
        </w:rPr>
        <w:t>for</w:t>
      </w:r>
      <w:r w:rsidR="1F2B0B24" w:rsidRPr="5A1ACE45">
        <w:rPr>
          <w:rFonts w:ascii="Corbel" w:hAnsi="Corbel"/>
        </w:rPr>
        <w:t xml:space="preserve"> t</w:t>
      </w:r>
      <w:r w:rsidR="3D601596" w:rsidRPr="5A1ACE45">
        <w:rPr>
          <w:rFonts w:ascii="Corbel" w:hAnsi="Corbel"/>
        </w:rPr>
        <w:t xml:space="preserve">he </w:t>
      </w:r>
      <w:r w:rsidR="14DB7D3A" w:rsidRPr="5A1ACE45">
        <w:rPr>
          <w:rFonts w:ascii="Corbel" w:hAnsi="Corbel"/>
        </w:rPr>
        <w:t xml:space="preserve">CRM </w:t>
      </w:r>
      <w:r w:rsidR="3D601596" w:rsidRPr="5A1ACE45">
        <w:rPr>
          <w:rFonts w:ascii="Corbel" w:hAnsi="Corbel"/>
        </w:rPr>
        <w:t xml:space="preserve">tool </w:t>
      </w:r>
      <w:r w:rsidR="006A57C2">
        <w:rPr>
          <w:rFonts w:ascii="Corbel" w:hAnsi="Corbel"/>
        </w:rPr>
        <w:t xml:space="preserve">for </w:t>
      </w:r>
      <w:r w:rsidR="3D601596" w:rsidRPr="5A1ACE45">
        <w:rPr>
          <w:rFonts w:ascii="Corbel" w:hAnsi="Corbel"/>
        </w:rPr>
        <w:t xml:space="preserve">early identification of students at risk of non-completion through an ‘early-warning’ system which enables timely interventions and personalised support to keep students on track and reduce dropout rates. </w:t>
      </w:r>
      <w:r w:rsidR="006A57C2">
        <w:rPr>
          <w:rFonts w:ascii="Corbel" w:hAnsi="Corbel"/>
        </w:rPr>
        <w:t>I</w:t>
      </w:r>
      <w:r w:rsidR="7A03B237" w:rsidRPr="5A1ACE45">
        <w:rPr>
          <w:rFonts w:ascii="Corbel" w:hAnsi="Corbel"/>
        </w:rPr>
        <w:t>nitial roll out of</w:t>
      </w:r>
      <w:r w:rsidR="6806BB40" w:rsidRPr="5A1ACE45">
        <w:rPr>
          <w:rFonts w:ascii="Corbel" w:hAnsi="Corbel"/>
        </w:rPr>
        <w:t xml:space="preserve"> the tool </w:t>
      </w:r>
      <w:r w:rsidR="006A57C2">
        <w:rPr>
          <w:rFonts w:ascii="Corbel" w:hAnsi="Corbel"/>
        </w:rPr>
        <w:t xml:space="preserve">will be </w:t>
      </w:r>
      <w:r w:rsidR="6E0F3FE7" w:rsidRPr="5A1ACE45">
        <w:rPr>
          <w:rFonts w:ascii="Corbel" w:hAnsi="Corbel"/>
        </w:rPr>
        <w:t xml:space="preserve">at </w:t>
      </w:r>
      <w:r w:rsidR="7AA8364C" w:rsidRPr="5A1ACE45">
        <w:rPr>
          <w:rFonts w:ascii="Corbel" w:hAnsi="Corbel"/>
        </w:rPr>
        <w:t>two</w:t>
      </w:r>
      <w:r w:rsidR="6E0F3FE7" w:rsidRPr="5A1ACE45">
        <w:rPr>
          <w:rFonts w:ascii="Corbel" w:hAnsi="Corbel"/>
        </w:rPr>
        <w:t xml:space="preserve"> </w:t>
      </w:r>
      <w:r w:rsidR="3D601596" w:rsidRPr="5A1ACE45">
        <w:rPr>
          <w:rFonts w:ascii="Corbel" w:hAnsi="Corbel"/>
        </w:rPr>
        <w:t>TAFE</w:t>
      </w:r>
      <w:r w:rsidR="7AA8364C" w:rsidRPr="5A1ACE45">
        <w:rPr>
          <w:rFonts w:ascii="Corbel" w:hAnsi="Corbel"/>
        </w:rPr>
        <w:t>s</w:t>
      </w:r>
      <w:r w:rsidR="3D601596" w:rsidRPr="5A1ACE45">
        <w:rPr>
          <w:rFonts w:ascii="Corbel" w:hAnsi="Corbel"/>
        </w:rPr>
        <w:t xml:space="preserve"> in Victoria</w:t>
      </w:r>
      <w:r w:rsidR="7A03B237" w:rsidRPr="5A1ACE45">
        <w:rPr>
          <w:rFonts w:ascii="Corbel" w:hAnsi="Corbel"/>
        </w:rPr>
        <w:t>,</w:t>
      </w:r>
      <w:r w:rsidR="3D601596" w:rsidRPr="5A1ACE45">
        <w:rPr>
          <w:rFonts w:ascii="Corbel" w:hAnsi="Corbel"/>
        </w:rPr>
        <w:t xml:space="preserve"> with an interim evaluation of the </w:t>
      </w:r>
      <w:r w:rsidR="7A03B237" w:rsidRPr="5A1ACE45">
        <w:rPr>
          <w:rFonts w:ascii="Corbel" w:hAnsi="Corbel"/>
        </w:rPr>
        <w:t>roll out</w:t>
      </w:r>
      <w:r w:rsidR="3D601596" w:rsidRPr="5A1ACE45">
        <w:rPr>
          <w:rFonts w:ascii="Corbel" w:hAnsi="Corbel"/>
        </w:rPr>
        <w:t xml:space="preserve"> to </w:t>
      </w:r>
      <w:r w:rsidR="26E41002" w:rsidRPr="5A1ACE45">
        <w:rPr>
          <w:rFonts w:ascii="Corbel" w:hAnsi="Corbel"/>
        </w:rPr>
        <w:t xml:space="preserve">be provided to the Commonwealth </w:t>
      </w:r>
      <w:r w:rsidR="3D601596" w:rsidRPr="5A1ACE45">
        <w:rPr>
          <w:rFonts w:ascii="Corbel" w:hAnsi="Corbel"/>
        </w:rPr>
        <w:t xml:space="preserve">prior to December 2028. </w:t>
      </w:r>
    </w:p>
    <w:p w14:paraId="761204FA" w14:textId="7B6EE723" w:rsidR="00DD726A" w:rsidRPr="00CB4BB2" w:rsidRDefault="3D601596" w:rsidP="5A1ACE45">
      <w:pPr>
        <w:spacing w:after="120"/>
        <w:rPr>
          <w:rFonts w:ascii="Corbel" w:hAnsi="Corbel"/>
        </w:rPr>
      </w:pPr>
      <w:r w:rsidRPr="5A1ACE45">
        <w:rPr>
          <w:rFonts w:ascii="Corbel" w:hAnsi="Corbel"/>
        </w:rPr>
        <w:t xml:space="preserve">This technology-enabled solution uses advanced data analytics to identify students at risk of dropping out which will enable TAFEs to act promptly and drive efficiency </w:t>
      </w:r>
      <w:r w:rsidR="627AC4A3" w:rsidRPr="5A1ACE45">
        <w:rPr>
          <w:rFonts w:ascii="Corbel" w:hAnsi="Corbel"/>
        </w:rPr>
        <w:t>of support services</w:t>
      </w:r>
      <w:r w:rsidRPr="5A1ACE45">
        <w:rPr>
          <w:rFonts w:ascii="Corbel" w:hAnsi="Corbel"/>
        </w:rPr>
        <w:t xml:space="preserve">. </w:t>
      </w:r>
      <w:r w:rsidR="627AC4A3" w:rsidRPr="5A1ACE45">
        <w:rPr>
          <w:rFonts w:ascii="Corbel" w:hAnsi="Corbel"/>
        </w:rPr>
        <w:t xml:space="preserve">The </w:t>
      </w:r>
      <w:r w:rsidR="7C6B0C9E" w:rsidRPr="5A1ACE45">
        <w:rPr>
          <w:rFonts w:ascii="Corbel" w:hAnsi="Corbel"/>
        </w:rPr>
        <w:t xml:space="preserve">tool will enable </w:t>
      </w:r>
      <w:r w:rsidRPr="5A1ACE45">
        <w:rPr>
          <w:rFonts w:ascii="Corbel" w:hAnsi="Corbel"/>
        </w:rPr>
        <w:t xml:space="preserve">TAFEs and the </w:t>
      </w:r>
      <w:r w:rsidR="500E3EE4" w:rsidRPr="5A1ACE45">
        <w:rPr>
          <w:rFonts w:ascii="Corbel" w:hAnsi="Corbel"/>
        </w:rPr>
        <w:t>Vic</w:t>
      </w:r>
      <w:r w:rsidR="3C763B98" w:rsidRPr="5A1ACE45">
        <w:rPr>
          <w:rFonts w:ascii="Corbel" w:hAnsi="Corbel"/>
        </w:rPr>
        <w:t>torian Department of Jobs, Skills, Industry and Regions (D</w:t>
      </w:r>
      <w:r w:rsidRPr="5A1ACE45">
        <w:rPr>
          <w:rFonts w:ascii="Corbel" w:hAnsi="Corbel"/>
        </w:rPr>
        <w:t>epartment</w:t>
      </w:r>
      <w:r w:rsidR="3C763B98" w:rsidRPr="5A1ACE45">
        <w:rPr>
          <w:rFonts w:ascii="Corbel" w:hAnsi="Corbel"/>
        </w:rPr>
        <w:t>)</w:t>
      </w:r>
      <w:r w:rsidRPr="5A1ACE45">
        <w:rPr>
          <w:rFonts w:ascii="Corbel" w:hAnsi="Corbel"/>
        </w:rPr>
        <w:t xml:space="preserve"> </w:t>
      </w:r>
      <w:r w:rsidR="7C6B0C9E" w:rsidRPr="5A1ACE45">
        <w:rPr>
          <w:rFonts w:ascii="Corbel" w:hAnsi="Corbel"/>
        </w:rPr>
        <w:t>to</w:t>
      </w:r>
      <w:r w:rsidRPr="5A1ACE45">
        <w:rPr>
          <w:rFonts w:ascii="Corbel" w:hAnsi="Corbel"/>
        </w:rPr>
        <w:t xml:space="preserve"> collect and present information on cohorts, risk factors, interventions and outcomes, and use the information and data to shape policy, identify the most effective supports for students. </w:t>
      </w:r>
    </w:p>
    <w:p w14:paraId="2C55EEEC" w14:textId="77777777" w:rsidR="00DD726A" w:rsidRPr="00CB4BB2" w:rsidRDefault="00DD726A" w:rsidP="003360D9">
      <w:pPr>
        <w:spacing w:after="0"/>
        <w:rPr>
          <w:rFonts w:ascii="Corbel" w:hAnsi="Corbel"/>
          <w:color w:val="000000" w:themeColor="text1"/>
        </w:rPr>
      </w:pPr>
      <w:r w:rsidRPr="00CB4BB2">
        <w:rPr>
          <w:rFonts w:ascii="Corbel" w:hAnsi="Corbel"/>
          <w:color w:val="000000" w:themeColor="text1"/>
        </w:rPr>
        <w:t>Key benefits of the CRM early identification of ‘students at risk’ functionality include:</w:t>
      </w:r>
    </w:p>
    <w:p w14:paraId="77BB9033" w14:textId="77777777" w:rsidR="00DD726A" w:rsidRPr="00CB4BB2" w:rsidRDefault="00DD726A" w:rsidP="003360D9">
      <w:pPr>
        <w:pStyle w:val="Bullet1"/>
        <w:numPr>
          <w:ilvl w:val="0"/>
          <w:numId w:val="13"/>
        </w:numPr>
        <w:spacing w:before="0" w:after="0"/>
        <w:rPr>
          <w:rFonts w:ascii="Corbel" w:eastAsiaTheme="minorEastAsia" w:hAnsi="Corbel" w:cstheme="minorBidi"/>
          <w:kern w:val="2"/>
          <w:sz w:val="22"/>
          <w:szCs w:val="22"/>
          <w:lang w:eastAsia="ja-JP"/>
          <w14:ligatures w14:val="standardContextual"/>
        </w:rPr>
      </w:pPr>
      <w:r w:rsidRPr="00CB4BB2">
        <w:rPr>
          <w:rFonts w:ascii="Corbel" w:eastAsiaTheme="minorEastAsia" w:hAnsi="Corbel" w:cstheme="minorBidi"/>
          <w:kern w:val="2"/>
          <w:sz w:val="22"/>
          <w:szCs w:val="22"/>
          <w:lang w:eastAsia="ja-JP"/>
          <w14:ligatures w14:val="standardContextual"/>
        </w:rPr>
        <w:t>Timely and proactive intervention before issues escalate, keeping students on track and reducing likelihood of students dropping out</w:t>
      </w:r>
    </w:p>
    <w:p w14:paraId="7197E4C4" w14:textId="77777777" w:rsidR="00DD726A" w:rsidRPr="00CB4BB2" w:rsidRDefault="00DD726A" w:rsidP="00DD726A">
      <w:pPr>
        <w:pStyle w:val="Bullet1"/>
        <w:numPr>
          <w:ilvl w:val="0"/>
          <w:numId w:val="13"/>
        </w:numPr>
        <w:spacing w:after="120"/>
        <w:rPr>
          <w:rFonts w:ascii="Corbel" w:eastAsiaTheme="minorEastAsia" w:hAnsi="Corbel" w:cstheme="minorBidi"/>
          <w:kern w:val="2"/>
          <w:sz w:val="22"/>
          <w:szCs w:val="22"/>
          <w:lang w:eastAsia="ja-JP"/>
          <w14:ligatures w14:val="standardContextual"/>
        </w:rPr>
      </w:pPr>
      <w:r w:rsidRPr="00CB4BB2">
        <w:rPr>
          <w:rFonts w:ascii="Corbel" w:eastAsiaTheme="minorEastAsia" w:hAnsi="Corbel" w:cstheme="minorBidi"/>
          <w:kern w:val="2"/>
          <w:sz w:val="22"/>
          <w:szCs w:val="22"/>
          <w:lang w:eastAsia="ja-JP"/>
          <w14:ligatures w14:val="standardContextual"/>
        </w:rPr>
        <w:t>Personalised support tailored to the students’ needs and based on students’ information provided by the CRM</w:t>
      </w:r>
    </w:p>
    <w:p w14:paraId="33C667CE" w14:textId="77777777" w:rsidR="00DD726A" w:rsidRPr="00CB4BB2" w:rsidRDefault="00DD726A" w:rsidP="00D41FD5">
      <w:pPr>
        <w:pStyle w:val="Bullet1"/>
        <w:numPr>
          <w:ilvl w:val="0"/>
          <w:numId w:val="13"/>
        </w:numPr>
        <w:spacing w:after="120"/>
        <w:ind w:left="714" w:hanging="357"/>
        <w:rPr>
          <w:rFonts w:ascii="Corbel" w:eastAsiaTheme="minorEastAsia" w:hAnsi="Corbel" w:cstheme="minorBidi"/>
          <w:kern w:val="2"/>
          <w:sz w:val="22"/>
          <w:szCs w:val="22"/>
          <w:lang w:eastAsia="ja-JP"/>
          <w14:ligatures w14:val="standardContextual"/>
        </w:rPr>
      </w:pPr>
      <w:r w:rsidRPr="00CB4BB2">
        <w:rPr>
          <w:rFonts w:ascii="Corbel" w:eastAsiaTheme="minorEastAsia" w:hAnsi="Corbel" w:cstheme="minorBidi"/>
          <w:kern w:val="2"/>
          <w:sz w:val="22"/>
          <w:szCs w:val="22"/>
          <w:lang w:eastAsia="ja-JP"/>
          <w14:ligatures w14:val="standardContextual"/>
        </w:rPr>
        <w:t>Enhanced data and reporting allowing for data driven decision making to inform TAFE and department policy changes and future planning</w:t>
      </w:r>
    </w:p>
    <w:p w14:paraId="0D1F8D94" w14:textId="048D38E6" w:rsidR="000323DC" w:rsidRDefault="00DD726A" w:rsidP="00DD726A">
      <w:pPr>
        <w:spacing w:after="120"/>
        <w:rPr>
          <w:rFonts w:ascii="Corbel" w:hAnsi="Corbel"/>
        </w:rPr>
      </w:pPr>
      <w:r w:rsidRPr="00CB4BB2">
        <w:rPr>
          <w:rFonts w:ascii="Corbel" w:hAnsi="Corbel"/>
        </w:rPr>
        <w:t>Early identification of at-risk students enables evidence-based and prompt intervention through the various student support services provided through TAFEs. These existing TAFE supports are proposed to be expanded to include more co-ordinated wrap around support services. These expanded services coupled with better and earlier identification of students at risk of not completing their studies will lead to improved academic outcomes and skills development.</w:t>
      </w:r>
    </w:p>
    <w:p w14:paraId="0E8712AD" w14:textId="77777777" w:rsidR="000323DC" w:rsidRPr="00CB4BB2" w:rsidRDefault="000323DC" w:rsidP="00DD726A">
      <w:pPr>
        <w:pStyle w:val="ListParagraph"/>
        <w:numPr>
          <w:ilvl w:val="0"/>
          <w:numId w:val="3"/>
        </w:numPr>
        <w:spacing w:after="120"/>
        <w:rPr>
          <w:rFonts w:ascii="Corbel" w:hAnsi="Corbel"/>
          <w:b/>
          <w:bCs/>
        </w:rPr>
      </w:pPr>
      <w:r w:rsidRPr="00CB4BB2">
        <w:rPr>
          <w:rFonts w:ascii="Corbel" w:hAnsi="Corbel"/>
          <w:b/>
          <w:bCs/>
        </w:rPr>
        <w:t>Outline how this proposal addresses clause A146, including links to recommendations of the National VET Completions Taskforce.</w:t>
      </w:r>
    </w:p>
    <w:p w14:paraId="04FD2C9E" w14:textId="68A61862" w:rsidR="004F0044" w:rsidRDefault="00610745" w:rsidP="00104264">
      <w:pPr>
        <w:spacing w:after="120"/>
        <w:rPr>
          <w:rFonts w:ascii="Corbel" w:hAnsi="Corbel" w:cstheme="minorHAnsi"/>
        </w:rPr>
      </w:pPr>
      <w:r>
        <w:rPr>
          <w:rFonts w:ascii="Corbel" w:hAnsi="Corbel" w:cstheme="minorHAnsi"/>
        </w:rPr>
        <w:t xml:space="preserve">Targeted initiatives </w:t>
      </w:r>
      <w:r w:rsidR="00B21583">
        <w:rPr>
          <w:rFonts w:ascii="Corbel" w:hAnsi="Corbel" w:cstheme="minorHAnsi"/>
        </w:rPr>
        <w:t>that support</w:t>
      </w:r>
      <w:r w:rsidR="00577354">
        <w:rPr>
          <w:rFonts w:ascii="Corbel" w:hAnsi="Corbel" w:cstheme="minorHAnsi"/>
        </w:rPr>
        <w:t xml:space="preserve"> </w:t>
      </w:r>
      <w:r w:rsidR="008609F3">
        <w:rPr>
          <w:rFonts w:ascii="Corbel" w:hAnsi="Corbel" w:cstheme="minorHAnsi"/>
        </w:rPr>
        <w:t xml:space="preserve">improved </w:t>
      </w:r>
      <w:r w:rsidR="00577354">
        <w:rPr>
          <w:rFonts w:ascii="Corbel" w:hAnsi="Corbel" w:cstheme="minorHAnsi"/>
        </w:rPr>
        <w:t xml:space="preserve">literacy and numeracy </w:t>
      </w:r>
      <w:r w:rsidR="00D73F87">
        <w:rPr>
          <w:rFonts w:ascii="Corbel" w:hAnsi="Corbel" w:cstheme="minorHAnsi"/>
        </w:rPr>
        <w:t>lead to</w:t>
      </w:r>
      <w:r w:rsidR="00917273">
        <w:rPr>
          <w:rFonts w:ascii="Corbel" w:hAnsi="Corbel" w:cstheme="minorHAnsi"/>
        </w:rPr>
        <w:t xml:space="preserve"> </w:t>
      </w:r>
      <w:r w:rsidR="0063350C">
        <w:rPr>
          <w:rFonts w:ascii="Corbel" w:hAnsi="Corbel" w:cstheme="minorHAnsi"/>
        </w:rPr>
        <w:t xml:space="preserve">increased completion rates, </w:t>
      </w:r>
      <w:r w:rsidR="00AD1765">
        <w:rPr>
          <w:rFonts w:ascii="Corbel" w:hAnsi="Corbel" w:cstheme="minorHAnsi"/>
        </w:rPr>
        <w:t xml:space="preserve">as well as </w:t>
      </w:r>
      <w:r w:rsidR="001C0030">
        <w:rPr>
          <w:rFonts w:ascii="Corbel" w:hAnsi="Corbel" w:cstheme="minorHAnsi"/>
        </w:rPr>
        <w:t>better</w:t>
      </w:r>
      <w:r w:rsidR="0083394C">
        <w:rPr>
          <w:rFonts w:ascii="Corbel" w:hAnsi="Corbel" w:cstheme="minorHAnsi"/>
        </w:rPr>
        <w:t xml:space="preserve"> employment and training outcomes</w:t>
      </w:r>
      <w:r w:rsidR="00577354">
        <w:rPr>
          <w:rFonts w:ascii="Corbel" w:hAnsi="Corbel" w:cstheme="minorHAnsi"/>
        </w:rPr>
        <w:t>.</w:t>
      </w:r>
      <w:r w:rsidR="0083394C">
        <w:rPr>
          <w:rFonts w:ascii="Corbel" w:hAnsi="Corbel" w:cstheme="minorHAnsi"/>
        </w:rPr>
        <w:t xml:space="preserve"> </w:t>
      </w:r>
      <w:r w:rsidR="00564244" w:rsidRPr="00564244">
        <w:rPr>
          <w:rFonts w:ascii="Corbel" w:hAnsi="Corbel" w:cstheme="minorHAnsi"/>
        </w:rPr>
        <w:t>Investments in adult literacy directly boost labour productivity and significantly enhance economic performance. A one-percent increase in literacy levels results in a 10% increase in wages and 3% rise in GDP per capita</w:t>
      </w:r>
      <w:r w:rsidR="00C55D00">
        <w:rPr>
          <w:rStyle w:val="FootnoteReference"/>
          <w:rFonts w:ascii="Corbel" w:hAnsi="Corbel" w:cstheme="minorHAnsi"/>
        </w:rPr>
        <w:footnoteReference w:id="3"/>
      </w:r>
      <w:r w:rsidR="00C55D00">
        <w:rPr>
          <w:rFonts w:ascii="Corbel" w:hAnsi="Corbel" w:cstheme="minorHAnsi"/>
        </w:rPr>
        <w:t xml:space="preserve">. </w:t>
      </w:r>
      <w:r w:rsidR="00951ECF">
        <w:rPr>
          <w:rFonts w:ascii="Corbel" w:hAnsi="Corbel" w:cstheme="minorHAnsi"/>
        </w:rPr>
        <w:t>VET students who complete their courses are</w:t>
      </w:r>
      <w:r w:rsidR="005B005D">
        <w:rPr>
          <w:rFonts w:ascii="Corbel" w:hAnsi="Corbel" w:cstheme="minorHAnsi"/>
        </w:rPr>
        <w:t xml:space="preserve"> </w:t>
      </w:r>
      <w:r w:rsidR="00951ECF">
        <w:rPr>
          <w:rFonts w:ascii="Corbel" w:hAnsi="Corbel" w:cstheme="minorHAnsi"/>
        </w:rPr>
        <w:t xml:space="preserve">more likely to report an improved employment status </w:t>
      </w:r>
      <w:r w:rsidR="00DA6E2E">
        <w:rPr>
          <w:rFonts w:ascii="Corbel" w:hAnsi="Corbel" w:cstheme="minorHAnsi"/>
        </w:rPr>
        <w:t xml:space="preserve">in </w:t>
      </w:r>
      <w:r w:rsidR="00EE1298">
        <w:rPr>
          <w:rFonts w:ascii="Corbel" w:hAnsi="Corbel" w:cstheme="minorHAnsi"/>
        </w:rPr>
        <w:t xml:space="preserve">Victoria’s VET </w:t>
      </w:r>
      <w:r w:rsidR="00951ECF">
        <w:rPr>
          <w:rFonts w:ascii="Corbel" w:hAnsi="Corbel" w:cstheme="minorHAnsi"/>
        </w:rPr>
        <w:t>student outcomes survey</w:t>
      </w:r>
      <w:r w:rsidR="00FF0729">
        <w:rPr>
          <w:rFonts w:ascii="Corbel" w:hAnsi="Corbel" w:cstheme="minorHAnsi"/>
        </w:rPr>
        <w:t xml:space="preserve"> and the NCVER </w:t>
      </w:r>
      <w:r w:rsidR="006E7FE2">
        <w:rPr>
          <w:rFonts w:ascii="Corbel" w:hAnsi="Corbel" w:cstheme="minorHAnsi"/>
        </w:rPr>
        <w:t>student survey</w:t>
      </w:r>
      <w:r w:rsidR="009C12DD">
        <w:rPr>
          <w:rFonts w:ascii="Corbel" w:hAnsi="Corbel" w:cstheme="minorHAnsi"/>
        </w:rPr>
        <w:t>.</w:t>
      </w:r>
      <w:r w:rsidR="00C53A3A">
        <w:rPr>
          <w:rFonts w:ascii="Corbel" w:hAnsi="Corbel" w:cstheme="minorHAnsi"/>
        </w:rPr>
        <w:t xml:space="preserve"> </w:t>
      </w:r>
      <w:r w:rsidR="00AC2DD6">
        <w:rPr>
          <w:rFonts w:ascii="Corbel" w:hAnsi="Corbel" w:cstheme="minorHAnsi"/>
        </w:rPr>
        <w:t xml:space="preserve">Victorian VET data </w:t>
      </w:r>
      <w:r w:rsidR="00120D28">
        <w:rPr>
          <w:rFonts w:ascii="Corbel" w:hAnsi="Corbel" w:cstheme="minorHAnsi"/>
        </w:rPr>
        <w:t>shows</w:t>
      </w:r>
      <w:r w:rsidR="00AC2DD6">
        <w:rPr>
          <w:rFonts w:ascii="Corbel" w:hAnsi="Corbel" w:cstheme="minorHAnsi"/>
        </w:rPr>
        <w:t xml:space="preserve"> that students </w:t>
      </w:r>
      <w:r w:rsidR="009C12DD" w:rsidRPr="009C12DD">
        <w:rPr>
          <w:rFonts w:ascii="Corbel" w:hAnsi="Corbel" w:cstheme="minorHAnsi"/>
        </w:rPr>
        <w:t xml:space="preserve">who enrol in foundation skills programs in combination with a primary VET program are significantly more likely to complete the qualification and achieve employment outcomes. </w:t>
      </w:r>
      <w:r w:rsidR="00075727">
        <w:rPr>
          <w:rFonts w:ascii="Corbel" w:hAnsi="Corbel" w:cstheme="minorHAnsi"/>
        </w:rPr>
        <w:t>This is supported by the fin</w:t>
      </w:r>
      <w:r w:rsidR="00171539">
        <w:rPr>
          <w:rFonts w:ascii="Corbel" w:hAnsi="Corbel" w:cstheme="minorHAnsi"/>
        </w:rPr>
        <w:t>dings of the</w:t>
      </w:r>
      <w:r w:rsidR="00CB4B0E">
        <w:rPr>
          <w:rFonts w:ascii="Corbel" w:hAnsi="Corbel" w:cstheme="minorHAnsi"/>
        </w:rPr>
        <w:t xml:space="preserve"> National</w:t>
      </w:r>
      <w:r w:rsidR="00171539">
        <w:rPr>
          <w:rFonts w:ascii="Corbel" w:hAnsi="Corbel" w:cstheme="minorHAnsi"/>
        </w:rPr>
        <w:t xml:space="preserve"> VET </w:t>
      </w:r>
      <w:r w:rsidR="00952F21">
        <w:rPr>
          <w:rFonts w:ascii="Corbel" w:hAnsi="Corbel" w:cstheme="minorHAnsi"/>
        </w:rPr>
        <w:t>Completions</w:t>
      </w:r>
      <w:r w:rsidR="00171539">
        <w:rPr>
          <w:rFonts w:ascii="Corbel" w:hAnsi="Corbel" w:cstheme="minorHAnsi"/>
        </w:rPr>
        <w:t xml:space="preserve"> Taskforce Report </w:t>
      </w:r>
      <w:r w:rsidR="00AA7ECA">
        <w:rPr>
          <w:rFonts w:ascii="Corbel" w:hAnsi="Corbel" w:cstheme="minorHAnsi"/>
        </w:rPr>
        <w:t xml:space="preserve">released in 2023 </w:t>
      </w:r>
      <w:r w:rsidR="00E03198">
        <w:rPr>
          <w:rFonts w:ascii="Corbel" w:hAnsi="Corbel" w:cstheme="minorHAnsi"/>
        </w:rPr>
        <w:t>(Skills SA</w:t>
      </w:r>
      <w:r w:rsidR="00AB4D27">
        <w:rPr>
          <w:rFonts w:ascii="Corbel" w:hAnsi="Corbel" w:cstheme="minorHAnsi"/>
        </w:rPr>
        <w:t xml:space="preserve">, </w:t>
      </w:r>
      <w:r w:rsidR="008439CE">
        <w:rPr>
          <w:rFonts w:ascii="Corbel" w:hAnsi="Corbel" w:cstheme="minorHAnsi"/>
        </w:rPr>
        <w:t>p.38</w:t>
      </w:r>
      <w:r w:rsidR="00E03198">
        <w:rPr>
          <w:rFonts w:ascii="Corbel" w:hAnsi="Corbel" w:cstheme="minorHAnsi"/>
        </w:rPr>
        <w:t>)</w:t>
      </w:r>
      <w:r w:rsidR="008439CE">
        <w:rPr>
          <w:rFonts w:ascii="Corbel" w:hAnsi="Corbel" w:cstheme="minorHAnsi"/>
        </w:rPr>
        <w:t>.</w:t>
      </w:r>
    </w:p>
    <w:p w14:paraId="42FFFD13" w14:textId="7C639409" w:rsidR="00EB3C40" w:rsidRPr="00EB3C40" w:rsidRDefault="5B49BDB4" w:rsidP="003360D9">
      <w:pPr>
        <w:spacing w:after="0"/>
        <w:ind w:left="567" w:right="567"/>
        <w:rPr>
          <w:rFonts w:ascii="Corbel" w:hAnsi="Corbel"/>
          <w:i/>
          <w:iCs/>
        </w:rPr>
      </w:pPr>
      <w:r w:rsidRPr="5A1ACE45">
        <w:rPr>
          <w:rFonts w:ascii="Corbel" w:hAnsi="Corbel"/>
          <w:i/>
          <w:iCs/>
        </w:rPr>
        <w:t xml:space="preserve">Data demonstrates that learners who enrol in foundation skills programs concurrently with other VET programs are more likely to complete nationally recognised VET programs </w:t>
      </w:r>
      <w:r w:rsidRPr="5A1ACE45">
        <w:rPr>
          <w:rFonts w:ascii="Corbel" w:hAnsi="Corbel"/>
          <w:i/>
          <w:iCs/>
        </w:rPr>
        <w:lastRenderedPageBreak/>
        <w:t>than those who enrol in foundation skills programs only (before enrolling in a recognised VET program).</w:t>
      </w:r>
    </w:p>
    <w:p w14:paraId="566A9C90" w14:textId="47024C61" w:rsidR="00104264" w:rsidRPr="00104264" w:rsidRDefault="16734E77" w:rsidP="5A1ACE45">
      <w:pPr>
        <w:spacing w:after="120"/>
        <w:rPr>
          <w:rFonts w:ascii="Corbel" w:hAnsi="Corbel"/>
        </w:rPr>
      </w:pPr>
      <w:r w:rsidRPr="5A1ACE45">
        <w:rPr>
          <w:rFonts w:ascii="Corbel" w:hAnsi="Corbel"/>
        </w:rPr>
        <w:t xml:space="preserve">Expanding the LNSUPPORT program </w:t>
      </w:r>
      <w:r w:rsidR="0F70594D" w:rsidRPr="5A1ACE45">
        <w:rPr>
          <w:rFonts w:ascii="Corbel" w:hAnsi="Corbel"/>
        </w:rPr>
        <w:t>will</w:t>
      </w:r>
      <w:r w:rsidR="36EED5C4" w:rsidRPr="5A1ACE45">
        <w:rPr>
          <w:rFonts w:ascii="Corbel" w:hAnsi="Corbel"/>
        </w:rPr>
        <w:t xml:space="preserve"> benefit s</w:t>
      </w:r>
      <w:r w:rsidR="7A48FD62" w:rsidRPr="5A1ACE45">
        <w:rPr>
          <w:rFonts w:ascii="Corbel" w:hAnsi="Corbel"/>
        </w:rPr>
        <w:t>tudents enrolled in</w:t>
      </w:r>
      <w:r w:rsidR="36EED5C4" w:rsidRPr="5A1ACE45">
        <w:rPr>
          <w:rFonts w:ascii="Corbel" w:hAnsi="Corbel"/>
        </w:rPr>
        <w:t xml:space="preserve"> priority </w:t>
      </w:r>
      <w:r w:rsidR="7A48FD62" w:rsidRPr="5A1ACE45">
        <w:rPr>
          <w:rFonts w:ascii="Corbel" w:hAnsi="Corbel"/>
        </w:rPr>
        <w:t>VET qualifications (including apprenticeships) at TAFE</w:t>
      </w:r>
      <w:r w:rsidR="2215D468" w:rsidRPr="5A1ACE45">
        <w:rPr>
          <w:rFonts w:ascii="Corbel" w:hAnsi="Corbel"/>
        </w:rPr>
        <w:t>s</w:t>
      </w:r>
      <w:r w:rsidR="7DEE87C4" w:rsidRPr="5A1ACE45">
        <w:rPr>
          <w:rFonts w:ascii="Corbel" w:hAnsi="Corbel"/>
        </w:rPr>
        <w:t xml:space="preserve"> by improving the likelihood of completi</w:t>
      </w:r>
      <w:r w:rsidR="5CE1EFB0" w:rsidRPr="5A1ACE45">
        <w:rPr>
          <w:rFonts w:ascii="Corbel" w:hAnsi="Corbel"/>
        </w:rPr>
        <w:t xml:space="preserve">ng their </w:t>
      </w:r>
      <w:r w:rsidR="2D0500E3" w:rsidRPr="5A1ACE45">
        <w:rPr>
          <w:rFonts w:ascii="Corbel" w:hAnsi="Corbel"/>
        </w:rPr>
        <w:t>VET qualification of choice</w:t>
      </w:r>
      <w:r w:rsidR="2215D468" w:rsidRPr="5A1ACE45">
        <w:rPr>
          <w:rFonts w:ascii="Corbel" w:hAnsi="Corbel"/>
        </w:rPr>
        <w:t>.</w:t>
      </w:r>
      <w:r w:rsidR="7DEE87C4" w:rsidRPr="5A1ACE45">
        <w:rPr>
          <w:rFonts w:ascii="Corbel" w:hAnsi="Corbel"/>
        </w:rPr>
        <w:t xml:space="preserve"> This includes priority cohorts </w:t>
      </w:r>
      <w:r w:rsidR="4E73F31E" w:rsidRPr="5A1ACE45">
        <w:rPr>
          <w:rFonts w:ascii="Corbel" w:hAnsi="Corbel"/>
        </w:rPr>
        <w:t>such as First Peoples, women in apprenticeships</w:t>
      </w:r>
      <w:r w:rsidR="616D980C" w:rsidRPr="5A1ACE45">
        <w:rPr>
          <w:rFonts w:ascii="Corbel" w:hAnsi="Corbel"/>
        </w:rPr>
        <w:t xml:space="preserve"> and </w:t>
      </w:r>
      <w:r w:rsidR="40C7EA79" w:rsidRPr="5A1ACE45">
        <w:rPr>
          <w:rFonts w:ascii="Corbel" w:hAnsi="Corbel"/>
        </w:rPr>
        <w:t xml:space="preserve">students from </w:t>
      </w:r>
      <w:r w:rsidR="22377D8B" w:rsidRPr="5A1ACE45">
        <w:rPr>
          <w:rFonts w:ascii="Corbel" w:hAnsi="Corbel"/>
        </w:rPr>
        <w:t>c</w:t>
      </w:r>
      <w:r w:rsidR="40C7EA79" w:rsidRPr="5A1ACE45">
        <w:rPr>
          <w:rFonts w:ascii="Corbel" w:hAnsi="Corbel"/>
        </w:rPr>
        <w:t>ulturally and linguistically diverse backgrounds.</w:t>
      </w:r>
      <w:r w:rsidR="2215D468" w:rsidRPr="5A1ACE45">
        <w:rPr>
          <w:rFonts w:ascii="Corbel" w:hAnsi="Corbel"/>
        </w:rPr>
        <w:t xml:space="preserve"> It will also </w:t>
      </w:r>
      <w:r w:rsidR="312EA457" w:rsidRPr="5A1ACE45">
        <w:rPr>
          <w:rFonts w:ascii="Corbel" w:hAnsi="Corbel"/>
        </w:rPr>
        <w:t xml:space="preserve">support the </w:t>
      </w:r>
      <w:r w:rsidR="7A48FD62" w:rsidRPr="5A1ACE45">
        <w:rPr>
          <w:rFonts w:ascii="Corbel" w:hAnsi="Corbel"/>
        </w:rPr>
        <w:t xml:space="preserve">Victorian Government </w:t>
      </w:r>
      <w:r w:rsidR="312EA457" w:rsidRPr="5A1ACE45">
        <w:rPr>
          <w:rFonts w:ascii="Corbel" w:hAnsi="Corbel"/>
        </w:rPr>
        <w:t xml:space="preserve">to </w:t>
      </w:r>
      <w:r w:rsidR="7A48FD62" w:rsidRPr="5A1ACE45">
        <w:rPr>
          <w:rFonts w:ascii="Corbel" w:hAnsi="Corbel"/>
        </w:rPr>
        <w:t>deliver against its commitment on completions in the National Foundation Skills Strategy and avoids</w:t>
      </w:r>
      <w:r w:rsidR="1E9A95CE" w:rsidRPr="5A1ACE45">
        <w:rPr>
          <w:rFonts w:ascii="Corbel" w:hAnsi="Corbel"/>
        </w:rPr>
        <w:t xml:space="preserve"> the financial</w:t>
      </w:r>
      <w:r w:rsidR="7A48FD62" w:rsidRPr="5A1ACE45">
        <w:rPr>
          <w:rFonts w:ascii="Corbel" w:hAnsi="Corbel"/>
        </w:rPr>
        <w:t xml:space="preserve"> cost </w:t>
      </w:r>
      <w:r w:rsidR="3CD0D0E4" w:rsidRPr="5A1ACE45">
        <w:rPr>
          <w:rFonts w:ascii="Corbel" w:hAnsi="Corbel"/>
        </w:rPr>
        <w:t>of</w:t>
      </w:r>
      <w:r w:rsidR="7A48FD62" w:rsidRPr="5A1ACE45">
        <w:rPr>
          <w:rFonts w:ascii="Corbel" w:hAnsi="Corbel"/>
        </w:rPr>
        <w:t xml:space="preserve"> non-completion while deliver</w:t>
      </w:r>
      <w:r w:rsidR="64EB7ED5" w:rsidRPr="5A1ACE45">
        <w:rPr>
          <w:rFonts w:ascii="Corbel" w:hAnsi="Corbel"/>
        </w:rPr>
        <w:t>ing</w:t>
      </w:r>
      <w:r w:rsidR="7A48FD62" w:rsidRPr="5A1ACE45">
        <w:rPr>
          <w:rFonts w:ascii="Corbel" w:hAnsi="Corbel"/>
        </w:rPr>
        <w:t xml:space="preserve"> skills in </w:t>
      </w:r>
      <w:r w:rsidR="2F705B74" w:rsidRPr="5A1ACE45">
        <w:rPr>
          <w:rFonts w:ascii="Corbel" w:hAnsi="Corbel"/>
        </w:rPr>
        <w:t xml:space="preserve">NSA </w:t>
      </w:r>
      <w:r w:rsidR="7A48FD62" w:rsidRPr="5A1ACE45">
        <w:rPr>
          <w:rFonts w:ascii="Corbel" w:hAnsi="Corbel"/>
        </w:rPr>
        <w:t>priority areas</w:t>
      </w:r>
      <w:r w:rsidR="32E0A13A" w:rsidRPr="5A1ACE45">
        <w:rPr>
          <w:rFonts w:ascii="Corbel" w:hAnsi="Corbel"/>
        </w:rPr>
        <w:t xml:space="preserve"> including </w:t>
      </w:r>
      <w:r w:rsidR="7A48FD62" w:rsidRPr="5A1ACE45">
        <w:rPr>
          <w:rFonts w:ascii="Corbel" w:hAnsi="Corbel"/>
        </w:rPr>
        <w:t>housing, care economy</w:t>
      </w:r>
      <w:r w:rsidR="2F705B74" w:rsidRPr="5A1ACE45">
        <w:rPr>
          <w:rFonts w:ascii="Corbel" w:hAnsi="Corbel"/>
        </w:rPr>
        <w:t xml:space="preserve"> and </w:t>
      </w:r>
      <w:r w:rsidR="7A48FD62" w:rsidRPr="5A1ACE45">
        <w:rPr>
          <w:rFonts w:ascii="Corbel" w:hAnsi="Corbel"/>
        </w:rPr>
        <w:t>clean energy</w:t>
      </w:r>
      <w:r w:rsidR="2F705B74" w:rsidRPr="5A1ACE45">
        <w:rPr>
          <w:rFonts w:ascii="Corbel" w:hAnsi="Corbel"/>
        </w:rPr>
        <w:t>.</w:t>
      </w:r>
    </w:p>
    <w:p w14:paraId="56BACD5E" w14:textId="5799D6DF" w:rsidR="00DD726A" w:rsidRPr="00CB4BB2" w:rsidRDefault="3D601596" w:rsidP="5A1ACE45">
      <w:pPr>
        <w:spacing w:after="120"/>
        <w:rPr>
          <w:rFonts w:ascii="Corbel" w:hAnsi="Corbel"/>
        </w:rPr>
      </w:pPr>
      <w:r w:rsidRPr="5A1ACE45">
        <w:rPr>
          <w:rFonts w:ascii="Corbel" w:hAnsi="Corbel"/>
        </w:rPr>
        <w:t>VET non-completions are influenced by a range of personal and contextual reasons. The National VET Completions Taskforce Report and Victoria’s Student Satisfaction Survey (VSA, 2024) indicate that most students discontinue their VET training primarily due to personal reasons. Additionally, disadvantaged learners are overrepresented among those who discontinue VET training. Victoria’s initiatives to improve completions have been designed to address these reasons as well as provide additional support for priority cohorts.</w:t>
      </w:r>
    </w:p>
    <w:p w14:paraId="57657C78" w14:textId="77777777" w:rsidR="00DD726A" w:rsidRPr="00CB4BB2" w:rsidRDefault="3D601596" w:rsidP="5A1ACE45">
      <w:pPr>
        <w:spacing w:after="120"/>
        <w:rPr>
          <w:rFonts w:ascii="Corbel" w:hAnsi="Corbel"/>
        </w:rPr>
      </w:pPr>
      <w:r w:rsidRPr="5A1ACE45">
        <w:rPr>
          <w:rFonts w:ascii="Corbel" w:hAnsi="Corbel"/>
        </w:rPr>
        <w:t xml:space="preserve">Victorian TAFEs play a critical role in providing support services to students from diverse and often disadvantaged backgrounds. The expanded services and supports included in this bilateral implementation plan will benefit priority cohorts including those with lower education levels, disabilities, unemployed, First Nations leaners, or those with experience in out-of-home care. </w:t>
      </w:r>
    </w:p>
    <w:p w14:paraId="183D5018" w14:textId="77777777" w:rsidR="00DD726A" w:rsidRPr="00CB4BB2" w:rsidRDefault="3D601596" w:rsidP="5A1ACE45">
      <w:pPr>
        <w:spacing w:after="120"/>
        <w:rPr>
          <w:rFonts w:ascii="Corbel" w:hAnsi="Corbel"/>
          <w:color w:val="000000" w:themeColor="text1"/>
        </w:rPr>
      </w:pPr>
      <w:r w:rsidRPr="5A1ACE45">
        <w:rPr>
          <w:rFonts w:ascii="Corbel" w:hAnsi="Corbel"/>
          <w:color w:val="000000" w:themeColor="text1"/>
        </w:rPr>
        <w:t>Victoria’s suite of completions initiatives align strongly with recommendations coming out the National VET Completions report including:</w:t>
      </w:r>
    </w:p>
    <w:p w14:paraId="03366557" w14:textId="10CC3362" w:rsidR="00DD726A" w:rsidRPr="00CB4BB2" w:rsidRDefault="00DD726A" w:rsidP="00DD726A">
      <w:pPr>
        <w:pStyle w:val="ListParagraph"/>
        <w:numPr>
          <w:ilvl w:val="0"/>
          <w:numId w:val="4"/>
        </w:numPr>
        <w:spacing w:after="120" w:line="240" w:lineRule="auto"/>
        <w:rPr>
          <w:rFonts w:ascii="Corbel" w:hAnsi="Corbel" w:cstheme="minorHAnsi"/>
          <w:i/>
          <w:iCs/>
        </w:rPr>
      </w:pPr>
      <w:r w:rsidRPr="00CB4BB2">
        <w:rPr>
          <w:rFonts w:ascii="Corbel" w:hAnsi="Corbel" w:cstheme="minorHAnsi"/>
          <w:i/>
          <w:iCs/>
        </w:rPr>
        <w:t>Recommendation 1</w:t>
      </w:r>
      <w:r w:rsidR="00FA0499">
        <w:rPr>
          <w:rFonts w:ascii="Corbel" w:hAnsi="Corbel" w:cstheme="minorHAnsi"/>
          <w:i/>
          <w:iCs/>
        </w:rPr>
        <w:t>:</w:t>
      </w:r>
      <w:r w:rsidRPr="00CB4BB2">
        <w:rPr>
          <w:rFonts w:ascii="Corbel" w:hAnsi="Corbel" w:cstheme="minorHAnsi"/>
          <w:i/>
          <w:iCs/>
        </w:rPr>
        <w:t xml:space="preserve"> Career and course information</w:t>
      </w:r>
    </w:p>
    <w:p w14:paraId="58DA6C0F" w14:textId="77777777" w:rsidR="00DD726A" w:rsidRPr="00CB4BB2" w:rsidRDefault="00DD726A" w:rsidP="00DD726A">
      <w:pPr>
        <w:pStyle w:val="ListParagraph"/>
        <w:numPr>
          <w:ilvl w:val="0"/>
          <w:numId w:val="4"/>
        </w:numPr>
        <w:spacing w:after="120" w:line="240" w:lineRule="auto"/>
        <w:rPr>
          <w:rFonts w:ascii="Corbel" w:hAnsi="Corbel" w:cstheme="minorHAnsi"/>
          <w:i/>
          <w:iCs/>
        </w:rPr>
      </w:pPr>
      <w:r w:rsidRPr="00CB4BB2">
        <w:rPr>
          <w:rFonts w:ascii="Corbel" w:hAnsi="Corbel" w:cstheme="minorHAnsi"/>
          <w:i/>
          <w:iCs/>
        </w:rPr>
        <w:t>Recommendation 3: Employer capability</w:t>
      </w:r>
    </w:p>
    <w:p w14:paraId="4E7050CB" w14:textId="77777777" w:rsidR="00DD726A" w:rsidRPr="00CB4BB2" w:rsidRDefault="3D601596" w:rsidP="5A1ACE45">
      <w:pPr>
        <w:pStyle w:val="ListParagraph"/>
        <w:numPr>
          <w:ilvl w:val="0"/>
          <w:numId w:val="4"/>
        </w:numPr>
        <w:spacing w:after="120" w:line="240" w:lineRule="auto"/>
        <w:rPr>
          <w:rFonts w:ascii="Corbel" w:hAnsi="Corbel"/>
          <w:i/>
          <w:iCs/>
        </w:rPr>
      </w:pPr>
      <w:r w:rsidRPr="5A1ACE45">
        <w:rPr>
          <w:rFonts w:ascii="Corbel" w:hAnsi="Corbel"/>
          <w:i/>
          <w:iCs/>
        </w:rPr>
        <w:t>Recommendation 12: Identify at-risk learners</w:t>
      </w:r>
    </w:p>
    <w:p w14:paraId="45D86851" w14:textId="77777777" w:rsidR="00DD726A" w:rsidRPr="00CB4BB2" w:rsidRDefault="00DD726A" w:rsidP="00DD726A">
      <w:pPr>
        <w:pStyle w:val="ListParagraph"/>
        <w:numPr>
          <w:ilvl w:val="0"/>
          <w:numId w:val="4"/>
        </w:numPr>
        <w:spacing w:after="120" w:line="240" w:lineRule="auto"/>
        <w:rPr>
          <w:rFonts w:ascii="Corbel" w:hAnsi="Corbel" w:cstheme="minorHAnsi"/>
          <w:i/>
          <w:iCs/>
        </w:rPr>
      </w:pPr>
      <w:r w:rsidRPr="00CB4BB2">
        <w:rPr>
          <w:rFonts w:ascii="Corbel" w:hAnsi="Corbel" w:cstheme="minorHAnsi"/>
          <w:i/>
          <w:iCs/>
        </w:rPr>
        <w:t>Recommendation 9: Quality and responsive delivery</w:t>
      </w:r>
    </w:p>
    <w:p w14:paraId="1A26CCD6" w14:textId="3E390AD7" w:rsidR="00DD726A" w:rsidRPr="00CB4BB2" w:rsidRDefault="00DD726A" w:rsidP="00DD726A">
      <w:pPr>
        <w:pStyle w:val="ListParagraph"/>
        <w:numPr>
          <w:ilvl w:val="0"/>
          <w:numId w:val="4"/>
        </w:numPr>
        <w:spacing w:after="120" w:line="240" w:lineRule="auto"/>
        <w:rPr>
          <w:rFonts w:ascii="Corbel" w:hAnsi="Corbel" w:cstheme="minorHAnsi"/>
          <w:i/>
          <w:iCs/>
        </w:rPr>
      </w:pPr>
      <w:r w:rsidRPr="00CB4BB2">
        <w:rPr>
          <w:rFonts w:ascii="Corbel" w:hAnsi="Corbel" w:cstheme="minorHAnsi"/>
          <w:i/>
          <w:iCs/>
        </w:rPr>
        <w:t>Recommendation 13: Wrap around support - Improve identification and implementation of wrap-around student supports</w:t>
      </w:r>
    </w:p>
    <w:p w14:paraId="5D8CE650" w14:textId="77777777" w:rsidR="00DD726A" w:rsidRPr="00CB4BB2" w:rsidRDefault="00DD726A" w:rsidP="00DD726A">
      <w:pPr>
        <w:pStyle w:val="ListParagraph"/>
        <w:numPr>
          <w:ilvl w:val="0"/>
          <w:numId w:val="4"/>
        </w:numPr>
        <w:spacing w:after="120" w:line="240" w:lineRule="auto"/>
        <w:ind w:left="714" w:hanging="357"/>
        <w:rPr>
          <w:rFonts w:ascii="Corbel" w:hAnsi="Corbel" w:cstheme="minorHAnsi"/>
          <w:i/>
          <w:iCs/>
        </w:rPr>
      </w:pPr>
      <w:r w:rsidRPr="00CB4BB2">
        <w:rPr>
          <w:rFonts w:ascii="Corbel" w:hAnsi="Corbel" w:cstheme="minorHAnsi"/>
          <w:i/>
          <w:iCs/>
        </w:rPr>
        <w:t>Recommendation 15: Support for at-risk learners - Enhanced advice and support for learners who are at risk of dropping out</w:t>
      </w:r>
    </w:p>
    <w:p w14:paraId="130E4C96" w14:textId="2D61BFA2" w:rsidR="000323DC" w:rsidRPr="00CB4BB2" w:rsidRDefault="3D601596" w:rsidP="5A1ACE45">
      <w:pPr>
        <w:spacing w:after="120"/>
        <w:rPr>
          <w:rFonts w:ascii="Corbel" w:hAnsi="Corbel"/>
        </w:rPr>
      </w:pPr>
      <w:r w:rsidRPr="5A1ACE45">
        <w:rPr>
          <w:rFonts w:ascii="Corbel" w:hAnsi="Corbel"/>
        </w:rPr>
        <w:t xml:space="preserve">All initiatives are scalable with the potential for additional services to be added or removed depending on evaluations of program efficiency and effectiveness. Regular reporting requirements and a repository of internal data sources provide the Department with current </w:t>
      </w:r>
      <w:r w:rsidR="0A648B66" w:rsidRPr="5A1ACE45">
        <w:rPr>
          <w:rFonts w:ascii="Corbel" w:hAnsi="Corbel"/>
        </w:rPr>
        <w:t xml:space="preserve">information </w:t>
      </w:r>
      <w:r w:rsidRPr="5A1ACE45">
        <w:rPr>
          <w:rFonts w:ascii="Corbel" w:hAnsi="Corbel"/>
        </w:rPr>
        <w:t xml:space="preserve">on policies and programs targeted towards improving VET completions.  </w:t>
      </w:r>
    </w:p>
    <w:p w14:paraId="270D7AF7" w14:textId="7D01FB8D" w:rsidR="004E6782" w:rsidRPr="004A547A" w:rsidRDefault="002972A7" w:rsidP="00DD726A">
      <w:pPr>
        <w:spacing w:after="120"/>
        <w:rPr>
          <w:rFonts w:ascii="Corbel" w:hAnsi="Corbel"/>
        </w:rPr>
      </w:pPr>
      <w:r w:rsidRPr="00CB4BB2">
        <w:rPr>
          <w:rFonts w:ascii="Corbel" w:hAnsi="Corbel"/>
        </w:rPr>
        <w:t xml:space="preserve">Improved completions - approach to matched funding arrangements (clause A144 refers) – to be reconciled over the life of the NSA. Further detail of Commonwealth contributions is set out in </w:t>
      </w:r>
      <w:r w:rsidRPr="00CB4BB2">
        <w:rPr>
          <w:rFonts w:ascii="Corbel" w:hAnsi="Corbel"/>
          <w:i/>
          <w:iCs/>
        </w:rPr>
        <w:t>Milestones and Payments</w:t>
      </w:r>
      <w:r w:rsidRPr="00CB4BB2">
        <w:rPr>
          <w:rFonts w:ascii="Corbel" w:hAnsi="Corbel"/>
        </w:rPr>
        <w:t>.</w:t>
      </w:r>
      <w:r w:rsidR="004A547A">
        <w:rPr>
          <w:rFonts w:ascii="Corbel" w:hAnsi="Corbel"/>
        </w:rPr>
        <w:t xml:space="preserve"> </w:t>
      </w:r>
    </w:p>
    <w:tbl>
      <w:tblPr>
        <w:tblStyle w:val="TableGrid"/>
        <w:tblW w:w="9072" w:type="dxa"/>
        <w:tblInd w:w="-5" w:type="dxa"/>
        <w:tblLook w:val="04A0" w:firstRow="1" w:lastRow="0" w:firstColumn="1" w:lastColumn="0" w:noHBand="0" w:noVBand="1"/>
      </w:tblPr>
      <w:tblGrid>
        <w:gridCol w:w="1985"/>
        <w:gridCol w:w="2977"/>
        <w:gridCol w:w="2126"/>
        <w:gridCol w:w="1984"/>
      </w:tblGrid>
      <w:tr w:rsidR="000323DC" w:rsidRPr="00CB4BB2" w14:paraId="21D3DD42" w14:textId="77777777" w:rsidTr="003360D9">
        <w:tc>
          <w:tcPr>
            <w:tcW w:w="1985" w:type="dxa"/>
            <w:vAlign w:val="bottom"/>
          </w:tcPr>
          <w:p w14:paraId="269CC10E" w14:textId="77777777" w:rsidR="000323DC" w:rsidRPr="00CB4BB2" w:rsidRDefault="000323DC" w:rsidP="00DD726A">
            <w:pPr>
              <w:pStyle w:val="ListParagraph"/>
              <w:spacing w:after="120"/>
              <w:ind w:left="0"/>
              <w:contextualSpacing w:val="0"/>
              <w:rPr>
                <w:rFonts w:ascii="Corbel" w:hAnsi="Corbel"/>
                <w:b/>
                <w:bCs/>
              </w:rPr>
            </w:pPr>
            <w:r w:rsidRPr="00CB4BB2">
              <w:rPr>
                <w:rFonts w:ascii="Corbel" w:hAnsi="Corbel"/>
                <w:b/>
                <w:bCs/>
              </w:rPr>
              <w:t>Commonwealth Investment ($)</w:t>
            </w:r>
          </w:p>
        </w:tc>
        <w:tc>
          <w:tcPr>
            <w:tcW w:w="2977" w:type="dxa"/>
            <w:vAlign w:val="bottom"/>
          </w:tcPr>
          <w:p w14:paraId="66A6F027" w14:textId="77777777" w:rsidR="000323DC" w:rsidRPr="00CB4BB2" w:rsidRDefault="000323DC" w:rsidP="00DD726A">
            <w:pPr>
              <w:pStyle w:val="ListParagraph"/>
              <w:spacing w:before="120" w:after="120"/>
              <w:ind w:left="0"/>
              <w:contextualSpacing w:val="0"/>
              <w:jc w:val="center"/>
              <w:rPr>
                <w:rFonts w:ascii="Corbel" w:hAnsi="Corbel"/>
                <w:b/>
                <w:bCs/>
              </w:rPr>
            </w:pPr>
            <w:r w:rsidRPr="00CB4BB2">
              <w:rPr>
                <w:rFonts w:ascii="Corbel" w:hAnsi="Corbel"/>
                <w:b/>
                <w:bCs/>
              </w:rPr>
              <w:t>State Investment ($)</w:t>
            </w:r>
          </w:p>
        </w:tc>
        <w:tc>
          <w:tcPr>
            <w:tcW w:w="2126" w:type="dxa"/>
            <w:vAlign w:val="bottom"/>
          </w:tcPr>
          <w:p w14:paraId="2D57FF9B" w14:textId="77777777" w:rsidR="000323DC" w:rsidRPr="00CB4BB2" w:rsidRDefault="000323DC" w:rsidP="00DD726A">
            <w:pPr>
              <w:pStyle w:val="ListParagraph"/>
              <w:spacing w:before="120" w:after="120"/>
              <w:ind w:left="0"/>
              <w:contextualSpacing w:val="0"/>
              <w:jc w:val="center"/>
              <w:rPr>
                <w:rFonts w:ascii="Corbel" w:hAnsi="Corbel"/>
                <w:b/>
                <w:bCs/>
              </w:rPr>
            </w:pPr>
            <w:r w:rsidRPr="00CB4BB2">
              <w:rPr>
                <w:rFonts w:ascii="Corbel" w:hAnsi="Corbel"/>
                <w:b/>
                <w:bCs/>
              </w:rPr>
              <w:t>Planned Start Date</w:t>
            </w:r>
          </w:p>
        </w:tc>
        <w:tc>
          <w:tcPr>
            <w:tcW w:w="1984" w:type="dxa"/>
            <w:vAlign w:val="bottom"/>
          </w:tcPr>
          <w:p w14:paraId="23F5A551" w14:textId="77777777" w:rsidR="000323DC" w:rsidRPr="00CB4BB2" w:rsidRDefault="000323DC" w:rsidP="00DD726A">
            <w:pPr>
              <w:pStyle w:val="ListParagraph"/>
              <w:spacing w:before="120" w:after="120"/>
              <w:ind w:left="0"/>
              <w:contextualSpacing w:val="0"/>
              <w:jc w:val="center"/>
              <w:rPr>
                <w:rFonts w:ascii="Corbel" w:hAnsi="Corbel"/>
                <w:b/>
                <w:bCs/>
              </w:rPr>
            </w:pPr>
            <w:r w:rsidRPr="00CB4BB2">
              <w:rPr>
                <w:rFonts w:ascii="Corbel" w:hAnsi="Corbel"/>
                <w:b/>
                <w:bCs/>
              </w:rPr>
              <w:t>Planned End Date</w:t>
            </w:r>
          </w:p>
        </w:tc>
      </w:tr>
      <w:tr w:rsidR="000323DC" w:rsidRPr="00CB4BB2" w14:paraId="55142632" w14:textId="77777777" w:rsidTr="003360D9">
        <w:tc>
          <w:tcPr>
            <w:tcW w:w="1985" w:type="dxa"/>
          </w:tcPr>
          <w:p w14:paraId="57DBF5BB" w14:textId="77777777" w:rsidR="000323DC" w:rsidRPr="00CB4BB2" w:rsidRDefault="000323DC" w:rsidP="00DD726A">
            <w:pPr>
              <w:pStyle w:val="ListParagraph"/>
              <w:spacing w:before="120" w:after="120"/>
              <w:ind w:left="0"/>
              <w:contextualSpacing w:val="0"/>
              <w:rPr>
                <w:rFonts w:ascii="Corbel" w:hAnsi="Corbel"/>
                <w:color w:val="156082" w:themeColor="accent1"/>
                <w:sz w:val="20"/>
                <w:szCs w:val="20"/>
              </w:rPr>
            </w:pPr>
            <w:r w:rsidRPr="00CB4BB2">
              <w:rPr>
                <w:rFonts w:ascii="Corbel" w:hAnsi="Corbel"/>
                <w:sz w:val="16"/>
                <w:szCs w:val="16"/>
              </w:rPr>
              <w:t>$</w:t>
            </w:r>
            <w:r w:rsidRPr="00CB4BB2">
              <w:rPr>
                <w:rFonts w:ascii="Corbel" w:hAnsi="Corbel"/>
                <w:sz w:val="20"/>
                <w:szCs w:val="20"/>
              </w:rPr>
              <w:t>61.5 million</w:t>
            </w:r>
          </w:p>
        </w:tc>
        <w:tc>
          <w:tcPr>
            <w:tcW w:w="2977" w:type="dxa"/>
          </w:tcPr>
          <w:p w14:paraId="2C6EEF16" w14:textId="2DC1D2D5" w:rsidR="000323DC" w:rsidRPr="00CB4BB2" w:rsidRDefault="00ED3CFD" w:rsidP="00DD726A">
            <w:pPr>
              <w:spacing w:before="120" w:after="120"/>
              <w:rPr>
                <w:rFonts w:ascii="Corbel" w:hAnsi="Corbel"/>
                <w:color w:val="156082" w:themeColor="accent1"/>
                <w:sz w:val="20"/>
                <w:szCs w:val="20"/>
              </w:rPr>
            </w:pPr>
            <w:r w:rsidRPr="000A21A3">
              <w:rPr>
                <w:rFonts w:ascii="Corbel" w:eastAsia="Corbel" w:hAnsi="Corbel" w:cs="Corbel"/>
              </w:rPr>
              <w:t>Victoria will meet its matched funding obligations through</w:t>
            </w:r>
            <w:r>
              <w:rPr>
                <w:rFonts w:ascii="Corbel" w:eastAsia="Corbel" w:hAnsi="Corbel" w:cs="Corbel"/>
              </w:rPr>
              <w:t xml:space="preserve"> committed expenditure, consistent with clause A91 of the NSA. See details below. </w:t>
            </w:r>
          </w:p>
        </w:tc>
        <w:tc>
          <w:tcPr>
            <w:tcW w:w="2126" w:type="dxa"/>
          </w:tcPr>
          <w:p w14:paraId="36D6E4E7" w14:textId="77777777" w:rsidR="000323DC" w:rsidRPr="00CB4BB2" w:rsidRDefault="000323DC" w:rsidP="00DD726A">
            <w:pPr>
              <w:spacing w:before="120" w:after="120"/>
              <w:rPr>
                <w:rFonts w:ascii="Corbel" w:hAnsi="Corbel"/>
                <w:sz w:val="20"/>
                <w:szCs w:val="20"/>
              </w:rPr>
            </w:pPr>
            <w:r w:rsidRPr="00CB4BB2">
              <w:rPr>
                <w:rFonts w:ascii="Corbel" w:hAnsi="Corbel"/>
                <w:sz w:val="20"/>
                <w:szCs w:val="20"/>
              </w:rPr>
              <w:t> 1 January 2024</w:t>
            </w:r>
          </w:p>
        </w:tc>
        <w:tc>
          <w:tcPr>
            <w:tcW w:w="1984" w:type="dxa"/>
          </w:tcPr>
          <w:p w14:paraId="6D183773" w14:textId="77777777" w:rsidR="000323DC" w:rsidRPr="00CB4BB2" w:rsidRDefault="000323DC" w:rsidP="00DD726A">
            <w:pPr>
              <w:spacing w:before="120" w:after="120"/>
              <w:rPr>
                <w:rFonts w:ascii="Corbel" w:hAnsi="Corbel"/>
                <w:sz w:val="20"/>
                <w:szCs w:val="20"/>
              </w:rPr>
            </w:pPr>
            <w:r w:rsidRPr="00CB4BB2">
              <w:rPr>
                <w:rFonts w:ascii="Corbel" w:hAnsi="Corbel"/>
                <w:sz w:val="20"/>
                <w:szCs w:val="20"/>
              </w:rPr>
              <w:t> 31 December 2028</w:t>
            </w:r>
          </w:p>
        </w:tc>
      </w:tr>
    </w:tbl>
    <w:p w14:paraId="07ABF243" w14:textId="68795403" w:rsidR="000323DC" w:rsidRPr="00CB4BB2" w:rsidRDefault="000323DC" w:rsidP="00DD726A">
      <w:pPr>
        <w:spacing w:after="120"/>
        <w:rPr>
          <w:rFonts w:ascii="Corbel" w:hAnsi="Corbel"/>
        </w:rPr>
      </w:pPr>
      <w:r w:rsidRPr="00CB4BB2">
        <w:rPr>
          <w:rFonts w:ascii="Corbel" w:hAnsi="Corbel"/>
        </w:rPr>
        <w:tab/>
      </w:r>
      <w:r w:rsidRPr="00CB4BB2">
        <w:rPr>
          <w:rFonts w:ascii="Corbel" w:hAnsi="Corbel"/>
        </w:rPr>
        <w:tab/>
      </w:r>
      <w:r w:rsidRPr="00CB4BB2">
        <w:rPr>
          <w:rFonts w:ascii="Corbel" w:hAnsi="Corbel"/>
        </w:rPr>
        <w:tab/>
      </w:r>
      <w:r w:rsidRPr="00CB4BB2">
        <w:rPr>
          <w:rFonts w:ascii="Corbel" w:hAnsi="Corbel"/>
        </w:rPr>
        <w:tab/>
      </w:r>
    </w:p>
    <w:p w14:paraId="6A79966E" w14:textId="77777777" w:rsidR="000323DC" w:rsidRPr="00CB4BB2" w:rsidRDefault="000323DC" w:rsidP="00DD726A">
      <w:pPr>
        <w:keepNext/>
        <w:spacing w:after="120"/>
        <w:outlineLvl w:val="2"/>
        <w:rPr>
          <w:rFonts w:ascii="Corbel" w:hAnsi="Corbel"/>
          <w:b/>
          <w:bCs/>
        </w:rPr>
      </w:pPr>
      <w:r w:rsidRPr="00CB4BB2">
        <w:rPr>
          <w:rFonts w:ascii="Corbel" w:hAnsi="Corbel"/>
          <w:b/>
          <w:bCs/>
        </w:rPr>
        <w:lastRenderedPageBreak/>
        <w:t>Performance Indicators</w:t>
      </w:r>
    </w:p>
    <w:p w14:paraId="1DF2B435" w14:textId="1E33E581" w:rsidR="00DD726A" w:rsidRPr="00CB4BB2" w:rsidRDefault="3D601596" w:rsidP="5A1ACE45">
      <w:pPr>
        <w:spacing w:after="120"/>
        <w:rPr>
          <w:rFonts w:ascii="Corbel" w:hAnsi="Corbel"/>
        </w:rPr>
      </w:pPr>
      <w:r w:rsidRPr="5A1ACE45">
        <w:rPr>
          <w:rFonts w:ascii="Corbel" w:hAnsi="Corbel"/>
        </w:rPr>
        <w:t xml:space="preserve">Victoria </w:t>
      </w:r>
      <w:r w:rsidR="669264E7" w:rsidRPr="5A1ACE45">
        <w:rPr>
          <w:rFonts w:ascii="Corbel" w:hAnsi="Corbel"/>
        </w:rPr>
        <w:t xml:space="preserve">will leverage its existing </w:t>
      </w:r>
      <w:r w:rsidRPr="5A1ACE45">
        <w:rPr>
          <w:rFonts w:ascii="Corbel" w:hAnsi="Corbel"/>
        </w:rPr>
        <w:t xml:space="preserve">robust monitoring and evaluation regime </w:t>
      </w:r>
      <w:r w:rsidR="669264E7" w:rsidRPr="5A1ACE45">
        <w:rPr>
          <w:rFonts w:ascii="Corbel" w:hAnsi="Corbel"/>
        </w:rPr>
        <w:t xml:space="preserve">to monitor </w:t>
      </w:r>
      <w:r w:rsidRPr="5A1ACE45">
        <w:rPr>
          <w:rFonts w:ascii="Corbel" w:hAnsi="Corbel"/>
        </w:rPr>
        <w:t>the effectiveness of training delivery as a whole</w:t>
      </w:r>
      <w:r w:rsidR="669264E7" w:rsidRPr="5A1ACE45">
        <w:rPr>
          <w:rFonts w:ascii="Corbel" w:hAnsi="Corbel"/>
        </w:rPr>
        <w:t>,</w:t>
      </w:r>
      <w:r w:rsidRPr="5A1ACE45">
        <w:rPr>
          <w:rFonts w:ascii="Corbel" w:hAnsi="Corbel"/>
        </w:rPr>
        <w:t xml:space="preserve"> including student completions. Measures include:</w:t>
      </w:r>
    </w:p>
    <w:p w14:paraId="02F80E21" w14:textId="77777777" w:rsidR="00DD726A" w:rsidRPr="00CB4BB2" w:rsidRDefault="00DD726A" w:rsidP="00DD726A">
      <w:pPr>
        <w:pStyle w:val="ListParagraph"/>
        <w:numPr>
          <w:ilvl w:val="0"/>
          <w:numId w:val="7"/>
        </w:numPr>
        <w:spacing w:after="120" w:line="240" w:lineRule="auto"/>
        <w:rPr>
          <w:rFonts w:ascii="Corbel" w:hAnsi="Corbel"/>
        </w:rPr>
      </w:pPr>
      <w:r w:rsidRPr="00CB4BB2">
        <w:rPr>
          <w:rFonts w:ascii="Corbel" w:hAnsi="Corbel"/>
        </w:rPr>
        <w:t>number of Government funded students who complete their studies</w:t>
      </w:r>
    </w:p>
    <w:p w14:paraId="0142B64C" w14:textId="77777777" w:rsidR="00DD726A" w:rsidRPr="00CB4BB2" w:rsidRDefault="00DD726A" w:rsidP="00DD726A">
      <w:pPr>
        <w:pStyle w:val="ListParagraph"/>
        <w:numPr>
          <w:ilvl w:val="0"/>
          <w:numId w:val="7"/>
        </w:numPr>
        <w:spacing w:after="120" w:line="240" w:lineRule="auto"/>
        <w:rPr>
          <w:rFonts w:ascii="Corbel" w:hAnsi="Corbel"/>
        </w:rPr>
      </w:pPr>
      <w:r w:rsidRPr="00CB4BB2">
        <w:rPr>
          <w:rFonts w:ascii="Corbel" w:hAnsi="Corbel"/>
        </w:rPr>
        <w:t>priority cohorts completing training</w:t>
      </w:r>
    </w:p>
    <w:p w14:paraId="77583ED3" w14:textId="77777777" w:rsidR="00DD726A" w:rsidRPr="00CB4BB2" w:rsidRDefault="00DD726A" w:rsidP="00DD726A">
      <w:pPr>
        <w:pStyle w:val="ListParagraph"/>
        <w:numPr>
          <w:ilvl w:val="0"/>
          <w:numId w:val="7"/>
        </w:numPr>
        <w:spacing w:after="120" w:line="240" w:lineRule="auto"/>
        <w:rPr>
          <w:rFonts w:ascii="Corbel" w:hAnsi="Corbel"/>
        </w:rPr>
      </w:pPr>
      <w:r w:rsidRPr="00CB4BB2">
        <w:rPr>
          <w:rFonts w:ascii="Corbel" w:hAnsi="Corbel"/>
        </w:rPr>
        <w:t>amount of training being completed in the market aligns with Government priority areas</w:t>
      </w:r>
    </w:p>
    <w:p w14:paraId="0F6F24DA" w14:textId="77777777" w:rsidR="00DD726A" w:rsidRPr="00CB4BB2" w:rsidRDefault="3D601596" w:rsidP="5A1ACE45">
      <w:pPr>
        <w:pStyle w:val="ListParagraph"/>
        <w:numPr>
          <w:ilvl w:val="0"/>
          <w:numId w:val="7"/>
        </w:numPr>
        <w:spacing w:after="120" w:line="240" w:lineRule="auto"/>
        <w:rPr>
          <w:rFonts w:ascii="Corbel" w:hAnsi="Corbel"/>
        </w:rPr>
      </w:pPr>
      <w:r w:rsidRPr="5A1ACE45">
        <w:rPr>
          <w:rFonts w:ascii="Corbel" w:hAnsi="Corbel"/>
        </w:rPr>
        <w:t>student survey responses regarding training meeting their needs and expectations, that they are achieving their desired outcomes from training, and whether it leads to improved employment outcomes</w:t>
      </w:r>
    </w:p>
    <w:p w14:paraId="35E57DC3" w14:textId="77777777" w:rsidR="00DD726A" w:rsidRPr="00CB4BB2" w:rsidRDefault="00DD726A" w:rsidP="00DD726A">
      <w:pPr>
        <w:pStyle w:val="ListParagraph"/>
        <w:numPr>
          <w:ilvl w:val="0"/>
          <w:numId w:val="7"/>
        </w:numPr>
        <w:spacing w:after="120" w:line="240" w:lineRule="auto"/>
        <w:rPr>
          <w:rFonts w:ascii="Corbel" w:hAnsi="Corbel"/>
        </w:rPr>
      </w:pPr>
      <w:r w:rsidRPr="00CB4BB2">
        <w:rPr>
          <w:rFonts w:ascii="Corbel" w:hAnsi="Corbel"/>
        </w:rPr>
        <w:t>surveying employers to understand their skills needs and satisfaction with training received by apprentices or trainees that they employ.</w:t>
      </w:r>
    </w:p>
    <w:p w14:paraId="40166F04" w14:textId="77777777" w:rsidR="00DD726A" w:rsidRPr="00CB4BB2" w:rsidRDefault="00DD726A" w:rsidP="00DD726A">
      <w:pPr>
        <w:pStyle w:val="ListParagraph"/>
        <w:numPr>
          <w:ilvl w:val="0"/>
          <w:numId w:val="7"/>
        </w:numPr>
        <w:spacing w:after="120" w:line="240" w:lineRule="auto"/>
        <w:rPr>
          <w:rFonts w:ascii="Corbel" w:hAnsi="Corbel"/>
        </w:rPr>
      </w:pPr>
      <w:r w:rsidRPr="00CB4BB2">
        <w:rPr>
          <w:rFonts w:ascii="Corbel" w:hAnsi="Corbel"/>
        </w:rPr>
        <w:t>percentage of students that accessed student support services that have had a positive outcome and improved their academic results and overall wellbeing</w:t>
      </w:r>
    </w:p>
    <w:p w14:paraId="37ADC9BD" w14:textId="77777777" w:rsidR="00DD726A" w:rsidRPr="00CB4BB2" w:rsidRDefault="00DD726A" w:rsidP="00DD726A">
      <w:pPr>
        <w:pStyle w:val="ListParagraph"/>
        <w:numPr>
          <w:ilvl w:val="0"/>
          <w:numId w:val="5"/>
        </w:numPr>
        <w:spacing w:before="120" w:after="120" w:line="264" w:lineRule="auto"/>
        <w:rPr>
          <w:rFonts w:ascii="Corbel" w:hAnsi="Corbel"/>
        </w:rPr>
      </w:pPr>
      <w:r w:rsidRPr="00CB4BB2">
        <w:rPr>
          <w:rFonts w:ascii="Corbel" w:hAnsi="Corbel"/>
        </w:rPr>
        <w:t xml:space="preserve">periodic TAFE reports quantifying the use of various support services and their outcomes </w:t>
      </w:r>
    </w:p>
    <w:p w14:paraId="1246A3BC" w14:textId="77777777" w:rsidR="00DD726A" w:rsidRPr="00CB4BB2" w:rsidRDefault="3D601596" w:rsidP="5A1ACE45">
      <w:pPr>
        <w:spacing w:before="120" w:after="120" w:line="264" w:lineRule="auto"/>
        <w:rPr>
          <w:rFonts w:ascii="Corbel" w:hAnsi="Corbel"/>
        </w:rPr>
      </w:pPr>
      <w:r w:rsidRPr="5A1ACE45">
        <w:rPr>
          <w:rFonts w:ascii="Corbel" w:hAnsi="Corbel"/>
        </w:rPr>
        <w:t>New performance indicators may be added as initiatives are rolled out over the life of the NSA which will be included in subsequent iterations of the bilateral implementation plan as required.</w:t>
      </w:r>
    </w:p>
    <w:p w14:paraId="350207ED" w14:textId="77777777" w:rsidR="00AE2DA4" w:rsidRDefault="3D601596" w:rsidP="5A1ACE45">
      <w:pPr>
        <w:spacing w:after="120" w:line="240" w:lineRule="auto"/>
        <w:rPr>
          <w:rFonts w:ascii="Corbel" w:hAnsi="Corbel"/>
        </w:rPr>
      </w:pPr>
      <w:r w:rsidRPr="5A1ACE45">
        <w:rPr>
          <w:rFonts w:ascii="Corbel" w:hAnsi="Corbel"/>
        </w:rPr>
        <w:t xml:space="preserve">For all initiatives listed, Victoria will set reasonable targets for both uptake of supports provided as well as an overall increase in completion rates across courses where students have accessed </w:t>
      </w:r>
      <w:r w:rsidR="2D6814CB" w:rsidRPr="5A1ACE45">
        <w:rPr>
          <w:rFonts w:ascii="Corbel" w:hAnsi="Corbel"/>
        </w:rPr>
        <w:t xml:space="preserve">these </w:t>
      </w:r>
      <w:r w:rsidRPr="5A1ACE45">
        <w:rPr>
          <w:rFonts w:ascii="Corbel" w:hAnsi="Corbel"/>
        </w:rPr>
        <w:t xml:space="preserve">additional supports. </w:t>
      </w:r>
    </w:p>
    <w:p w14:paraId="7CC6B9B9" w14:textId="4EEF2792" w:rsidR="00AE2DA4" w:rsidRPr="00AE2DA4" w:rsidRDefault="24566CFA" w:rsidP="5A1ACE45">
      <w:pPr>
        <w:spacing w:after="120"/>
        <w:rPr>
          <w:rFonts w:ascii="Corbel" w:hAnsi="Corbel"/>
        </w:rPr>
      </w:pPr>
      <w:r w:rsidRPr="5A1ACE45">
        <w:rPr>
          <w:rFonts w:ascii="Corbel" w:hAnsi="Corbel"/>
        </w:rPr>
        <w:t xml:space="preserve">Based on a recent evaluation of the LNSUPPORT program, Victoria </w:t>
      </w:r>
      <w:r w:rsidR="4D4827B4" w:rsidRPr="5A1ACE45">
        <w:rPr>
          <w:rFonts w:ascii="Corbel" w:hAnsi="Corbel"/>
        </w:rPr>
        <w:t xml:space="preserve">anticipates </w:t>
      </w:r>
      <w:r w:rsidRPr="5A1ACE45">
        <w:rPr>
          <w:rFonts w:ascii="Corbel" w:hAnsi="Corbel"/>
        </w:rPr>
        <w:t>a 10-percentage point</w:t>
      </w:r>
      <w:r w:rsidR="1B20D30A" w:rsidRPr="5A1ACE45">
        <w:rPr>
          <w:rFonts w:ascii="Corbel" w:hAnsi="Corbel"/>
        </w:rPr>
        <w:t xml:space="preserve"> or more</w:t>
      </w:r>
      <w:r w:rsidRPr="5A1ACE45">
        <w:rPr>
          <w:rFonts w:ascii="Corbel" w:hAnsi="Corbel"/>
        </w:rPr>
        <w:t xml:space="preserve"> improvement in student engagement and completions rates for students who undert</w:t>
      </w:r>
      <w:r w:rsidR="4D4827B4" w:rsidRPr="5A1ACE45">
        <w:rPr>
          <w:rFonts w:ascii="Corbel" w:hAnsi="Corbel"/>
        </w:rPr>
        <w:t xml:space="preserve">ake </w:t>
      </w:r>
      <w:r w:rsidRPr="5A1ACE45">
        <w:rPr>
          <w:rFonts w:ascii="Corbel" w:hAnsi="Corbel"/>
        </w:rPr>
        <w:t>the course</w:t>
      </w:r>
      <w:r w:rsidR="1B20D30A" w:rsidRPr="5A1ACE45">
        <w:rPr>
          <w:rFonts w:ascii="Corbel" w:hAnsi="Corbel"/>
        </w:rPr>
        <w:t xml:space="preserve"> as a co-enrolment</w:t>
      </w:r>
      <w:r w:rsidRPr="5A1ACE45">
        <w:rPr>
          <w:rFonts w:ascii="Corbel" w:hAnsi="Corbel"/>
        </w:rPr>
        <w:t>. It is anticipated this positive trend in completions will carry over to apprentice course completions</w:t>
      </w:r>
      <w:r w:rsidR="1B20D30A" w:rsidRPr="5A1ACE45">
        <w:rPr>
          <w:rFonts w:ascii="Corbel" w:hAnsi="Corbel"/>
        </w:rPr>
        <w:t xml:space="preserve"> and a</w:t>
      </w:r>
      <w:r w:rsidR="40DE4C4E" w:rsidRPr="5A1ACE45">
        <w:rPr>
          <w:rFonts w:ascii="Corbel" w:hAnsi="Corbel"/>
        </w:rPr>
        <w:t>pprenticeship</w:t>
      </w:r>
      <w:r w:rsidR="188BB6B3" w:rsidRPr="5A1ACE45">
        <w:rPr>
          <w:rFonts w:ascii="Corbel" w:hAnsi="Corbel"/>
        </w:rPr>
        <w:t xml:space="preserve">-specific </w:t>
      </w:r>
      <w:r w:rsidR="40DE4C4E" w:rsidRPr="5A1ACE45">
        <w:rPr>
          <w:rFonts w:ascii="Corbel" w:hAnsi="Corbel"/>
        </w:rPr>
        <w:t xml:space="preserve">indicators will be included in Victoria’s reporting to the Commonwealth. </w:t>
      </w:r>
    </w:p>
    <w:p w14:paraId="7C001D39" w14:textId="3AC2C434" w:rsidR="000323DC" w:rsidRPr="00CB4BB2" w:rsidRDefault="3D601596" w:rsidP="5A1ACE45">
      <w:pPr>
        <w:spacing w:after="120" w:line="240" w:lineRule="auto"/>
        <w:rPr>
          <w:rFonts w:ascii="Corbel" w:hAnsi="Corbel"/>
        </w:rPr>
      </w:pPr>
      <w:r w:rsidRPr="5A1ACE45">
        <w:rPr>
          <w:rFonts w:ascii="Corbel" w:hAnsi="Corbel"/>
        </w:rPr>
        <w:t xml:space="preserve">Most data will be sourced from </w:t>
      </w:r>
      <w:r w:rsidR="0A648B66" w:rsidRPr="5A1ACE45">
        <w:rPr>
          <w:rFonts w:ascii="Corbel" w:hAnsi="Corbel"/>
        </w:rPr>
        <w:t xml:space="preserve">Victorian </w:t>
      </w:r>
      <w:r w:rsidRPr="5A1ACE45">
        <w:rPr>
          <w:rFonts w:ascii="Corbel" w:hAnsi="Corbel"/>
        </w:rPr>
        <w:t xml:space="preserve">administrative data (non-public), </w:t>
      </w:r>
      <w:r w:rsidR="6B2A93E2" w:rsidRPr="5A1ACE45">
        <w:rPr>
          <w:rFonts w:ascii="Corbel" w:hAnsi="Corbel"/>
        </w:rPr>
        <w:t xml:space="preserve">and </w:t>
      </w:r>
      <w:r w:rsidRPr="5A1ACE45">
        <w:rPr>
          <w:rFonts w:ascii="Corbel" w:hAnsi="Corbel"/>
        </w:rPr>
        <w:t>finalised late January for the year before. Details of these anticipated and actual increases will be set out in Victoria’s reporting to the Commonwealth over the remainder of the NSA.</w:t>
      </w:r>
    </w:p>
    <w:p w14:paraId="2B6E0586" w14:textId="77777777" w:rsidR="000323DC" w:rsidRPr="00CB4BB2" w:rsidRDefault="000323DC" w:rsidP="00DD726A">
      <w:pPr>
        <w:keepNext/>
        <w:spacing w:after="120"/>
        <w:outlineLvl w:val="2"/>
        <w:rPr>
          <w:rFonts w:ascii="Corbel" w:hAnsi="Corbel"/>
          <w:b/>
          <w:bCs/>
        </w:rPr>
      </w:pPr>
      <w:r w:rsidRPr="00CB4BB2">
        <w:rPr>
          <w:rFonts w:ascii="Corbel" w:hAnsi="Corbel"/>
          <w:b/>
          <w:bCs/>
        </w:rPr>
        <w:t xml:space="preserve">Evaluation arrangements </w:t>
      </w:r>
    </w:p>
    <w:p w14:paraId="2907122F" w14:textId="41D2A1C4" w:rsidR="00DD726A" w:rsidRPr="00CB4BB2" w:rsidRDefault="3D601596" w:rsidP="5A1ACE45">
      <w:pPr>
        <w:spacing w:after="120"/>
        <w:rPr>
          <w:rFonts w:ascii="Corbel" w:hAnsi="Corbel"/>
        </w:rPr>
      </w:pPr>
      <w:r w:rsidRPr="5A1ACE45">
        <w:rPr>
          <w:rFonts w:ascii="Corbel" w:hAnsi="Corbel"/>
        </w:rPr>
        <w:t>Victoria has robust evaluation arrangements in place to monitor its completions initiatives with Victoria</w:t>
      </w:r>
      <w:r w:rsidR="3159A943" w:rsidRPr="5A1ACE45">
        <w:rPr>
          <w:rFonts w:ascii="Corbel" w:hAnsi="Corbel"/>
        </w:rPr>
        <w:t>’</w:t>
      </w:r>
      <w:r w:rsidRPr="5A1ACE45">
        <w:rPr>
          <w:rFonts w:ascii="Corbel" w:hAnsi="Corbel"/>
        </w:rPr>
        <w:t>s TAFEs and other contracted training providers. This includes accurate data collection of activity levels and bi-annual reporting from TAFEs in relation to TAFE student support and other completions-focussed activities.</w:t>
      </w:r>
    </w:p>
    <w:p w14:paraId="0F515A89" w14:textId="4E4BEB8F" w:rsidR="00DD726A" w:rsidRPr="00CB4BB2" w:rsidRDefault="3D601596" w:rsidP="5A1ACE45">
      <w:pPr>
        <w:spacing w:after="120"/>
        <w:rPr>
          <w:rFonts w:ascii="Corbel" w:hAnsi="Corbel"/>
        </w:rPr>
      </w:pPr>
      <w:r w:rsidRPr="5A1ACE45">
        <w:rPr>
          <w:rFonts w:ascii="Corbel" w:hAnsi="Corbel"/>
        </w:rPr>
        <w:t xml:space="preserve">Victoria will undertake evaluation of current and new completions initiatives over the remainder of the NSA. This will be done through both quantitative and qualitative measures to assess their effectiveness in improving VET completions. </w:t>
      </w:r>
    </w:p>
    <w:p w14:paraId="1F536523" w14:textId="77777777" w:rsidR="000A21A3" w:rsidRPr="000A21A3" w:rsidRDefault="000A21A3" w:rsidP="000A21A3">
      <w:pPr>
        <w:spacing w:after="120"/>
        <w:rPr>
          <w:rFonts w:ascii="Corbel" w:hAnsi="Corbel" w:cstheme="minorHAnsi"/>
        </w:rPr>
      </w:pPr>
      <w:r w:rsidRPr="000A21A3">
        <w:rPr>
          <w:rFonts w:ascii="Corbel" w:hAnsi="Corbel" w:cstheme="minorHAnsi"/>
        </w:rPr>
        <w:t>The evaluation findings will guide future decisions on scaling and refining these initiatives, ensuring a robust and evidence-based framework for improving student outcomes in VET. Details of evaluation arrangements will be incorporated into the reporting milestones for Victoria’s completions initiatives.</w:t>
      </w:r>
    </w:p>
    <w:p w14:paraId="76113B35" w14:textId="502ABF94" w:rsidR="000A21A3" w:rsidRPr="000A21A3" w:rsidRDefault="000A21A3" w:rsidP="000A21A3">
      <w:pPr>
        <w:spacing w:after="120"/>
        <w:rPr>
          <w:rFonts w:ascii="Corbel" w:eastAsia="Corbel" w:hAnsi="Corbel" w:cs="Corbel"/>
          <w:b/>
          <w:bCs/>
        </w:rPr>
      </w:pPr>
      <w:r w:rsidRPr="000A21A3">
        <w:rPr>
          <w:rFonts w:ascii="Corbel" w:eastAsia="Corbel" w:hAnsi="Corbel" w:cs="Corbel"/>
          <w:b/>
          <w:bCs/>
        </w:rPr>
        <w:t>Victoria’s Approach to Matched Funding</w:t>
      </w:r>
    </w:p>
    <w:p w14:paraId="7AF8BAD2" w14:textId="77777777" w:rsidR="000A21A3" w:rsidRPr="000A21A3" w:rsidRDefault="000A21A3" w:rsidP="000A21A3">
      <w:pPr>
        <w:spacing w:after="120"/>
        <w:rPr>
          <w:rFonts w:ascii="Corbel" w:eastAsia="Corbel" w:hAnsi="Corbel" w:cs="Corbel"/>
          <w:i/>
          <w:iCs/>
        </w:rPr>
      </w:pPr>
      <w:r w:rsidRPr="000A21A3">
        <w:rPr>
          <w:rFonts w:ascii="Corbel" w:eastAsia="Corbel" w:hAnsi="Corbel" w:cs="Corbel"/>
        </w:rPr>
        <w:t>Improved completions – estimated phasing of matched funding arrangements (clause A144 refers) – to be reconciled over the life of the NSA.</w:t>
      </w:r>
    </w:p>
    <w:tbl>
      <w:tblPr>
        <w:tblW w:w="5000" w:type="pct"/>
        <w:tblLook w:val="04A0" w:firstRow="1" w:lastRow="0" w:firstColumn="1" w:lastColumn="0" w:noHBand="0" w:noVBand="1"/>
      </w:tblPr>
      <w:tblGrid>
        <w:gridCol w:w="1416"/>
        <w:gridCol w:w="1520"/>
        <w:gridCol w:w="1520"/>
        <w:gridCol w:w="1520"/>
        <w:gridCol w:w="1520"/>
        <w:gridCol w:w="1520"/>
      </w:tblGrid>
      <w:tr w:rsidR="000A21A3" w:rsidRPr="000A21A3" w14:paraId="58D0004F" w14:textId="77777777" w:rsidTr="000A21A3">
        <w:tc>
          <w:tcPr>
            <w:tcW w:w="785" w:type="pct"/>
            <w:tcBorders>
              <w:top w:val="single" w:sz="4" w:space="0" w:color="auto"/>
              <w:left w:val="single" w:sz="4" w:space="0" w:color="auto"/>
              <w:bottom w:val="single" w:sz="4" w:space="0" w:color="auto"/>
              <w:right w:val="single" w:sz="4" w:space="0" w:color="auto"/>
            </w:tcBorders>
            <w:vAlign w:val="bottom"/>
            <w:hideMark/>
          </w:tcPr>
          <w:p w14:paraId="3323F13E"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lastRenderedPageBreak/>
              <w:t>Details of matched funding</w:t>
            </w:r>
          </w:p>
        </w:tc>
        <w:tc>
          <w:tcPr>
            <w:tcW w:w="843" w:type="pct"/>
            <w:tcBorders>
              <w:top w:val="single" w:sz="4" w:space="0" w:color="auto"/>
              <w:left w:val="single" w:sz="4" w:space="0" w:color="auto"/>
              <w:bottom w:val="single" w:sz="4" w:space="0" w:color="auto"/>
              <w:right w:val="single" w:sz="4" w:space="0" w:color="auto"/>
            </w:tcBorders>
            <w:vAlign w:val="bottom"/>
            <w:hideMark/>
          </w:tcPr>
          <w:p w14:paraId="04EAA12F"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2025-26</w:t>
            </w:r>
          </w:p>
        </w:tc>
        <w:tc>
          <w:tcPr>
            <w:tcW w:w="843" w:type="pct"/>
            <w:tcBorders>
              <w:top w:val="single" w:sz="4" w:space="0" w:color="auto"/>
              <w:left w:val="single" w:sz="4" w:space="0" w:color="auto"/>
              <w:bottom w:val="single" w:sz="4" w:space="0" w:color="auto"/>
              <w:right w:val="single" w:sz="4" w:space="0" w:color="auto"/>
            </w:tcBorders>
            <w:vAlign w:val="bottom"/>
            <w:hideMark/>
          </w:tcPr>
          <w:p w14:paraId="38362A64"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2026-27</w:t>
            </w:r>
          </w:p>
        </w:tc>
        <w:tc>
          <w:tcPr>
            <w:tcW w:w="843" w:type="pct"/>
            <w:tcBorders>
              <w:top w:val="single" w:sz="4" w:space="0" w:color="auto"/>
              <w:left w:val="single" w:sz="4" w:space="0" w:color="auto"/>
              <w:bottom w:val="single" w:sz="4" w:space="0" w:color="auto"/>
              <w:right w:val="single" w:sz="4" w:space="0" w:color="auto"/>
            </w:tcBorders>
            <w:vAlign w:val="bottom"/>
            <w:hideMark/>
          </w:tcPr>
          <w:p w14:paraId="11051F83"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2027-28</w:t>
            </w:r>
          </w:p>
        </w:tc>
        <w:tc>
          <w:tcPr>
            <w:tcW w:w="843" w:type="pct"/>
            <w:tcBorders>
              <w:top w:val="single" w:sz="4" w:space="0" w:color="auto"/>
              <w:left w:val="single" w:sz="4" w:space="0" w:color="auto"/>
              <w:bottom w:val="single" w:sz="4" w:space="0" w:color="auto"/>
              <w:right w:val="single" w:sz="4" w:space="0" w:color="auto"/>
            </w:tcBorders>
            <w:vAlign w:val="bottom"/>
            <w:hideMark/>
          </w:tcPr>
          <w:p w14:paraId="0C96AE9F"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2028-29</w:t>
            </w:r>
          </w:p>
        </w:tc>
        <w:tc>
          <w:tcPr>
            <w:tcW w:w="843" w:type="pct"/>
            <w:tcBorders>
              <w:top w:val="single" w:sz="4" w:space="0" w:color="auto"/>
              <w:left w:val="single" w:sz="4" w:space="0" w:color="auto"/>
              <w:bottom w:val="single" w:sz="4" w:space="0" w:color="auto"/>
              <w:right w:val="single" w:sz="4" w:space="0" w:color="auto"/>
            </w:tcBorders>
            <w:vAlign w:val="bottom"/>
            <w:hideMark/>
          </w:tcPr>
          <w:p w14:paraId="0BB5CEED"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Total</w:t>
            </w:r>
          </w:p>
        </w:tc>
      </w:tr>
      <w:tr w:rsidR="000A21A3" w:rsidRPr="000A21A3" w14:paraId="49276847" w14:textId="77777777" w:rsidTr="00536883">
        <w:tc>
          <w:tcPr>
            <w:tcW w:w="785" w:type="pct"/>
            <w:tcBorders>
              <w:top w:val="single" w:sz="4" w:space="0" w:color="auto"/>
              <w:left w:val="single" w:sz="4" w:space="0" w:color="auto"/>
              <w:bottom w:val="single" w:sz="4" w:space="0" w:color="auto"/>
              <w:right w:val="single" w:sz="4" w:space="0" w:color="auto"/>
            </w:tcBorders>
            <w:vAlign w:val="center"/>
            <w:hideMark/>
          </w:tcPr>
          <w:p w14:paraId="3EA8C8F7" w14:textId="77777777" w:rsidR="000A21A3" w:rsidRPr="000A21A3" w:rsidRDefault="000A21A3" w:rsidP="00536883">
            <w:pPr>
              <w:spacing w:after="120"/>
              <w:rPr>
                <w:rFonts w:ascii="Corbel" w:eastAsia="Corbel" w:hAnsi="Corbel" w:cs="Corbel"/>
              </w:rPr>
            </w:pPr>
            <w:r w:rsidRPr="000A21A3">
              <w:rPr>
                <w:rFonts w:ascii="Corbel" w:eastAsia="Corbel" w:hAnsi="Corbel" w:cs="Corbel"/>
              </w:rPr>
              <w:t>VIC contribution</w:t>
            </w:r>
          </w:p>
        </w:tc>
        <w:tc>
          <w:tcPr>
            <w:tcW w:w="843" w:type="pct"/>
            <w:tcBorders>
              <w:top w:val="single" w:sz="4" w:space="0" w:color="auto"/>
              <w:left w:val="single" w:sz="4" w:space="0" w:color="auto"/>
              <w:bottom w:val="single" w:sz="4" w:space="0" w:color="auto"/>
              <w:right w:val="single" w:sz="4" w:space="0" w:color="auto"/>
            </w:tcBorders>
            <w:vAlign w:val="center"/>
            <w:hideMark/>
          </w:tcPr>
          <w:p w14:paraId="6C3285A4" w14:textId="39F6FAE3" w:rsidR="000A21A3" w:rsidRPr="000A21A3" w:rsidRDefault="000A21A3" w:rsidP="00536883">
            <w:pPr>
              <w:spacing w:after="120"/>
              <w:rPr>
                <w:rFonts w:ascii="Corbel" w:eastAsia="Corbel" w:hAnsi="Corbel" w:cs="Corbel"/>
              </w:rPr>
            </w:pPr>
            <w:r w:rsidRPr="000A21A3">
              <w:rPr>
                <w:rFonts w:ascii="Corbel" w:eastAsia="Corbel" w:hAnsi="Corbel" w:cs="Corbel"/>
              </w:rPr>
              <w:t>$18,352,000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693DE394" w14:textId="5303B34D" w:rsidR="000A21A3" w:rsidRPr="000A21A3" w:rsidRDefault="000A21A3" w:rsidP="00536883">
            <w:pPr>
              <w:spacing w:after="120"/>
              <w:rPr>
                <w:rFonts w:ascii="Corbel" w:eastAsia="Corbel" w:hAnsi="Corbel" w:cs="Corbel"/>
              </w:rPr>
            </w:pPr>
            <w:r w:rsidRPr="000A21A3">
              <w:rPr>
                <w:rFonts w:ascii="Corbel" w:eastAsia="Corbel" w:hAnsi="Corbel" w:cs="Corbel"/>
              </w:rPr>
              <w:t>$18,380,000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0650A07A" w14:textId="50026CD6" w:rsidR="000A21A3" w:rsidRPr="000A21A3" w:rsidRDefault="000A21A3" w:rsidP="00536883">
            <w:pPr>
              <w:spacing w:after="120"/>
              <w:rPr>
                <w:rFonts w:ascii="Corbel" w:eastAsia="Corbel" w:hAnsi="Corbel" w:cs="Corbel"/>
              </w:rPr>
            </w:pPr>
            <w:r w:rsidRPr="000A21A3">
              <w:rPr>
                <w:rFonts w:ascii="Corbel" w:eastAsia="Corbel" w:hAnsi="Corbel" w:cs="Corbel"/>
              </w:rPr>
              <w:t>$16,512,000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5E291786" w14:textId="08161BBF" w:rsidR="000A21A3" w:rsidRPr="000A21A3" w:rsidRDefault="000A21A3" w:rsidP="00536883">
            <w:pPr>
              <w:spacing w:after="120"/>
              <w:rPr>
                <w:rFonts w:ascii="Corbel" w:eastAsia="Corbel" w:hAnsi="Corbel" w:cs="Corbel"/>
              </w:rPr>
            </w:pPr>
            <w:r w:rsidRPr="000A21A3">
              <w:rPr>
                <w:rFonts w:ascii="Corbel" w:eastAsia="Corbel" w:hAnsi="Corbel" w:cs="Corbel"/>
              </w:rPr>
              <w:t>$8,256,000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69785A27" w14:textId="77777777" w:rsidR="000A21A3" w:rsidRPr="000A21A3" w:rsidRDefault="000A21A3" w:rsidP="00536883">
            <w:pPr>
              <w:spacing w:after="120"/>
              <w:rPr>
                <w:rFonts w:ascii="Corbel" w:eastAsia="Corbel" w:hAnsi="Corbel" w:cs="Corbel"/>
              </w:rPr>
            </w:pPr>
            <w:r w:rsidRPr="000A21A3">
              <w:rPr>
                <w:rFonts w:ascii="Corbel" w:eastAsia="Corbel" w:hAnsi="Corbel" w:cs="Corbel"/>
              </w:rPr>
              <w:t>$61,500,000</w:t>
            </w:r>
          </w:p>
        </w:tc>
      </w:tr>
      <w:tr w:rsidR="000A21A3" w:rsidRPr="000A21A3" w14:paraId="0B858031" w14:textId="77777777" w:rsidTr="00536883">
        <w:tc>
          <w:tcPr>
            <w:tcW w:w="785" w:type="pct"/>
            <w:tcBorders>
              <w:top w:val="single" w:sz="4" w:space="0" w:color="auto"/>
              <w:left w:val="single" w:sz="4" w:space="0" w:color="auto"/>
              <w:bottom w:val="single" w:sz="4" w:space="0" w:color="auto"/>
              <w:right w:val="single" w:sz="4" w:space="0" w:color="auto"/>
            </w:tcBorders>
            <w:vAlign w:val="center"/>
            <w:hideMark/>
          </w:tcPr>
          <w:p w14:paraId="07D84B08" w14:textId="77777777" w:rsidR="000A21A3" w:rsidRPr="000A21A3" w:rsidRDefault="000A21A3" w:rsidP="00536883">
            <w:pPr>
              <w:spacing w:after="120"/>
              <w:rPr>
                <w:rFonts w:ascii="Corbel" w:eastAsia="Corbel" w:hAnsi="Corbel" w:cs="Corbel"/>
              </w:rPr>
            </w:pPr>
            <w:r w:rsidRPr="000A21A3">
              <w:rPr>
                <w:rFonts w:ascii="Corbel" w:eastAsia="Corbel" w:hAnsi="Corbel" w:cs="Corbel"/>
              </w:rPr>
              <w:t>Cwth contribution</w:t>
            </w:r>
            <w:r w:rsidRPr="000A21A3">
              <w:rPr>
                <w:rFonts w:ascii="Corbel" w:eastAsia="Corbel" w:hAnsi="Corbel" w:cs="Corbel"/>
                <w:i/>
                <w:iCs/>
              </w:rPr>
              <w:t xml:space="preserve"> </w:t>
            </w:r>
          </w:p>
        </w:tc>
        <w:tc>
          <w:tcPr>
            <w:tcW w:w="843" w:type="pct"/>
            <w:tcBorders>
              <w:top w:val="single" w:sz="4" w:space="0" w:color="auto"/>
              <w:left w:val="single" w:sz="4" w:space="0" w:color="auto"/>
              <w:bottom w:val="single" w:sz="4" w:space="0" w:color="auto"/>
              <w:right w:val="single" w:sz="4" w:space="0" w:color="auto"/>
            </w:tcBorders>
            <w:vAlign w:val="center"/>
            <w:hideMark/>
          </w:tcPr>
          <w:p w14:paraId="0FC32037" w14:textId="77777777" w:rsidR="000A21A3" w:rsidRPr="000A21A3" w:rsidRDefault="000A21A3" w:rsidP="00536883">
            <w:pPr>
              <w:spacing w:after="120"/>
              <w:rPr>
                <w:rFonts w:ascii="Corbel" w:eastAsia="Corbel" w:hAnsi="Corbel" w:cs="Corbel"/>
              </w:rPr>
            </w:pPr>
            <w:r w:rsidRPr="000A21A3">
              <w:rPr>
                <w:rFonts w:ascii="Corbel" w:eastAsia="Corbel" w:hAnsi="Corbel" w:cs="Corbel"/>
              </w:rPr>
              <w:t>$18,529,000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4BB79B32" w14:textId="77777777" w:rsidR="000A21A3" w:rsidRPr="000A21A3" w:rsidRDefault="000A21A3" w:rsidP="00536883">
            <w:pPr>
              <w:spacing w:after="120"/>
              <w:rPr>
                <w:rFonts w:ascii="Corbel" w:eastAsia="Corbel" w:hAnsi="Corbel" w:cs="Corbel"/>
              </w:rPr>
            </w:pPr>
            <w:r w:rsidRPr="000A21A3">
              <w:rPr>
                <w:rFonts w:ascii="Corbel" w:eastAsia="Corbel" w:hAnsi="Corbel" w:cs="Corbel"/>
              </w:rPr>
              <w:t>$17,619,000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5DC9B65D" w14:textId="77777777" w:rsidR="000A21A3" w:rsidRPr="000A21A3" w:rsidRDefault="000A21A3" w:rsidP="00536883">
            <w:pPr>
              <w:spacing w:after="120"/>
              <w:rPr>
                <w:rFonts w:ascii="Corbel" w:eastAsia="Corbel" w:hAnsi="Corbel" w:cs="Corbel"/>
              </w:rPr>
            </w:pPr>
            <w:r w:rsidRPr="000A21A3">
              <w:rPr>
                <w:rFonts w:ascii="Corbel" w:eastAsia="Corbel" w:hAnsi="Corbel" w:cs="Corbel"/>
              </w:rPr>
              <w:t>$16,899,000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1E65E887" w14:textId="77777777" w:rsidR="000A21A3" w:rsidRPr="000A21A3" w:rsidRDefault="000A21A3" w:rsidP="00536883">
            <w:pPr>
              <w:spacing w:after="120"/>
              <w:rPr>
                <w:rFonts w:ascii="Corbel" w:eastAsia="Corbel" w:hAnsi="Corbel" w:cs="Corbel"/>
              </w:rPr>
            </w:pPr>
            <w:r w:rsidRPr="000A21A3">
              <w:rPr>
                <w:rFonts w:ascii="Corbel" w:eastAsia="Corbel" w:hAnsi="Corbel" w:cs="Corbel"/>
              </w:rPr>
              <w:t>$8,453,000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4696353F" w14:textId="77777777" w:rsidR="000A21A3" w:rsidRPr="000A21A3" w:rsidRDefault="000A21A3" w:rsidP="00536883">
            <w:pPr>
              <w:spacing w:after="120"/>
              <w:rPr>
                <w:rFonts w:ascii="Corbel" w:eastAsia="Corbel" w:hAnsi="Corbel" w:cs="Corbel"/>
              </w:rPr>
            </w:pPr>
            <w:r w:rsidRPr="000A21A3">
              <w:rPr>
                <w:rFonts w:ascii="Corbel" w:eastAsia="Corbel" w:hAnsi="Corbel" w:cs="Corbel"/>
              </w:rPr>
              <w:t>$61,500,000</w:t>
            </w:r>
          </w:p>
        </w:tc>
      </w:tr>
      <w:tr w:rsidR="000A21A3" w:rsidRPr="000A21A3" w14:paraId="01950383" w14:textId="77777777" w:rsidTr="00536883">
        <w:tc>
          <w:tcPr>
            <w:tcW w:w="785" w:type="pct"/>
            <w:tcBorders>
              <w:top w:val="single" w:sz="4" w:space="0" w:color="auto"/>
              <w:left w:val="single" w:sz="4" w:space="0" w:color="auto"/>
              <w:bottom w:val="single" w:sz="4" w:space="0" w:color="auto"/>
              <w:right w:val="single" w:sz="4" w:space="0" w:color="auto"/>
            </w:tcBorders>
            <w:vAlign w:val="center"/>
            <w:hideMark/>
          </w:tcPr>
          <w:p w14:paraId="1B938429" w14:textId="77777777" w:rsidR="000A21A3" w:rsidRPr="000A21A3" w:rsidRDefault="000A21A3" w:rsidP="00536883">
            <w:pPr>
              <w:spacing w:after="120"/>
              <w:rPr>
                <w:rFonts w:ascii="Corbel" w:eastAsia="Corbel" w:hAnsi="Corbel" w:cs="Corbel"/>
              </w:rPr>
            </w:pPr>
            <w:r w:rsidRPr="000A21A3">
              <w:rPr>
                <w:rFonts w:ascii="Corbel" w:eastAsia="Corbel" w:hAnsi="Corbel" w:cs="Corbel"/>
              </w:rPr>
              <w:t>Total</w:t>
            </w:r>
          </w:p>
        </w:tc>
        <w:tc>
          <w:tcPr>
            <w:tcW w:w="843" w:type="pct"/>
            <w:tcBorders>
              <w:top w:val="single" w:sz="4" w:space="0" w:color="auto"/>
              <w:left w:val="single" w:sz="4" w:space="0" w:color="auto"/>
              <w:bottom w:val="single" w:sz="4" w:space="0" w:color="auto"/>
              <w:right w:val="single" w:sz="4" w:space="0" w:color="auto"/>
            </w:tcBorders>
            <w:vAlign w:val="center"/>
            <w:hideMark/>
          </w:tcPr>
          <w:p w14:paraId="0541E0C1" w14:textId="6C284723" w:rsidR="000A21A3" w:rsidRPr="000A21A3" w:rsidRDefault="000A21A3" w:rsidP="00536883">
            <w:pPr>
              <w:spacing w:after="120"/>
              <w:rPr>
                <w:rFonts w:ascii="Corbel" w:eastAsia="Corbel" w:hAnsi="Corbel" w:cs="Corbel"/>
              </w:rPr>
            </w:pPr>
            <w:r w:rsidRPr="000A21A3">
              <w:rPr>
                <w:rFonts w:ascii="Corbel" w:eastAsia="Corbel" w:hAnsi="Corbel" w:cs="Corbel"/>
              </w:rPr>
              <w:t>$36,881,000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4B580702" w14:textId="4232A631" w:rsidR="000A21A3" w:rsidRPr="000A21A3" w:rsidRDefault="000A21A3" w:rsidP="00536883">
            <w:pPr>
              <w:spacing w:after="120"/>
              <w:rPr>
                <w:rFonts w:ascii="Corbel" w:eastAsia="Corbel" w:hAnsi="Corbel" w:cs="Corbel"/>
              </w:rPr>
            </w:pPr>
            <w:r w:rsidRPr="000A21A3">
              <w:rPr>
                <w:rFonts w:ascii="Corbel" w:eastAsia="Corbel" w:hAnsi="Corbel" w:cs="Corbel"/>
              </w:rPr>
              <w:t>$35,999,000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0B11A8BA" w14:textId="284D312D" w:rsidR="000A21A3" w:rsidRPr="000A21A3" w:rsidRDefault="000A21A3" w:rsidP="00536883">
            <w:pPr>
              <w:spacing w:after="120"/>
              <w:rPr>
                <w:rFonts w:ascii="Corbel" w:eastAsia="Corbel" w:hAnsi="Corbel" w:cs="Corbel"/>
              </w:rPr>
            </w:pPr>
            <w:r w:rsidRPr="000A21A3">
              <w:rPr>
                <w:rFonts w:ascii="Corbel" w:eastAsia="Corbel" w:hAnsi="Corbel" w:cs="Corbel"/>
              </w:rPr>
              <w:t>$33,411,000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3F82A89C" w14:textId="07183BD1" w:rsidR="000A21A3" w:rsidRPr="000A21A3" w:rsidRDefault="000A21A3" w:rsidP="00536883">
            <w:pPr>
              <w:spacing w:after="120"/>
              <w:rPr>
                <w:rFonts w:ascii="Corbel" w:eastAsia="Corbel" w:hAnsi="Corbel" w:cs="Corbel"/>
              </w:rPr>
            </w:pPr>
            <w:r w:rsidRPr="000A21A3">
              <w:rPr>
                <w:rFonts w:ascii="Corbel" w:eastAsia="Corbel" w:hAnsi="Corbel" w:cs="Corbel"/>
              </w:rPr>
              <w:t>$16,709,000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128B35A0" w14:textId="7D3C8749" w:rsidR="000A21A3" w:rsidRPr="000A21A3" w:rsidRDefault="000A21A3" w:rsidP="00536883">
            <w:pPr>
              <w:spacing w:after="120"/>
              <w:rPr>
                <w:rFonts w:ascii="Corbel" w:eastAsia="Corbel" w:hAnsi="Corbel" w:cs="Corbel"/>
              </w:rPr>
            </w:pPr>
            <w:r w:rsidRPr="000A21A3">
              <w:rPr>
                <w:rFonts w:ascii="Corbel" w:eastAsia="Corbel" w:hAnsi="Corbel" w:cs="Corbel"/>
              </w:rPr>
              <w:t>$123,000,000</w:t>
            </w:r>
          </w:p>
        </w:tc>
      </w:tr>
    </w:tbl>
    <w:p w14:paraId="4CB45789" w14:textId="77777777" w:rsidR="000A21A3" w:rsidRPr="000A21A3" w:rsidRDefault="000A21A3" w:rsidP="000A21A3">
      <w:pPr>
        <w:spacing w:after="120"/>
        <w:rPr>
          <w:rFonts w:ascii="Corbel" w:eastAsia="Corbel" w:hAnsi="Corbel" w:cs="Corbel"/>
        </w:rPr>
      </w:pPr>
    </w:p>
    <w:p w14:paraId="3D8EFD49" w14:textId="77777777" w:rsidR="000A21A3" w:rsidRPr="000A21A3" w:rsidRDefault="000A21A3" w:rsidP="000A21A3">
      <w:pPr>
        <w:spacing w:after="120"/>
        <w:rPr>
          <w:rFonts w:ascii="Corbel" w:eastAsia="Corbel" w:hAnsi="Corbel" w:cs="Corbel"/>
        </w:rPr>
      </w:pPr>
      <w:r w:rsidRPr="000A21A3">
        <w:rPr>
          <w:rFonts w:ascii="Corbel" w:eastAsia="Corbel" w:hAnsi="Corbel" w:cs="Corbel"/>
        </w:rPr>
        <w:t>The Victorian Government will provide details of its matched funding contributions at the end of each financial year, commencing 1 July 2024 until 31 December 2028. Final payments under this implementation plan may be reduced where the total contribution by the Victorian Government over the life of the project does not align with the Commonwealth contribution.</w:t>
      </w:r>
    </w:p>
    <w:p w14:paraId="222D9497" w14:textId="77777777" w:rsidR="000A21A3" w:rsidRPr="000A21A3" w:rsidRDefault="000A21A3" w:rsidP="000A21A3">
      <w:pPr>
        <w:spacing w:after="120"/>
        <w:rPr>
          <w:rFonts w:ascii="Corbel" w:eastAsia="Corbel" w:hAnsi="Corbel" w:cs="Corbel"/>
        </w:rPr>
      </w:pPr>
      <w:r w:rsidRPr="000A21A3">
        <w:rPr>
          <w:rFonts w:ascii="Corbel" w:eastAsia="Corbel" w:hAnsi="Corbel" w:cs="Corbel"/>
        </w:rPr>
        <w:t xml:space="preserve">Victoria has made considerable proactive investments in supporting measures to improve VET student completions. Victoria will meet its matched funding obligations through a suite of student support services provided through its TAFE network, as per the details below. </w:t>
      </w:r>
    </w:p>
    <w:tbl>
      <w:tblPr>
        <w:tblW w:w="5000" w:type="pct"/>
        <w:tblLook w:val="04A0" w:firstRow="1" w:lastRow="0" w:firstColumn="1" w:lastColumn="0" w:noHBand="0" w:noVBand="1"/>
      </w:tblPr>
      <w:tblGrid>
        <w:gridCol w:w="2356"/>
        <w:gridCol w:w="1332"/>
        <w:gridCol w:w="1333"/>
        <w:gridCol w:w="1333"/>
        <w:gridCol w:w="1333"/>
        <w:gridCol w:w="1329"/>
      </w:tblGrid>
      <w:tr w:rsidR="000A21A3" w:rsidRPr="000A21A3" w14:paraId="00DFEB31" w14:textId="77777777" w:rsidTr="000A21A3">
        <w:tc>
          <w:tcPr>
            <w:tcW w:w="1307" w:type="pct"/>
            <w:tcBorders>
              <w:top w:val="single" w:sz="4" w:space="0" w:color="auto"/>
              <w:left w:val="single" w:sz="4" w:space="0" w:color="auto"/>
              <w:bottom w:val="single" w:sz="4" w:space="0" w:color="auto"/>
              <w:right w:val="single" w:sz="4" w:space="0" w:color="auto"/>
            </w:tcBorders>
            <w:vAlign w:val="center"/>
            <w:hideMark/>
          </w:tcPr>
          <w:p w14:paraId="49AA25BE"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Details of Vic matched funding</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76CF67"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2025-26</w:t>
            </w:r>
          </w:p>
        </w:tc>
        <w:tc>
          <w:tcPr>
            <w:tcW w:w="739" w:type="pct"/>
            <w:tcBorders>
              <w:top w:val="single" w:sz="4" w:space="0" w:color="auto"/>
              <w:left w:val="single" w:sz="4" w:space="0" w:color="auto"/>
              <w:bottom w:val="single" w:sz="4" w:space="0" w:color="auto"/>
              <w:right w:val="single" w:sz="4" w:space="0" w:color="auto"/>
            </w:tcBorders>
            <w:vAlign w:val="center"/>
            <w:hideMark/>
          </w:tcPr>
          <w:p w14:paraId="2BFF730B"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2026-27</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ED318F"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2027-28</w:t>
            </w:r>
          </w:p>
        </w:tc>
        <w:tc>
          <w:tcPr>
            <w:tcW w:w="739" w:type="pct"/>
            <w:tcBorders>
              <w:top w:val="single" w:sz="4" w:space="0" w:color="auto"/>
              <w:left w:val="single" w:sz="4" w:space="0" w:color="auto"/>
              <w:bottom w:val="single" w:sz="4" w:space="0" w:color="auto"/>
              <w:right w:val="single" w:sz="4" w:space="0" w:color="auto"/>
            </w:tcBorders>
            <w:vAlign w:val="center"/>
            <w:hideMark/>
          </w:tcPr>
          <w:p w14:paraId="0392F626"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2028-29</w:t>
            </w:r>
          </w:p>
        </w:tc>
        <w:tc>
          <w:tcPr>
            <w:tcW w:w="739" w:type="pct"/>
            <w:tcBorders>
              <w:top w:val="single" w:sz="4" w:space="0" w:color="auto"/>
              <w:left w:val="single" w:sz="4" w:space="0" w:color="auto"/>
              <w:bottom w:val="single" w:sz="4" w:space="0" w:color="auto"/>
              <w:right w:val="single" w:sz="4" w:space="0" w:color="auto"/>
            </w:tcBorders>
            <w:vAlign w:val="center"/>
            <w:hideMark/>
          </w:tcPr>
          <w:p w14:paraId="37F9AFF4" w14:textId="77777777" w:rsidR="000A21A3" w:rsidRPr="000A21A3" w:rsidRDefault="000A21A3" w:rsidP="000A21A3">
            <w:pPr>
              <w:spacing w:after="120"/>
              <w:rPr>
                <w:rFonts w:ascii="Corbel" w:eastAsia="Corbel" w:hAnsi="Corbel" w:cs="Corbel"/>
                <w:b/>
                <w:bCs/>
              </w:rPr>
            </w:pPr>
            <w:r w:rsidRPr="000A21A3">
              <w:rPr>
                <w:rFonts w:ascii="Corbel" w:eastAsia="Corbel" w:hAnsi="Corbel" w:cs="Corbel"/>
                <w:b/>
                <w:bCs/>
              </w:rPr>
              <w:t>Total</w:t>
            </w:r>
          </w:p>
        </w:tc>
      </w:tr>
      <w:tr w:rsidR="000A21A3" w:rsidRPr="000A21A3" w14:paraId="415959A1" w14:textId="77777777" w:rsidTr="000A21A3">
        <w:tc>
          <w:tcPr>
            <w:tcW w:w="1307" w:type="pct"/>
            <w:tcBorders>
              <w:top w:val="single" w:sz="4" w:space="0" w:color="auto"/>
              <w:left w:val="single" w:sz="4" w:space="0" w:color="auto"/>
              <w:bottom w:val="single" w:sz="4" w:space="0" w:color="auto"/>
              <w:right w:val="single" w:sz="4" w:space="0" w:color="auto"/>
            </w:tcBorders>
            <w:vAlign w:val="center"/>
            <w:hideMark/>
          </w:tcPr>
          <w:p w14:paraId="294E6CE7" w14:textId="77777777" w:rsidR="000A21A3" w:rsidRPr="000A21A3" w:rsidRDefault="000A21A3" w:rsidP="000A21A3">
            <w:pPr>
              <w:spacing w:after="120"/>
              <w:rPr>
                <w:rFonts w:ascii="Corbel" w:eastAsia="Corbel" w:hAnsi="Corbel" w:cs="Corbel"/>
              </w:rPr>
            </w:pPr>
            <w:r w:rsidRPr="000A21A3">
              <w:rPr>
                <w:rFonts w:ascii="Corbel" w:eastAsia="Corbel" w:hAnsi="Corbel" w:cs="Corbel"/>
              </w:rPr>
              <w:t>Disability Transition Support Officers</w:t>
            </w:r>
          </w:p>
        </w:tc>
        <w:tc>
          <w:tcPr>
            <w:tcW w:w="739" w:type="pct"/>
            <w:tcBorders>
              <w:top w:val="single" w:sz="4" w:space="0" w:color="auto"/>
              <w:left w:val="single" w:sz="4" w:space="0" w:color="auto"/>
              <w:bottom w:val="single" w:sz="4" w:space="0" w:color="auto"/>
              <w:right w:val="single" w:sz="4" w:space="0" w:color="auto"/>
            </w:tcBorders>
            <w:vAlign w:val="center"/>
            <w:hideMark/>
          </w:tcPr>
          <w:p w14:paraId="40B492F1"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$1,840,000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6A75EF4B"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$1,868,000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4969FA32" w14:textId="77777777" w:rsidR="000A21A3" w:rsidRPr="000A21A3" w:rsidRDefault="000A21A3" w:rsidP="000A21A3">
            <w:pPr>
              <w:spacing w:after="120"/>
              <w:rPr>
                <w:rFonts w:ascii="Corbel" w:eastAsia="Corbel" w:hAnsi="Corbel" w:cs="Corbel"/>
              </w:rPr>
            </w:pPr>
            <w:r w:rsidRPr="000A21A3">
              <w:rPr>
                <w:rFonts w:ascii="Corbel" w:eastAsia="Corbel" w:hAnsi="Corbel" w:cs="Corbel"/>
              </w:rPr>
              <w:t>-</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B023DD" w14:textId="77777777" w:rsidR="000A21A3" w:rsidRPr="000A21A3" w:rsidRDefault="000A21A3" w:rsidP="000A21A3">
            <w:pPr>
              <w:spacing w:after="120"/>
              <w:rPr>
                <w:rFonts w:ascii="Corbel" w:eastAsia="Corbel" w:hAnsi="Corbel" w:cs="Corbel"/>
              </w:rPr>
            </w:pPr>
            <w:r w:rsidRPr="000A21A3">
              <w:rPr>
                <w:rFonts w:ascii="Corbel" w:eastAsia="Corbel" w:hAnsi="Corbel" w:cs="Corbel"/>
              </w:rPr>
              <w:t>-</w:t>
            </w:r>
          </w:p>
        </w:tc>
        <w:tc>
          <w:tcPr>
            <w:tcW w:w="739" w:type="pct"/>
            <w:tcBorders>
              <w:top w:val="single" w:sz="4" w:space="0" w:color="auto"/>
              <w:left w:val="single" w:sz="4" w:space="0" w:color="auto"/>
              <w:bottom w:val="single" w:sz="4" w:space="0" w:color="auto"/>
              <w:right w:val="single" w:sz="4" w:space="0" w:color="auto"/>
            </w:tcBorders>
            <w:vAlign w:val="center"/>
            <w:hideMark/>
          </w:tcPr>
          <w:p w14:paraId="5D5C84A3" w14:textId="77777777" w:rsidR="000A21A3" w:rsidRPr="000A21A3" w:rsidRDefault="000A21A3" w:rsidP="000A21A3">
            <w:pPr>
              <w:spacing w:after="120"/>
              <w:rPr>
                <w:rFonts w:ascii="Corbel" w:eastAsia="Corbel" w:hAnsi="Corbel" w:cs="Corbel"/>
              </w:rPr>
            </w:pPr>
            <w:r w:rsidRPr="000A21A3">
              <w:rPr>
                <w:rFonts w:ascii="Corbel" w:eastAsia="Corbel" w:hAnsi="Corbel" w:cs="Corbel"/>
              </w:rPr>
              <w:t>$3,708,000</w:t>
            </w:r>
          </w:p>
        </w:tc>
      </w:tr>
      <w:tr w:rsidR="000A21A3" w:rsidRPr="000A21A3" w14:paraId="3F595F99" w14:textId="77777777" w:rsidTr="000A21A3">
        <w:tc>
          <w:tcPr>
            <w:tcW w:w="1307" w:type="pct"/>
            <w:tcBorders>
              <w:top w:val="single" w:sz="4" w:space="0" w:color="auto"/>
              <w:left w:val="single" w:sz="4" w:space="0" w:color="auto"/>
              <w:bottom w:val="single" w:sz="4" w:space="0" w:color="auto"/>
              <w:right w:val="single" w:sz="4" w:space="0" w:color="auto"/>
            </w:tcBorders>
            <w:vAlign w:val="center"/>
            <w:hideMark/>
          </w:tcPr>
          <w:p w14:paraId="1BD03C00" w14:textId="77777777" w:rsidR="000A21A3" w:rsidRPr="000A21A3" w:rsidRDefault="000A21A3" w:rsidP="000A21A3">
            <w:pPr>
              <w:spacing w:after="120"/>
              <w:rPr>
                <w:rFonts w:ascii="Corbel" w:eastAsia="Corbel" w:hAnsi="Corbel" w:cs="Corbel"/>
              </w:rPr>
            </w:pPr>
            <w:r w:rsidRPr="000A21A3">
              <w:rPr>
                <w:rFonts w:ascii="Corbel" w:eastAsia="Corbel" w:hAnsi="Corbel" w:cs="Corbel"/>
              </w:rPr>
              <w:t>TAFE Services Fund – Student Support Services</w:t>
            </w:r>
          </w:p>
        </w:tc>
        <w:tc>
          <w:tcPr>
            <w:tcW w:w="739" w:type="pct"/>
            <w:tcBorders>
              <w:top w:val="single" w:sz="4" w:space="0" w:color="auto"/>
              <w:left w:val="single" w:sz="4" w:space="0" w:color="auto"/>
              <w:bottom w:val="single" w:sz="4" w:space="0" w:color="auto"/>
              <w:right w:val="single" w:sz="4" w:space="0" w:color="auto"/>
            </w:tcBorders>
            <w:vAlign w:val="center"/>
            <w:hideMark/>
          </w:tcPr>
          <w:p w14:paraId="1E9A7C8E"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$16,512,000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7A9220A"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$16,512,000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E8B93EE"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$16,512,000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6BB6D113" w14:textId="77777777" w:rsidR="000A21A3" w:rsidRPr="000A21A3" w:rsidRDefault="000A21A3" w:rsidP="000A21A3">
            <w:pPr>
              <w:spacing w:after="120"/>
              <w:rPr>
                <w:rFonts w:ascii="Corbel" w:eastAsia="Corbel" w:hAnsi="Corbel" w:cs="Corbel"/>
              </w:rPr>
            </w:pPr>
            <w:r w:rsidRPr="000A21A3">
              <w:rPr>
                <w:rFonts w:ascii="Corbel" w:eastAsia="Corbel" w:hAnsi="Corbel" w:cs="Corbel"/>
              </w:rPr>
              <w:t>$8,256,000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5F7FA7E8" w14:textId="77777777" w:rsidR="000A21A3" w:rsidRPr="000A21A3" w:rsidRDefault="000A21A3" w:rsidP="000A21A3">
            <w:pPr>
              <w:spacing w:after="120"/>
              <w:rPr>
                <w:rFonts w:ascii="Corbel" w:eastAsia="Corbel" w:hAnsi="Corbel" w:cs="Corbel"/>
              </w:rPr>
            </w:pPr>
            <w:r w:rsidRPr="000A21A3">
              <w:rPr>
                <w:rFonts w:ascii="Corbel" w:eastAsia="Corbel" w:hAnsi="Corbel" w:cs="Corbel"/>
              </w:rPr>
              <w:t>$57,792,000</w:t>
            </w:r>
          </w:p>
        </w:tc>
      </w:tr>
      <w:tr w:rsidR="000A21A3" w:rsidRPr="000A21A3" w14:paraId="16B262F5" w14:textId="77777777" w:rsidTr="000A21A3">
        <w:tc>
          <w:tcPr>
            <w:tcW w:w="1307" w:type="pct"/>
            <w:tcBorders>
              <w:top w:val="single" w:sz="4" w:space="0" w:color="auto"/>
              <w:left w:val="single" w:sz="4" w:space="0" w:color="auto"/>
              <w:bottom w:val="single" w:sz="4" w:space="0" w:color="auto"/>
              <w:right w:val="single" w:sz="4" w:space="0" w:color="auto"/>
            </w:tcBorders>
            <w:vAlign w:val="center"/>
            <w:hideMark/>
          </w:tcPr>
          <w:p w14:paraId="62B55522" w14:textId="77777777" w:rsidR="000A21A3" w:rsidRPr="000A21A3" w:rsidRDefault="000A21A3" w:rsidP="000A21A3">
            <w:pPr>
              <w:spacing w:after="120"/>
              <w:rPr>
                <w:rFonts w:ascii="Corbel" w:eastAsia="Corbel" w:hAnsi="Corbel" w:cs="Corbel"/>
              </w:rPr>
            </w:pPr>
            <w:r w:rsidRPr="000A21A3">
              <w:rPr>
                <w:rFonts w:ascii="Corbel" w:eastAsia="Corbel" w:hAnsi="Corbel" w:cs="Corbel"/>
              </w:rPr>
              <w:t>Total</w:t>
            </w:r>
          </w:p>
        </w:tc>
        <w:tc>
          <w:tcPr>
            <w:tcW w:w="739" w:type="pct"/>
            <w:tcBorders>
              <w:top w:val="single" w:sz="4" w:space="0" w:color="auto"/>
              <w:left w:val="single" w:sz="4" w:space="0" w:color="auto"/>
              <w:bottom w:val="single" w:sz="4" w:space="0" w:color="auto"/>
              <w:right w:val="single" w:sz="4" w:space="0" w:color="auto"/>
            </w:tcBorders>
            <w:vAlign w:val="center"/>
            <w:hideMark/>
          </w:tcPr>
          <w:p w14:paraId="618FF069"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$18,352,000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6A06DE09"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$18,380,000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480DCB5" w14:textId="77777777" w:rsidR="000A21A3" w:rsidRPr="000A21A3" w:rsidRDefault="000A21A3" w:rsidP="000A21A3">
            <w:pPr>
              <w:spacing w:after="120"/>
              <w:rPr>
                <w:rFonts w:ascii="Corbel" w:eastAsia="Corbel" w:hAnsi="Corbel" w:cs="Corbel"/>
              </w:rPr>
            </w:pPr>
            <w:r w:rsidRPr="000A21A3">
              <w:rPr>
                <w:rFonts w:ascii="Corbel" w:eastAsia="Corbel" w:hAnsi="Corbel" w:cs="Corbel"/>
              </w:rPr>
              <w:t>$16,512,000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7E9FD2A2" w14:textId="77777777" w:rsidR="000A21A3" w:rsidRPr="000A21A3" w:rsidRDefault="000A21A3" w:rsidP="000A21A3">
            <w:pPr>
              <w:spacing w:after="120"/>
              <w:rPr>
                <w:rFonts w:ascii="Corbel" w:eastAsia="Corbel" w:hAnsi="Corbel" w:cs="Corbel"/>
              </w:rPr>
            </w:pPr>
            <w:r w:rsidRPr="000A21A3">
              <w:rPr>
                <w:rFonts w:ascii="Corbel" w:eastAsia="Corbel" w:hAnsi="Corbel" w:cs="Corbel"/>
              </w:rPr>
              <w:t>$8,256,000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54608A9C" w14:textId="77777777" w:rsidR="000A21A3" w:rsidRPr="000A21A3" w:rsidRDefault="000A21A3" w:rsidP="000A21A3">
            <w:pPr>
              <w:spacing w:after="120"/>
              <w:rPr>
                <w:rFonts w:ascii="Corbel" w:eastAsia="Corbel" w:hAnsi="Corbel" w:cs="Corbel"/>
              </w:rPr>
            </w:pPr>
            <w:r w:rsidRPr="000A21A3">
              <w:rPr>
                <w:rFonts w:ascii="Corbel" w:eastAsia="Corbel" w:hAnsi="Corbel" w:cs="Corbel"/>
              </w:rPr>
              <w:t>$61,500,000</w:t>
            </w:r>
          </w:p>
        </w:tc>
      </w:tr>
    </w:tbl>
    <w:p w14:paraId="548B1424" w14:textId="77777777" w:rsidR="000A21A3" w:rsidRPr="000A21A3" w:rsidRDefault="000A21A3" w:rsidP="000A21A3">
      <w:pPr>
        <w:spacing w:after="120"/>
        <w:rPr>
          <w:rFonts w:ascii="Corbel" w:eastAsia="Corbel" w:hAnsi="Corbel" w:cs="Corbel"/>
        </w:rPr>
      </w:pPr>
    </w:p>
    <w:p w14:paraId="76907953" w14:textId="77777777" w:rsidR="000A21A3" w:rsidRPr="000A21A3" w:rsidRDefault="000A21A3" w:rsidP="000A21A3">
      <w:pPr>
        <w:spacing w:after="120"/>
        <w:rPr>
          <w:rFonts w:ascii="Corbel" w:eastAsia="Corbel" w:hAnsi="Corbel" w:cs="Corbel"/>
          <w:i/>
          <w:iCs/>
        </w:rPr>
      </w:pPr>
      <w:r w:rsidRPr="000A21A3">
        <w:rPr>
          <w:rFonts w:ascii="Corbel" w:eastAsia="Corbel" w:hAnsi="Corbel" w:cs="Corbel"/>
          <w:b/>
          <w:i/>
        </w:rPr>
        <w:t xml:space="preserve">Student Support Services provided through the TAFE Services Fund </w:t>
      </w:r>
      <w:r w:rsidRPr="000A21A3">
        <w:rPr>
          <w:rFonts w:ascii="Corbel" w:eastAsia="Corbel" w:hAnsi="Corbel" w:cs="Corbel"/>
          <w:b/>
          <w:bCs/>
          <w:i/>
          <w:iCs/>
        </w:rPr>
        <w:t>(TSF)</w:t>
      </w:r>
    </w:p>
    <w:p w14:paraId="1F8B5399" w14:textId="77777777" w:rsidR="000A21A3" w:rsidRPr="000A21A3" w:rsidRDefault="000A21A3" w:rsidP="000A21A3">
      <w:pPr>
        <w:spacing w:after="120"/>
        <w:rPr>
          <w:rFonts w:ascii="Corbel" w:eastAsia="Corbel" w:hAnsi="Corbel" w:cs="Corbel"/>
        </w:rPr>
      </w:pPr>
      <w:r w:rsidRPr="000A21A3">
        <w:rPr>
          <w:rFonts w:ascii="Corbel" w:eastAsia="Corbel" w:hAnsi="Corbel" w:cs="Corbel"/>
        </w:rPr>
        <w:t xml:space="preserve">Improving student welfare and identifying particular learning needs are essential for enhancing retention rates and reducing withdrawals. Victoria’s TAFE Services Fund (TSF) provides grants to TAFEs to support them to deliver on their role as public providers within the VET training system. The TSF includes a funding stream for student support services, which was allocated $54.2 million in 2024 calendar year alone. Funding detailed above is a proportion of the available funding over the next four years for student support services. Reporting on this funding will acquit Victoria’s co-contribution to the Improved Completions Bilateral Implementation Plan. </w:t>
      </w:r>
    </w:p>
    <w:p w14:paraId="3F12E488" w14:textId="77777777" w:rsidR="000A21A3" w:rsidRPr="000A21A3" w:rsidRDefault="000A21A3" w:rsidP="000A21A3">
      <w:pPr>
        <w:spacing w:after="120"/>
        <w:rPr>
          <w:rFonts w:ascii="Corbel" w:eastAsia="Corbel" w:hAnsi="Corbel" w:cs="Corbel"/>
        </w:rPr>
      </w:pPr>
      <w:r w:rsidRPr="000A21A3">
        <w:rPr>
          <w:rFonts w:ascii="Corbel" w:eastAsia="Corbel" w:hAnsi="Corbel" w:cs="Corbel"/>
        </w:rPr>
        <w:t>Student Support Services funding allows Victoria’s TAFEs to deliver free learning, wellbeing and mental health services to students who need additional support to complete their training and enter the workforce. Services provided through the fund cover a range of areas to support students in completing their training, including:</w:t>
      </w:r>
    </w:p>
    <w:p w14:paraId="52D607FA"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 xml:space="preserve">student wellbeing and welfare </w:t>
      </w:r>
    </w:p>
    <w:p w14:paraId="77FCE21A"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 xml:space="preserve">study and learning support, including with literacy and numeracy </w:t>
      </w:r>
    </w:p>
    <w:p w14:paraId="3B7AE8F2"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 xml:space="preserve">training, career and pathway support </w:t>
      </w:r>
    </w:p>
    <w:p w14:paraId="75475C29" w14:textId="77777777" w:rsidR="000A21A3" w:rsidRPr="000A21A3" w:rsidRDefault="000A21A3" w:rsidP="000A21A3">
      <w:pPr>
        <w:spacing w:after="120"/>
        <w:rPr>
          <w:rFonts w:ascii="Corbel" w:eastAsia="Corbel" w:hAnsi="Corbel" w:cs="Corbel"/>
        </w:rPr>
      </w:pPr>
      <w:r w:rsidRPr="000A21A3">
        <w:rPr>
          <w:rFonts w:ascii="Corbel" w:eastAsia="Corbel" w:hAnsi="Corbel" w:cs="Corbel"/>
        </w:rPr>
        <w:lastRenderedPageBreak/>
        <w:t xml:space="preserve">The support services follow best practice and are refined annually, tailored to address the needs of both incoming and continuing students. The Victorian Government monitors the performance of these initiatives through completion rates and student feedback of the program. </w:t>
      </w:r>
    </w:p>
    <w:p w14:paraId="4DA77F57" w14:textId="77777777" w:rsidR="000A21A3" w:rsidRPr="000A21A3" w:rsidRDefault="000A21A3" w:rsidP="000A21A3">
      <w:pPr>
        <w:spacing w:after="120"/>
        <w:rPr>
          <w:rFonts w:ascii="Corbel" w:eastAsia="Corbel" w:hAnsi="Corbel" w:cs="Corbel"/>
          <w:i/>
        </w:rPr>
      </w:pPr>
      <w:r w:rsidRPr="000A21A3">
        <w:rPr>
          <w:rFonts w:ascii="Corbel" w:eastAsia="Corbel" w:hAnsi="Corbel" w:cs="Corbel"/>
          <w:b/>
          <w:i/>
        </w:rPr>
        <w:t>Disability Transition Support Officers</w:t>
      </w:r>
    </w:p>
    <w:p w14:paraId="2DCCFC8E" w14:textId="77777777" w:rsidR="000A21A3" w:rsidRPr="000A21A3" w:rsidRDefault="000A21A3" w:rsidP="000A21A3">
      <w:pPr>
        <w:spacing w:after="120"/>
        <w:rPr>
          <w:rFonts w:ascii="Corbel" w:eastAsia="Corbel" w:hAnsi="Corbel" w:cs="Corbel"/>
        </w:rPr>
      </w:pPr>
      <w:r w:rsidRPr="000A21A3">
        <w:rPr>
          <w:rFonts w:ascii="Corbel" w:eastAsia="Corbel" w:hAnsi="Corbel" w:cs="Corbel"/>
        </w:rPr>
        <w:t>Disability Transition Officers came into effect January 2024 and Victoria asserts this should be considered new appropriation for the purposes of NSA matched funding requirements. The employment of Disability Transition Support Officers across the Victorian TAFE Network is a key initiative to help learners with disability and additional needs access and transition more effectively from secondary school (including specialist schools and alternate education settings) to TAFE. Supports include:</w:t>
      </w:r>
    </w:p>
    <w:p w14:paraId="2C01A629"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Guiding students through the enrolment process and troubleshooting any difficulties.</w:t>
      </w:r>
    </w:p>
    <w:p w14:paraId="56502CD0"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 xml:space="preserve">Helping students understand TAFE systems, their rights, and how reasonable adjustments work in a TAFE context. </w:t>
      </w:r>
    </w:p>
    <w:p w14:paraId="5CD4110F" w14:textId="77777777" w:rsidR="000A21A3" w:rsidRPr="000A21A3" w:rsidRDefault="000A21A3" w:rsidP="000A21A3">
      <w:pPr>
        <w:pStyle w:val="ListParagraph"/>
        <w:numPr>
          <w:ilvl w:val="0"/>
          <w:numId w:val="7"/>
        </w:numPr>
        <w:spacing w:after="120" w:line="240" w:lineRule="auto"/>
        <w:rPr>
          <w:rFonts w:ascii="Corbel" w:hAnsi="Corbel"/>
        </w:rPr>
      </w:pPr>
      <w:r w:rsidRPr="000A21A3">
        <w:rPr>
          <w:rFonts w:ascii="Corbel" w:hAnsi="Corbel"/>
        </w:rPr>
        <w:t xml:space="preserve">Offering wrap-around support and partnering with other TAFE support units, including First Nations student teams, to provide coordinated support. </w:t>
      </w:r>
    </w:p>
    <w:p w14:paraId="4E9F630F" w14:textId="77777777" w:rsidR="000A21A3" w:rsidRPr="000A21A3" w:rsidRDefault="000A21A3" w:rsidP="000A21A3">
      <w:pPr>
        <w:spacing w:after="120"/>
        <w:rPr>
          <w:rFonts w:ascii="Corbel" w:eastAsia="Corbel" w:hAnsi="Corbel" w:cs="Corbel"/>
        </w:rPr>
      </w:pPr>
      <w:r w:rsidRPr="000A21A3">
        <w:rPr>
          <w:rFonts w:ascii="Corbel" w:eastAsia="Corbel" w:hAnsi="Corbel" w:cs="Corbel"/>
        </w:rPr>
        <w:t>This additional support can help ensure more equitable training outcomes and better completion rates for young learners with disabilities.</w:t>
      </w:r>
    </w:p>
    <w:p w14:paraId="53A824E5" w14:textId="77777777" w:rsidR="000A21A3" w:rsidRPr="000A21A3" w:rsidRDefault="000A21A3" w:rsidP="000A21A3">
      <w:pPr>
        <w:spacing w:after="120"/>
        <w:rPr>
          <w:rFonts w:ascii="Corbel" w:eastAsia="Corbel" w:hAnsi="Corbel" w:cs="Corbel"/>
        </w:rPr>
      </w:pPr>
      <w:r w:rsidRPr="000A21A3">
        <w:rPr>
          <w:rFonts w:ascii="Corbel" w:eastAsia="Corbel" w:hAnsi="Corbel" w:cs="Corbel"/>
        </w:rPr>
        <w:t>The program is available to all members of the Victorian TAFE network, with the Program Coordinator role based at The Gordon TAFE. The contracts with each TAFE stipulate common duties, use of shared practice resources and active participation in a network community of practice. Participating TAFEs also provide periodic reports quantifying the use of this service and its outcomes.</w:t>
      </w:r>
    </w:p>
    <w:p w14:paraId="33801847" w14:textId="77777777" w:rsidR="000A21A3" w:rsidRPr="00CB4BB2" w:rsidRDefault="000A21A3" w:rsidP="00DD726A">
      <w:pPr>
        <w:spacing w:after="120"/>
        <w:rPr>
          <w:rFonts w:ascii="Corbel" w:eastAsia="Corbel" w:hAnsi="Corbel" w:cs="Corbel"/>
        </w:rPr>
        <w:sectPr w:rsidR="000A21A3" w:rsidRPr="00CB4BB2" w:rsidSect="000323DC">
          <w:headerReference w:type="even"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430290B" w14:textId="07994D8A" w:rsidR="000323DC" w:rsidRPr="00CB4BB2" w:rsidRDefault="000323DC" w:rsidP="00CB4BB2">
      <w:pPr>
        <w:pStyle w:val="ImplementationPlan1"/>
        <w:keepNext/>
        <w:numPr>
          <w:ilvl w:val="0"/>
          <w:numId w:val="0"/>
        </w:numPr>
        <w:spacing w:after="240"/>
        <w:outlineLvl w:val="1"/>
      </w:pPr>
      <w:r w:rsidRPr="00CB4BB2">
        <w:lastRenderedPageBreak/>
        <w:t>Milestones and payments</w:t>
      </w:r>
      <w:r w:rsidR="006E4E10">
        <w:t xml:space="preserve"> </w:t>
      </w:r>
      <w:r w:rsidRPr="00CB4BB2">
        <w:t>– IMPROVED COMPLETIONS</w:t>
      </w:r>
    </w:p>
    <w:tbl>
      <w:tblPr>
        <w:tblStyle w:val="TableGrid"/>
        <w:tblpPr w:leftFromText="180" w:rightFromText="180" w:vertAnchor="text" w:tblpY="1"/>
        <w:tblOverlap w:val="never"/>
        <w:tblW w:w="5000" w:type="pct"/>
        <w:tblLook w:val="04A0" w:firstRow="1" w:lastRow="0" w:firstColumn="1" w:lastColumn="0" w:noHBand="0" w:noVBand="1"/>
      </w:tblPr>
      <w:tblGrid>
        <w:gridCol w:w="4672"/>
        <w:gridCol w:w="3830"/>
        <w:gridCol w:w="2723"/>
        <w:gridCol w:w="2723"/>
      </w:tblGrid>
      <w:tr w:rsidR="00CF17AE" w:rsidRPr="00CB4BB2" w14:paraId="4860ABB3" w14:textId="77777777" w:rsidTr="5A1ACE45">
        <w:trPr>
          <w:tblHeader/>
        </w:trPr>
        <w:tc>
          <w:tcPr>
            <w:tcW w:w="1675" w:type="pct"/>
          </w:tcPr>
          <w:p w14:paraId="56A36F40" w14:textId="449D68D7" w:rsidR="000323DC" w:rsidRPr="00CB4BB2" w:rsidRDefault="000323DC" w:rsidP="00F43BC1">
            <w:pPr>
              <w:rPr>
                <w:rFonts w:ascii="Corbel" w:hAnsi="Corbel"/>
                <w:b/>
                <w:bCs/>
              </w:rPr>
            </w:pPr>
            <w:r w:rsidRPr="00CB4BB2">
              <w:rPr>
                <w:rFonts w:ascii="Corbel" w:hAnsi="Corbel"/>
                <w:b/>
                <w:bCs/>
              </w:rPr>
              <w:t>Milestone</w:t>
            </w:r>
          </w:p>
        </w:tc>
        <w:tc>
          <w:tcPr>
            <w:tcW w:w="1373" w:type="pct"/>
          </w:tcPr>
          <w:p w14:paraId="56EFC570" w14:textId="71559BBF" w:rsidR="000323DC" w:rsidRPr="00CB4BB2" w:rsidRDefault="000323DC" w:rsidP="00F43BC1">
            <w:pPr>
              <w:rPr>
                <w:rFonts w:ascii="Corbel" w:hAnsi="Corbel"/>
                <w:b/>
                <w:bCs/>
              </w:rPr>
            </w:pPr>
            <w:r w:rsidRPr="00CB4BB2">
              <w:rPr>
                <w:rFonts w:ascii="Corbel" w:hAnsi="Corbel"/>
                <w:b/>
                <w:bCs/>
              </w:rPr>
              <w:t>Evidence</w:t>
            </w:r>
          </w:p>
        </w:tc>
        <w:tc>
          <w:tcPr>
            <w:tcW w:w="976" w:type="pct"/>
          </w:tcPr>
          <w:p w14:paraId="477635B3" w14:textId="2856B1EF" w:rsidR="000323DC" w:rsidRPr="00CB4BB2" w:rsidRDefault="52156D98" w:rsidP="5A1ACE45">
            <w:pPr>
              <w:rPr>
                <w:rFonts w:ascii="Corbel" w:hAnsi="Corbel"/>
                <w:b/>
                <w:bCs/>
              </w:rPr>
            </w:pPr>
            <w:r w:rsidRPr="5A1ACE45">
              <w:rPr>
                <w:rFonts w:ascii="Corbel" w:hAnsi="Corbel"/>
                <w:b/>
                <w:bCs/>
              </w:rPr>
              <w:t>Payment Value Up To (Commonwealth funded)</w:t>
            </w:r>
            <w:r w:rsidR="004F0EF5" w:rsidRPr="5A1ACE45" w:rsidDel="004F0EF5">
              <w:rPr>
                <w:rStyle w:val="FootnoteReference"/>
                <w:rFonts w:ascii="Corbel" w:hAnsi="Corbel"/>
                <w:b/>
                <w:bCs/>
              </w:rPr>
              <w:t xml:space="preserve"> </w:t>
            </w:r>
          </w:p>
        </w:tc>
        <w:tc>
          <w:tcPr>
            <w:tcW w:w="976" w:type="pct"/>
          </w:tcPr>
          <w:p w14:paraId="1CF6EFF8" w14:textId="272AD855" w:rsidR="000323DC" w:rsidRPr="00CB4BB2" w:rsidRDefault="000323DC" w:rsidP="00F43BC1">
            <w:pPr>
              <w:rPr>
                <w:rFonts w:ascii="Corbel" w:hAnsi="Corbel"/>
                <w:b/>
                <w:bCs/>
              </w:rPr>
            </w:pPr>
            <w:r w:rsidRPr="00CB4BB2">
              <w:rPr>
                <w:rFonts w:ascii="Corbel" w:hAnsi="Corbel"/>
                <w:b/>
                <w:bCs/>
              </w:rPr>
              <w:t>Commonwealth reporting period</w:t>
            </w:r>
          </w:p>
        </w:tc>
      </w:tr>
      <w:tr w:rsidR="003B3BDE" w:rsidRPr="00CB4BB2" w14:paraId="57471146" w14:textId="77777777" w:rsidTr="5A1ACE45">
        <w:tc>
          <w:tcPr>
            <w:tcW w:w="1675" w:type="pct"/>
          </w:tcPr>
          <w:p w14:paraId="3FA7CB1E" w14:textId="62477AED" w:rsidR="003B3BDE" w:rsidRPr="00CB4BB2" w:rsidRDefault="003B3BDE" w:rsidP="003B3BDE">
            <w:pPr>
              <w:rPr>
                <w:rFonts w:ascii="Corbel" w:hAnsi="Corbel"/>
                <w:sz w:val="20"/>
                <w:szCs w:val="20"/>
              </w:rPr>
            </w:pPr>
            <w:r w:rsidRPr="00CB4BB2">
              <w:rPr>
                <w:rFonts w:ascii="Corbel" w:hAnsi="Corbel" w:cstheme="minorHAnsi"/>
                <w:b/>
                <w:sz w:val="20"/>
                <w:szCs w:val="20"/>
              </w:rPr>
              <w:t>Milestone 1</w:t>
            </w:r>
            <w:r w:rsidRPr="00CB4BB2">
              <w:rPr>
                <w:rFonts w:ascii="Corbel" w:hAnsi="Corbel" w:cstheme="minorHAnsi"/>
                <w:b/>
                <w:bCs/>
                <w:sz w:val="20"/>
                <w:szCs w:val="20"/>
              </w:rPr>
              <w:t>.</w:t>
            </w:r>
            <w:r w:rsidRPr="00CB4BB2">
              <w:rPr>
                <w:rFonts w:ascii="Corbel" w:hAnsi="Corbel" w:cstheme="minorHAnsi"/>
                <w:sz w:val="20"/>
                <w:szCs w:val="20"/>
              </w:rPr>
              <w:t xml:space="preserve"> Initial payment on agreement of bilateral implementation plan (June 2025)</w:t>
            </w:r>
          </w:p>
        </w:tc>
        <w:tc>
          <w:tcPr>
            <w:tcW w:w="1373" w:type="pct"/>
          </w:tcPr>
          <w:p w14:paraId="6B43D001" w14:textId="77777777" w:rsidR="003B3BDE" w:rsidRPr="00CB4BB2" w:rsidRDefault="003B3BDE" w:rsidP="003B3BDE">
            <w:pPr>
              <w:rPr>
                <w:rFonts w:ascii="Corbel" w:hAnsi="Corbel" w:cstheme="minorHAnsi"/>
                <w:sz w:val="20"/>
                <w:szCs w:val="20"/>
              </w:rPr>
            </w:pPr>
            <w:r w:rsidRPr="00CB4BB2">
              <w:rPr>
                <w:rFonts w:ascii="Corbel" w:hAnsi="Corbel" w:cstheme="minorHAnsi"/>
                <w:sz w:val="20"/>
                <w:szCs w:val="20"/>
              </w:rPr>
              <w:t>1: Bilateral implementation plan agreed with Commonwealth</w:t>
            </w:r>
          </w:p>
          <w:p w14:paraId="53F86145" w14:textId="77777777" w:rsidR="003B3BDE" w:rsidRPr="00CB4BB2" w:rsidRDefault="003B3BDE" w:rsidP="003B3BDE">
            <w:pPr>
              <w:rPr>
                <w:rFonts w:ascii="Corbel" w:hAnsi="Corbel"/>
                <w:sz w:val="20"/>
                <w:szCs w:val="20"/>
              </w:rPr>
            </w:pPr>
          </w:p>
        </w:tc>
        <w:tc>
          <w:tcPr>
            <w:tcW w:w="976" w:type="pct"/>
          </w:tcPr>
          <w:p w14:paraId="238FA483" w14:textId="77777777" w:rsidR="003B3BDE" w:rsidRPr="00CB4BB2" w:rsidRDefault="003B3BDE" w:rsidP="003B3BDE">
            <w:pPr>
              <w:rPr>
                <w:rFonts w:ascii="Corbel" w:hAnsi="Corbel" w:cstheme="minorHAnsi"/>
                <w:color w:val="000000" w:themeColor="text1"/>
                <w:sz w:val="20"/>
                <w:szCs w:val="20"/>
              </w:rPr>
            </w:pPr>
            <w:r w:rsidRPr="00CB4BB2">
              <w:rPr>
                <w:rFonts w:ascii="Corbel" w:hAnsi="Corbel" w:cstheme="minorHAnsi"/>
                <w:b/>
                <w:bCs/>
                <w:color w:val="000000" w:themeColor="text1"/>
                <w:sz w:val="20"/>
                <w:szCs w:val="20"/>
              </w:rPr>
              <w:t>1:</w:t>
            </w:r>
            <w:r w:rsidRPr="00CB4BB2">
              <w:rPr>
                <w:rFonts w:ascii="Corbel" w:hAnsi="Corbel" w:cstheme="minorHAnsi"/>
                <w:color w:val="000000" w:themeColor="text1"/>
                <w:sz w:val="20"/>
                <w:szCs w:val="20"/>
              </w:rPr>
              <w:t xml:space="preserve"> $6.15 million</w:t>
            </w:r>
          </w:p>
          <w:p w14:paraId="20501C8A" w14:textId="77777777" w:rsidR="003B3BDE" w:rsidRPr="00CB4BB2" w:rsidRDefault="003B3BDE" w:rsidP="003B3BDE">
            <w:pPr>
              <w:rPr>
                <w:rFonts w:ascii="Corbel" w:hAnsi="Corbel"/>
                <w:sz w:val="20"/>
                <w:szCs w:val="20"/>
              </w:rPr>
            </w:pPr>
          </w:p>
        </w:tc>
        <w:tc>
          <w:tcPr>
            <w:tcW w:w="976" w:type="pct"/>
          </w:tcPr>
          <w:p w14:paraId="3C63AF40" w14:textId="5CC74EE8" w:rsidR="003B3BDE" w:rsidRPr="00CB4BB2" w:rsidRDefault="003B3BDE" w:rsidP="003B3BDE">
            <w:pPr>
              <w:rPr>
                <w:rFonts w:ascii="Corbel" w:hAnsi="Corbel"/>
                <w:sz w:val="20"/>
                <w:szCs w:val="20"/>
              </w:rPr>
            </w:pPr>
            <w:r w:rsidRPr="00CB4BB2">
              <w:rPr>
                <w:rFonts w:ascii="Corbel" w:hAnsi="Corbel"/>
                <w:sz w:val="20"/>
                <w:szCs w:val="20"/>
              </w:rPr>
              <w:t>N/A</w:t>
            </w:r>
          </w:p>
        </w:tc>
      </w:tr>
      <w:tr w:rsidR="003B3BDE" w:rsidRPr="00CB4BB2" w14:paraId="40EC4CA8" w14:textId="77777777" w:rsidTr="5A1ACE45">
        <w:trPr>
          <w:trHeight w:val="1104"/>
        </w:trPr>
        <w:tc>
          <w:tcPr>
            <w:tcW w:w="1675" w:type="pct"/>
          </w:tcPr>
          <w:p w14:paraId="55D56759" w14:textId="77777777" w:rsidR="003B3BDE" w:rsidRPr="00CB4BB2" w:rsidRDefault="265A7E24" w:rsidP="5A1ACE45">
            <w:pPr>
              <w:spacing w:after="120"/>
              <w:rPr>
                <w:rFonts w:ascii="Corbel" w:hAnsi="Corbel"/>
                <w:color w:val="000000" w:themeColor="text1"/>
                <w:sz w:val="20"/>
                <w:szCs w:val="20"/>
              </w:rPr>
            </w:pPr>
            <w:r w:rsidRPr="5A1ACE45">
              <w:rPr>
                <w:rFonts w:ascii="Corbel" w:hAnsi="Corbel"/>
                <w:b/>
                <w:bCs/>
                <w:color w:val="000000" w:themeColor="text1"/>
                <w:sz w:val="20"/>
                <w:szCs w:val="20"/>
              </w:rPr>
              <w:t>Milestone 2.</w:t>
            </w:r>
            <w:r w:rsidRPr="5A1ACE45">
              <w:rPr>
                <w:rFonts w:ascii="Corbel" w:hAnsi="Corbel"/>
                <w:color w:val="000000" w:themeColor="text1"/>
                <w:sz w:val="20"/>
                <w:szCs w:val="20"/>
              </w:rPr>
              <w:t xml:space="preserve">  Commonwealth acceptance of 2025-2026 implementation milestones for measures to improve VET completions.</w:t>
            </w:r>
          </w:p>
          <w:p w14:paraId="76EA928D" w14:textId="77777777" w:rsidR="003B3BDE" w:rsidRPr="00CB4BB2" w:rsidRDefault="265A7E24" w:rsidP="5A1ACE45">
            <w:pPr>
              <w:spacing w:after="120"/>
              <w:rPr>
                <w:rFonts w:ascii="Corbel" w:hAnsi="Corbel"/>
                <w:color w:val="000000" w:themeColor="text1"/>
                <w:sz w:val="20"/>
                <w:szCs w:val="20"/>
              </w:rPr>
            </w:pPr>
            <w:r w:rsidRPr="5A1ACE45">
              <w:rPr>
                <w:rFonts w:ascii="Corbel" w:hAnsi="Corbel"/>
                <w:color w:val="000000" w:themeColor="text1"/>
                <w:sz w:val="20"/>
                <w:szCs w:val="20"/>
              </w:rPr>
              <w:t>This will include performance indicators for existing measures, timelines and sequencing of future initiatives as well as evaluation arrangements over the remainder of the NSA.</w:t>
            </w:r>
          </w:p>
          <w:p w14:paraId="20052788"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color w:val="000000" w:themeColor="text1"/>
                <w:sz w:val="20"/>
                <w:szCs w:val="20"/>
              </w:rPr>
              <w:t>Specific milestones include:</w:t>
            </w:r>
          </w:p>
          <w:p w14:paraId="00CA4D13" w14:textId="7A3AFC5C" w:rsidR="003B3BDE" w:rsidRPr="00CB4BB2" w:rsidRDefault="265A7E24" w:rsidP="5A1ACE45">
            <w:pPr>
              <w:pStyle w:val="ListParagraph"/>
              <w:numPr>
                <w:ilvl w:val="0"/>
                <w:numId w:val="8"/>
              </w:numPr>
              <w:spacing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Commencement of CRM students at-risk module at select TAFEs (Stage 1)</w:t>
            </w:r>
          </w:p>
          <w:p w14:paraId="6BFB7C02" w14:textId="77777777" w:rsidR="003B3BDE" w:rsidRPr="00CB4BB2" w:rsidRDefault="265A7E24" w:rsidP="5A1ACE45">
            <w:pPr>
              <w:pStyle w:val="ListParagraph"/>
              <w:numPr>
                <w:ilvl w:val="0"/>
                <w:numId w:val="16"/>
              </w:numPr>
              <w:spacing w:line="240" w:lineRule="auto"/>
              <w:rPr>
                <w:rFonts w:ascii="Corbel" w:hAnsi="Corbel"/>
                <w:color w:val="000000" w:themeColor="text1"/>
                <w:sz w:val="20"/>
                <w:szCs w:val="20"/>
              </w:rPr>
            </w:pPr>
            <w:r w:rsidRPr="5A1ACE45">
              <w:rPr>
                <w:rFonts w:ascii="Corbel" w:hAnsi="Corbel"/>
                <w:color w:val="000000" w:themeColor="text1"/>
                <w:sz w:val="20"/>
                <w:szCs w:val="20"/>
              </w:rPr>
              <w:t>Submission of detailed project plan including scope, timelines and sequencing of deployment at selected TAFEs.</w:t>
            </w:r>
          </w:p>
          <w:p w14:paraId="29D15C14" w14:textId="77777777" w:rsidR="003B3BDE" w:rsidRPr="00CB4BB2" w:rsidRDefault="265A7E24" w:rsidP="5A1ACE45">
            <w:pPr>
              <w:pStyle w:val="ListParagraph"/>
              <w:numPr>
                <w:ilvl w:val="0"/>
                <w:numId w:val="8"/>
              </w:numPr>
              <w:spacing w:after="120"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 xml:space="preserve">Report on level of delivery of existing student support services and additional wrap-around support services to the target cohort. </w:t>
            </w:r>
          </w:p>
          <w:p w14:paraId="5FC63A50" w14:textId="77777777" w:rsidR="003B3BDE" w:rsidRPr="00CB4BB2" w:rsidRDefault="003B3BDE" w:rsidP="003B3BDE">
            <w:pPr>
              <w:pStyle w:val="ListParagraph"/>
              <w:numPr>
                <w:ilvl w:val="0"/>
                <w:numId w:val="8"/>
              </w:numPr>
              <w:spacing w:after="120"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 xml:space="preserve">Raising Expectations: Contract execution between DJSIR and the provider organisation. </w:t>
            </w:r>
          </w:p>
          <w:p w14:paraId="52B8011A" w14:textId="77777777" w:rsidR="003B3BDE" w:rsidRPr="00CB4BB2" w:rsidRDefault="003B3BDE" w:rsidP="003B3BDE">
            <w:pPr>
              <w:pStyle w:val="ListParagraph"/>
              <w:numPr>
                <w:ilvl w:val="0"/>
                <w:numId w:val="16"/>
              </w:numPr>
              <w:spacing w:line="240" w:lineRule="auto"/>
              <w:rPr>
                <w:rFonts w:ascii="Corbel" w:hAnsi="Corbel"/>
                <w:color w:val="000000" w:themeColor="text1"/>
                <w:sz w:val="20"/>
                <w:szCs w:val="20"/>
              </w:rPr>
            </w:pPr>
            <w:r w:rsidRPr="00CB4BB2">
              <w:rPr>
                <w:rFonts w:ascii="Corbel" w:hAnsi="Corbel"/>
                <w:color w:val="000000" w:themeColor="text1"/>
                <w:sz w:val="20"/>
                <w:szCs w:val="20"/>
              </w:rPr>
              <w:t>Submission of project plan and implementation documentation.</w:t>
            </w:r>
          </w:p>
          <w:p w14:paraId="360BA1D5" w14:textId="780F2DD1" w:rsidR="003B3BDE" w:rsidRPr="00CB4BB2" w:rsidRDefault="265A7E24" w:rsidP="5A1ACE45">
            <w:pPr>
              <w:pStyle w:val="ListParagraph"/>
              <w:numPr>
                <w:ilvl w:val="0"/>
                <w:numId w:val="8"/>
              </w:numPr>
              <w:spacing w:after="120"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LNSUPPORT performance measures including additional apprentice commencements and anticipated and actual student uptake over 2025 calendar year.</w:t>
            </w:r>
          </w:p>
        </w:tc>
        <w:tc>
          <w:tcPr>
            <w:tcW w:w="1373" w:type="pct"/>
          </w:tcPr>
          <w:p w14:paraId="2C25E8FF" w14:textId="6284B258" w:rsidR="00D35D3A" w:rsidRPr="00D35D3A" w:rsidRDefault="265A7E24" w:rsidP="5A1ACE45">
            <w:pPr>
              <w:rPr>
                <w:rFonts w:ascii="Corbel" w:hAnsi="Corbel" w:cs="Calibri"/>
                <w:color w:val="000000" w:themeColor="text1"/>
                <w:sz w:val="20"/>
                <w:szCs w:val="20"/>
              </w:rPr>
            </w:pPr>
            <w:r w:rsidRPr="5A1ACE45">
              <w:rPr>
                <w:rFonts w:ascii="Corbel" w:hAnsi="Corbel" w:cs="Calibri"/>
                <w:color w:val="000000" w:themeColor="text1"/>
                <w:sz w:val="20"/>
                <w:szCs w:val="20"/>
              </w:rPr>
              <w:t xml:space="preserve">2.Report signed by relevant Victorian senior official providing status of implementation of all completions initiatives. </w:t>
            </w:r>
            <w:r w:rsidR="6371A61E" w:rsidRPr="5A1ACE45">
              <w:rPr>
                <w:rFonts w:ascii="Corbel" w:hAnsi="Corbel" w:cs="Calibri"/>
                <w:color w:val="000000" w:themeColor="text1"/>
                <w:sz w:val="20"/>
                <w:szCs w:val="20"/>
              </w:rPr>
              <w:t xml:space="preserve"> This includes:</w:t>
            </w:r>
          </w:p>
          <w:p w14:paraId="45684478" w14:textId="77777777" w:rsidR="00D35D3A" w:rsidRPr="00D35D3A" w:rsidRDefault="00D35D3A" w:rsidP="00D35D3A">
            <w:pPr>
              <w:numPr>
                <w:ilvl w:val="0"/>
                <w:numId w:val="26"/>
              </w:numPr>
              <w:rPr>
                <w:rFonts w:ascii="Corbel" w:hAnsi="Corbel" w:cs="Calibri"/>
                <w:color w:val="000000" w:themeColor="text1"/>
                <w:sz w:val="20"/>
                <w:szCs w:val="20"/>
              </w:rPr>
            </w:pPr>
            <w:r w:rsidRPr="00D35D3A">
              <w:rPr>
                <w:rFonts w:ascii="Corbel" w:hAnsi="Corbel" w:cs="Calibri"/>
                <w:color w:val="000000" w:themeColor="text1"/>
                <w:sz w:val="20"/>
                <w:szCs w:val="20"/>
              </w:rPr>
              <w:t>The CRM detailed project plan</w:t>
            </w:r>
          </w:p>
          <w:p w14:paraId="4C179486" w14:textId="77777777" w:rsidR="00D35D3A" w:rsidRPr="00D35D3A" w:rsidRDefault="6371A61E" w:rsidP="5A1ACE45">
            <w:pPr>
              <w:numPr>
                <w:ilvl w:val="0"/>
                <w:numId w:val="26"/>
              </w:numPr>
              <w:rPr>
                <w:rFonts w:ascii="Corbel" w:hAnsi="Corbel" w:cs="Calibri"/>
                <w:color w:val="000000" w:themeColor="text1"/>
                <w:sz w:val="20"/>
                <w:szCs w:val="20"/>
              </w:rPr>
            </w:pPr>
            <w:r w:rsidRPr="5A1ACE45">
              <w:rPr>
                <w:rFonts w:ascii="Corbel" w:hAnsi="Corbel" w:cs="Calibri"/>
                <w:color w:val="000000" w:themeColor="text1"/>
                <w:sz w:val="20"/>
                <w:szCs w:val="20"/>
              </w:rPr>
              <w:t>Report on delivery of existing student support services and additional wrap-around support services to the target cohort</w:t>
            </w:r>
          </w:p>
          <w:p w14:paraId="3FA9A5DB" w14:textId="77777777" w:rsidR="00D35D3A" w:rsidRPr="00D35D3A" w:rsidRDefault="00D35D3A" w:rsidP="00D35D3A">
            <w:pPr>
              <w:numPr>
                <w:ilvl w:val="0"/>
                <w:numId w:val="26"/>
              </w:numPr>
              <w:rPr>
                <w:rFonts w:ascii="Corbel" w:hAnsi="Corbel" w:cs="Calibri"/>
                <w:color w:val="000000" w:themeColor="text1"/>
                <w:sz w:val="20"/>
                <w:szCs w:val="20"/>
              </w:rPr>
            </w:pPr>
            <w:r w:rsidRPr="00D35D3A">
              <w:rPr>
                <w:rFonts w:ascii="Corbel" w:hAnsi="Corbel" w:cs="Calibri"/>
                <w:color w:val="000000" w:themeColor="text1"/>
                <w:sz w:val="20"/>
                <w:szCs w:val="20"/>
              </w:rPr>
              <w:t>Raising Expectations implementation documentation</w:t>
            </w:r>
          </w:p>
          <w:p w14:paraId="6A4C9FD8" w14:textId="77777777" w:rsidR="00D35D3A" w:rsidRPr="00D35D3A" w:rsidRDefault="00D35D3A" w:rsidP="00D35D3A">
            <w:pPr>
              <w:numPr>
                <w:ilvl w:val="0"/>
                <w:numId w:val="26"/>
              </w:numPr>
              <w:rPr>
                <w:rFonts w:ascii="Corbel" w:hAnsi="Corbel" w:cs="Calibri"/>
                <w:color w:val="000000" w:themeColor="text1"/>
                <w:sz w:val="20"/>
                <w:szCs w:val="20"/>
              </w:rPr>
            </w:pPr>
            <w:r w:rsidRPr="00D35D3A">
              <w:rPr>
                <w:rFonts w:ascii="Corbel" w:hAnsi="Corbel" w:cs="Calibri"/>
                <w:color w:val="000000" w:themeColor="text1"/>
                <w:sz w:val="20"/>
                <w:szCs w:val="20"/>
              </w:rPr>
              <w:t xml:space="preserve">LNSUPPORT performance measures </w:t>
            </w:r>
          </w:p>
          <w:p w14:paraId="795D8FED" w14:textId="189D00C8" w:rsidR="003B3BDE" w:rsidRPr="00CB4BB2" w:rsidRDefault="003B3BDE" w:rsidP="2BB40FD4">
            <w:pPr>
              <w:rPr>
                <w:rFonts w:ascii="Corbel" w:hAnsi="Corbel" w:cs="Calibri"/>
                <w:color w:val="000000" w:themeColor="text1"/>
                <w:sz w:val="20"/>
                <w:szCs w:val="20"/>
              </w:rPr>
            </w:pPr>
          </w:p>
          <w:p w14:paraId="1567719C" w14:textId="77777777" w:rsidR="003B3BDE" w:rsidRPr="00CB4BB2" w:rsidRDefault="003B3BDE" w:rsidP="003B3BDE">
            <w:pPr>
              <w:rPr>
                <w:rFonts w:ascii="Corbel" w:hAnsi="Corbel" w:cs="Calibri"/>
                <w:color w:val="000000" w:themeColor="text1"/>
                <w:sz w:val="20"/>
                <w:szCs w:val="20"/>
              </w:rPr>
            </w:pPr>
          </w:p>
          <w:p w14:paraId="3204BB4F" w14:textId="59912CBD" w:rsidR="003B3BDE" w:rsidRPr="00CB4BB2" w:rsidRDefault="003B3BDE" w:rsidP="003B3BDE">
            <w:pPr>
              <w:rPr>
                <w:rFonts w:ascii="Corbel" w:hAnsi="Corbel" w:cs="Calibri"/>
                <w:color w:val="000000" w:themeColor="text1"/>
                <w:sz w:val="20"/>
                <w:szCs w:val="20"/>
              </w:rPr>
            </w:pPr>
          </w:p>
        </w:tc>
        <w:tc>
          <w:tcPr>
            <w:tcW w:w="976" w:type="pct"/>
          </w:tcPr>
          <w:p w14:paraId="3C7E208C" w14:textId="77777777" w:rsidR="003B3BDE" w:rsidRPr="00CB4BB2" w:rsidRDefault="003B3BDE" w:rsidP="003B3BDE">
            <w:pPr>
              <w:rPr>
                <w:rFonts w:ascii="Corbel" w:hAnsi="Corbel"/>
                <w:color w:val="000000" w:themeColor="text1"/>
                <w:sz w:val="20"/>
                <w:szCs w:val="20"/>
              </w:rPr>
            </w:pPr>
            <w:r w:rsidRPr="00CB4BB2">
              <w:rPr>
                <w:rFonts w:ascii="Corbel" w:hAnsi="Corbel"/>
                <w:b/>
                <w:bCs/>
                <w:color w:val="000000" w:themeColor="text1"/>
                <w:sz w:val="20"/>
                <w:szCs w:val="20"/>
              </w:rPr>
              <w:t>2:</w:t>
            </w:r>
            <w:r w:rsidRPr="00CB4BB2">
              <w:rPr>
                <w:rFonts w:ascii="Corbel" w:hAnsi="Corbel"/>
                <w:color w:val="000000" w:themeColor="text1"/>
                <w:sz w:val="20"/>
                <w:szCs w:val="20"/>
              </w:rPr>
              <w:t xml:space="preserve">  $1</w:t>
            </w:r>
            <w:r>
              <w:rPr>
                <w:rFonts w:ascii="Corbel" w:hAnsi="Corbel"/>
                <w:color w:val="000000" w:themeColor="text1"/>
                <w:sz w:val="20"/>
                <w:szCs w:val="20"/>
              </w:rPr>
              <w:t>2</w:t>
            </w:r>
            <w:r w:rsidRPr="00CB4BB2">
              <w:rPr>
                <w:rFonts w:ascii="Corbel" w:hAnsi="Corbel"/>
                <w:color w:val="000000" w:themeColor="text1"/>
                <w:sz w:val="20"/>
                <w:szCs w:val="20"/>
              </w:rPr>
              <w:t>.3</w:t>
            </w:r>
            <w:r>
              <w:rPr>
                <w:rFonts w:ascii="Corbel" w:hAnsi="Corbel"/>
                <w:color w:val="000000" w:themeColor="text1"/>
                <w:sz w:val="20"/>
                <w:szCs w:val="20"/>
              </w:rPr>
              <w:t>79</w:t>
            </w:r>
            <w:r w:rsidRPr="00CB4BB2">
              <w:rPr>
                <w:rFonts w:ascii="Corbel" w:hAnsi="Corbel"/>
                <w:color w:val="000000" w:themeColor="text1"/>
                <w:sz w:val="20"/>
                <w:szCs w:val="20"/>
              </w:rPr>
              <w:t xml:space="preserve"> million consisting of:</w:t>
            </w:r>
          </w:p>
          <w:p w14:paraId="4DB38183"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CRM - $1.</w:t>
            </w:r>
            <w:r>
              <w:rPr>
                <w:rFonts w:ascii="Corbel" w:hAnsi="Corbel"/>
                <w:color w:val="000000" w:themeColor="text1"/>
                <w:sz w:val="20"/>
                <w:szCs w:val="20"/>
              </w:rPr>
              <w:t>48</w:t>
            </w:r>
            <w:r w:rsidRPr="00CB4BB2">
              <w:rPr>
                <w:rFonts w:ascii="Corbel" w:hAnsi="Corbel"/>
                <w:color w:val="000000" w:themeColor="text1"/>
                <w:sz w:val="20"/>
                <w:szCs w:val="20"/>
              </w:rPr>
              <w:t xml:space="preserve"> million</w:t>
            </w:r>
          </w:p>
          <w:p w14:paraId="7A7C5295"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LNSUPPORT- $</w:t>
            </w:r>
            <w:r>
              <w:rPr>
                <w:rFonts w:ascii="Corbel" w:hAnsi="Corbel"/>
                <w:color w:val="000000" w:themeColor="text1"/>
                <w:sz w:val="20"/>
                <w:szCs w:val="20"/>
              </w:rPr>
              <w:t>5</w:t>
            </w:r>
            <w:r w:rsidRPr="00CB4BB2">
              <w:rPr>
                <w:rFonts w:ascii="Corbel" w:hAnsi="Corbel"/>
                <w:color w:val="000000" w:themeColor="text1"/>
                <w:sz w:val="20"/>
                <w:szCs w:val="20"/>
              </w:rPr>
              <w:t>.</w:t>
            </w:r>
            <w:r>
              <w:rPr>
                <w:rFonts w:ascii="Corbel" w:hAnsi="Corbel"/>
                <w:color w:val="000000" w:themeColor="text1"/>
                <w:sz w:val="20"/>
                <w:szCs w:val="20"/>
              </w:rPr>
              <w:t>329</w:t>
            </w:r>
            <w:r w:rsidRPr="00CB4BB2">
              <w:rPr>
                <w:rFonts w:ascii="Corbel" w:hAnsi="Corbel"/>
                <w:color w:val="000000" w:themeColor="text1"/>
                <w:sz w:val="20"/>
                <w:szCs w:val="20"/>
              </w:rPr>
              <w:t xml:space="preserve"> million</w:t>
            </w:r>
          </w:p>
          <w:p w14:paraId="0E790FB9"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Wraparound Supports - $</w:t>
            </w:r>
            <w:r>
              <w:rPr>
                <w:rFonts w:ascii="Corbel" w:hAnsi="Corbel"/>
                <w:color w:val="000000" w:themeColor="text1"/>
                <w:sz w:val="20"/>
                <w:szCs w:val="20"/>
              </w:rPr>
              <w:t>5.570</w:t>
            </w:r>
            <w:r w:rsidRPr="00CB4BB2">
              <w:rPr>
                <w:rFonts w:ascii="Corbel" w:hAnsi="Corbel"/>
                <w:color w:val="000000" w:themeColor="text1"/>
                <w:sz w:val="20"/>
                <w:szCs w:val="20"/>
              </w:rPr>
              <w:t xml:space="preserve"> million</w:t>
            </w:r>
          </w:p>
          <w:p w14:paraId="555CEDC5" w14:textId="77777777" w:rsidR="003B3BDE" w:rsidRPr="00CB4BB2" w:rsidRDefault="003B3BDE" w:rsidP="003B3BDE">
            <w:pPr>
              <w:spacing w:line="240" w:lineRule="auto"/>
              <w:rPr>
                <w:rFonts w:ascii="Corbel" w:hAnsi="Corbel"/>
                <w:color w:val="000000" w:themeColor="text1"/>
                <w:sz w:val="20"/>
                <w:szCs w:val="20"/>
              </w:rPr>
            </w:pPr>
          </w:p>
          <w:p w14:paraId="4C1C9797" w14:textId="77777777" w:rsidR="003B3BDE" w:rsidRPr="00CB4BB2" w:rsidRDefault="003B3BDE" w:rsidP="003B3BDE">
            <w:pPr>
              <w:rPr>
                <w:rFonts w:ascii="Corbel" w:hAnsi="Corbel"/>
                <w:color w:val="000000" w:themeColor="text1"/>
                <w:sz w:val="20"/>
                <w:szCs w:val="20"/>
              </w:rPr>
            </w:pPr>
          </w:p>
        </w:tc>
        <w:tc>
          <w:tcPr>
            <w:tcW w:w="976" w:type="pct"/>
          </w:tcPr>
          <w:p w14:paraId="7FF04DF9" w14:textId="5AD89633" w:rsidR="003B3BDE" w:rsidRPr="00CB4BB2" w:rsidRDefault="003B3BDE" w:rsidP="003B3BDE">
            <w:pPr>
              <w:rPr>
                <w:rFonts w:ascii="Corbel" w:hAnsi="Corbel"/>
                <w:color w:val="000000" w:themeColor="text1"/>
                <w:sz w:val="20"/>
                <w:szCs w:val="20"/>
              </w:rPr>
            </w:pPr>
            <w:r w:rsidRPr="00CB4BB2">
              <w:rPr>
                <w:rFonts w:ascii="Corbel" w:hAnsi="Corbel"/>
                <w:color w:val="000000" w:themeColor="text1"/>
                <w:sz w:val="20"/>
                <w:szCs w:val="20"/>
              </w:rPr>
              <w:t>March 2026</w:t>
            </w:r>
          </w:p>
        </w:tc>
      </w:tr>
      <w:tr w:rsidR="003B3BDE" w:rsidRPr="00CB4BB2" w14:paraId="69F55CE1" w14:textId="77777777" w:rsidTr="5A1ACE45">
        <w:tc>
          <w:tcPr>
            <w:tcW w:w="1675" w:type="pct"/>
          </w:tcPr>
          <w:p w14:paraId="0D063824"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b/>
                <w:bCs/>
                <w:color w:val="000000" w:themeColor="text1"/>
                <w:sz w:val="20"/>
                <w:szCs w:val="20"/>
              </w:rPr>
              <w:t>Milestone 3</w:t>
            </w:r>
            <w:r w:rsidRPr="00CB4BB2">
              <w:rPr>
                <w:rFonts w:ascii="Corbel" w:hAnsi="Corbel"/>
                <w:color w:val="000000" w:themeColor="text1"/>
                <w:sz w:val="20"/>
                <w:szCs w:val="20"/>
              </w:rPr>
              <w:t xml:space="preserve">. </w:t>
            </w:r>
          </w:p>
          <w:p w14:paraId="42A47EF1"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color w:val="000000" w:themeColor="text1"/>
                <w:sz w:val="20"/>
                <w:szCs w:val="20"/>
              </w:rPr>
              <w:lastRenderedPageBreak/>
              <w:t>Commonwealth acceptance of CRM implementation progress (Stage 2):</w:t>
            </w:r>
          </w:p>
          <w:p w14:paraId="3BA6B06E" w14:textId="77777777" w:rsidR="003B3BDE" w:rsidRPr="00CB4BB2" w:rsidRDefault="003B3BDE" w:rsidP="003B3BDE">
            <w:pPr>
              <w:pStyle w:val="ListParagraph"/>
              <w:numPr>
                <w:ilvl w:val="0"/>
                <w:numId w:val="8"/>
              </w:numPr>
              <w:spacing w:after="120"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Completion of the CRM students at risk module build in a test environment.</w:t>
            </w:r>
          </w:p>
          <w:p w14:paraId="3ED69310" w14:textId="04CB2D61" w:rsidR="003B3BDE" w:rsidRPr="00CB4BB2" w:rsidRDefault="003B3BDE" w:rsidP="003B3BDE">
            <w:pPr>
              <w:spacing w:after="120" w:line="240" w:lineRule="auto"/>
              <w:rPr>
                <w:rFonts w:ascii="Corbel" w:hAnsi="Corbel"/>
                <w:color w:val="000000" w:themeColor="text1"/>
                <w:sz w:val="20"/>
                <w:szCs w:val="20"/>
              </w:rPr>
            </w:pPr>
            <w:r w:rsidRPr="00CB4BB2">
              <w:rPr>
                <w:rFonts w:ascii="Corbel" w:hAnsi="Corbel"/>
                <w:color w:val="000000" w:themeColor="text1"/>
                <w:sz w:val="20"/>
                <w:szCs w:val="20"/>
              </w:rPr>
              <w:t>Commonwealth acceptance of 2026 completions report with status update of Victoria’s suite of other completions initiatives listed in Milestone 2.</w:t>
            </w:r>
          </w:p>
        </w:tc>
        <w:tc>
          <w:tcPr>
            <w:tcW w:w="1373" w:type="pct"/>
          </w:tcPr>
          <w:p w14:paraId="0198854F" w14:textId="77777777" w:rsidR="003B3BDE" w:rsidRDefault="265A7E24" w:rsidP="5A1ACE45">
            <w:pPr>
              <w:spacing w:after="120"/>
              <w:rPr>
                <w:rFonts w:ascii="Corbel" w:hAnsi="Corbel" w:cs="Calibri"/>
                <w:color w:val="000000" w:themeColor="text1"/>
                <w:sz w:val="20"/>
                <w:szCs w:val="20"/>
              </w:rPr>
            </w:pPr>
            <w:r w:rsidRPr="5A1ACE45">
              <w:rPr>
                <w:rFonts w:ascii="Corbel" w:hAnsi="Corbel" w:cs="Calibri"/>
                <w:color w:val="000000" w:themeColor="text1"/>
                <w:sz w:val="20"/>
                <w:szCs w:val="20"/>
              </w:rPr>
              <w:lastRenderedPageBreak/>
              <w:t xml:space="preserve">3.Report signed by relevant Victorian senior official summarising deployment details of </w:t>
            </w:r>
            <w:r w:rsidRPr="5A1ACE45">
              <w:rPr>
                <w:rFonts w:ascii="Corbel" w:hAnsi="Corbel" w:cs="Calibri"/>
                <w:color w:val="000000" w:themeColor="text1"/>
                <w:sz w:val="20"/>
                <w:szCs w:val="20"/>
              </w:rPr>
              <w:lastRenderedPageBreak/>
              <w:t>the initial tranche of completions initiatives and details of future improvements to support the continued roll-out and/or expansion of other completions initiatives.</w:t>
            </w:r>
          </w:p>
          <w:p w14:paraId="0C02C7D8" w14:textId="2CF205B3" w:rsidR="00B40A03" w:rsidRPr="00CB4BB2" w:rsidRDefault="00B40A03" w:rsidP="2BB40FD4">
            <w:pPr>
              <w:spacing w:after="120"/>
              <w:rPr>
                <w:rFonts w:ascii="Corbel" w:hAnsi="Corbel" w:cs="Calibri"/>
                <w:color w:val="000000" w:themeColor="text1"/>
                <w:sz w:val="20"/>
                <w:szCs w:val="20"/>
              </w:rPr>
            </w:pPr>
            <w:r w:rsidRPr="00B40A03">
              <w:rPr>
                <w:rFonts w:ascii="Corbel" w:hAnsi="Corbel" w:cs="Calibri"/>
                <w:color w:val="000000" w:themeColor="text1"/>
                <w:sz w:val="20"/>
                <w:szCs w:val="20"/>
              </w:rPr>
              <w:t>This includes an update on the CRM students at risk module (Stage 2).</w:t>
            </w:r>
          </w:p>
          <w:p w14:paraId="20ED67A3" w14:textId="5000A12C" w:rsidR="003B3BDE" w:rsidRPr="00CB4BB2" w:rsidRDefault="003B3BDE" w:rsidP="003B3BDE">
            <w:pPr>
              <w:rPr>
                <w:rFonts w:ascii="Corbel" w:hAnsi="Corbel" w:cs="Calibri"/>
                <w:color w:val="000000" w:themeColor="text1"/>
                <w:sz w:val="20"/>
                <w:szCs w:val="20"/>
              </w:rPr>
            </w:pPr>
          </w:p>
        </w:tc>
        <w:tc>
          <w:tcPr>
            <w:tcW w:w="976" w:type="pct"/>
          </w:tcPr>
          <w:p w14:paraId="533EDB79" w14:textId="77777777" w:rsidR="003B3BDE" w:rsidRPr="00CB4BB2" w:rsidRDefault="003B3BDE" w:rsidP="003B3BDE">
            <w:pPr>
              <w:rPr>
                <w:rFonts w:ascii="Corbel" w:hAnsi="Corbel"/>
                <w:color w:val="000000" w:themeColor="text1"/>
                <w:sz w:val="20"/>
                <w:szCs w:val="20"/>
              </w:rPr>
            </w:pPr>
            <w:r w:rsidRPr="00CB4BB2">
              <w:rPr>
                <w:rFonts w:ascii="Corbel" w:hAnsi="Corbel"/>
                <w:b/>
                <w:bCs/>
                <w:color w:val="000000" w:themeColor="text1"/>
                <w:sz w:val="20"/>
                <w:szCs w:val="20"/>
              </w:rPr>
              <w:lastRenderedPageBreak/>
              <w:t>3:</w:t>
            </w:r>
            <w:r w:rsidRPr="00CB4BB2">
              <w:rPr>
                <w:rFonts w:ascii="Corbel" w:hAnsi="Corbel"/>
                <w:color w:val="000000" w:themeColor="text1"/>
                <w:sz w:val="20"/>
                <w:szCs w:val="20"/>
              </w:rPr>
              <w:t xml:space="preserve"> $0.2</w:t>
            </w:r>
            <w:r>
              <w:rPr>
                <w:rFonts w:ascii="Corbel" w:hAnsi="Corbel"/>
                <w:color w:val="000000" w:themeColor="text1"/>
                <w:sz w:val="20"/>
                <w:szCs w:val="20"/>
              </w:rPr>
              <w:t>2</w:t>
            </w:r>
            <w:r w:rsidRPr="00CB4BB2">
              <w:rPr>
                <w:rFonts w:ascii="Corbel" w:hAnsi="Corbel"/>
                <w:color w:val="000000" w:themeColor="text1"/>
                <w:sz w:val="20"/>
                <w:szCs w:val="20"/>
              </w:rPr>
              <w:t xml:space="preserve"> million</w:t>
            </w:r>
          </w:p>
          <w:p w14:paraId="33152459" w14:textId="7B0C19D9" w:rsidR="003B3BDE" w:rsidRPr="00CB4BB2" w:rsidRDefault="003B3BDE" w:rsidP="003B3BDE">
            <w:pPr>
              <w:rPr>
                <w:rFonts w:ascii="Corbel" w:hAnsi="Corbel"/>
                <w:sz w:val="20"/>
                <w:szCs w:val="20"/>
              </w:rPr>
            </w:pPr>
          </w:p>
        </w:tc>
        <w:tc>
          <w:tcPr>
            <w:tcW w:w="976" w:type="pct"/>
          </w:tcPr>
          <w:p w14:paraId="4D20449F" w14:textId="34C29577" w:rsidR="003B3BDE" w:rsidRPr="00CB4BB2" w:rsidRDefault="003B3BDE" w:rsidP="003B3BDE">
            <w:pPr>
              <w:rPr>
                <w:rFonts w:ascii="Corbel" w:hAnsi="Corbel"/>
                <w:sz w:val="20"/>
                <w:szCs w:val="20"/>
              </w:rPr>
            </w:pPr>
            <w:r w:rsidRPr="00CB4BB2">
              <w:rPr>
                <w:rFonts w:ascii="Corbel" w:hAnsi="Corbel"/>
                <w:color w:val="000000" w:themeColor="text1"/>
                <w:sz w:val="20"/>
                <w:szCs w:val="20"/>
              </w:rPr>
              <w:t>September 2026</w:t>
            </w:r>
          </w:p>
        </w:tc>
      </w:tr>
      <w:tr w:rsidR="003B3BDE" w:rsidRPr="00CB4BB2" w14:paraId="31648904" w14:textId="77777777" w:rsidTr="5A1ACE45">
        <w:tc>
          <w:tcPr>
            <w:tcW w:w="1675" w:type="pct"/>
          </w:tcPr>
          <w:p w14:paraId="62A2B880"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b/>
                <w:bCs/>
                <w:color w:val="000000" w:themeColor="text1"/>
                <w:sz w:val="20"/>
                <w:szCs w:val="20"/>
              </w:rPr>
              <w:t>Milestone 4</w:t>
            </w:r>
            <w:r w:rsidRPr="00CB4BB2">
              <w:rPr>
                <w:rFonts w:ascii="Corbel" w:hAnsi="Corbel"/>
                <w:color w:val="000000" w:themeColor="text1"/>
                <w:sz w:val="20"/>
                <w:szCs w:val="20"/>
              </w:rPr>
              <w:t xml:space="preserve">. Commonwealth acceptance of 2026-2027 completions implementation report which will set out progress on Victoria’s suite of completions initiatives. </w:t>
            </w:r>
          </w:p>
          <w:p w14:paraId="178D0030" w14:textId="77777777" w:rsidR="003B3BDE" w:rsidRPr="00CB4BB2" w:rsidRDefault="265A7E24" w:rsidP="5A1ACE45">
            <w:pPr>
              <w:spacing w:after="120"/>
              <w:rPr>
                <w:rFonts w:ascii="Corbel" w:hAnsi="Corbel"/>
                <w:color w:val="000000" w:themeColor="text1"/>
                <w:sz w:val="20"/>
                <w:szCs w:val="20"/>
              </w:rPr>
            </w:pPr>
            <w:r w:rsidRPr="5A1ACE45">
              <w:rPr>
                <w:rFonts w:ascii="Corbel" w:hAnsi="Corbel"/>
                <w:color w:val="000000" w:themeColor="text1"/>
                <w:sz w:val="20"/>
                <w:szCs w:val="20"/>
              </w:rPr>
              <w:t>This will include performance indicators for existing measures, timelines and sequencing of future initiatives as well as evaluation arrangements over the remainder of the NSA.</w:t>
            </w:r>
          </w:p>
          <w:p w14:paraId="174CE451"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color w:val="000000" w:themeColor="text1"/>
                <w:sz w:val="20"/>
                <w:szCs w:val="20"/>
              </w:rPr>
              <w:t>Specific milestones include:</w:t>
            </w:r>
          </w:p>
          <w:p w14:paraId="7BDFB7B6" w14:textId="77777777" w:rsidR="003B3BDE" w:rsidRPr="00CB4BB2" w:rsidRDefault="003B3BDE" w:rsidP="003B3BDE">
            <w:pPr>
              <w:pStyle w:val="ListParagraph"/>
              <w:numPr>
                <w:ilvl w:val="0"/>
                <w:numId w:val="9"/>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Deployment of CRM tool to the first tranche of TAFEs (Stage 3).</w:t>
            </w:r>
          </w:p>
          <w:p w14:paraId="5097BB79" w14:textId="77777777" w:rsidR="003B3BDE" w:rsidRPr="00CB4BB2" w:rsidRDefault="265A7E24" w:rsidP="5A1ACE45">
            <w:pPr>
              <w:pStyle w:val="ListParagraph"/>
              <w:numPr>
                <w:ilvl w:val="0"/>
                <w:numId w:val="16"/>
              </w:numPr>
              <w:spacing w:line="240" w:lineRule="auto"/>
              <w:rPr>
                <w:rFonts w:ascii="Corbel" w:hAnsi="Corbel"/>
                <w:color w:val="000000" w:themeColor="text1"/>
                <w:sz w:val="20"/>
                <w:szCs w:val="20"/>
              </w:rPr>
            </w:pPr>
            <w:r w:rsidRPr="5A1ACE45">
              <w:rPr>
                <w:rFonts w:ascii="Corbel" w:hAnsi="Corbel"/>
                <w:color w:val="000000" w:themeColor="text1"/>
                <w:sz w:val="20"/>
                <w:szCs w:val="20"/>
              </w:rPr>
              <w:t xml:space="preserve">Submission of project report summarising deployment details of the initial set of TAFEs </w:t>
            </w:r>
          </w:p>
          <w:p w14:paraId="6800029F" w14:textId="77777777" w:rsidR="003B3BDE" w:rsidRPr="00CB4BB2" w:rsidRDefault="265A7E24" w:rsidP="5A1ACE45">
            <w:pPr>
              <w:pStyle w:val="ListParagraph"/>
              <w:numPr>
                <w:ilvl w:val="0"/>
                <w:numId w:val="9"/>
              </w:numPr>
              <w:spacing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Progress report on anticipated and actual delivery levels of TAFE wrap-around supports for at-risk learners</w:t>
            </w:r>
          </w:p>
          <w:p w14:paraId="63717CA7" w14:textId="77777777" w:rsidR="003B3BDE" w:rsidRPr="00CB4BB2" w:rsidRDefault="003B3BDE" w:rsidP="003B3BDE">
            <w:pPr>
              <w:pStyle w:val="ListParagraph"/>
              <w:numPr>
                <w:ilvl w:val="0"/>
                <w:numId w:val="9"/>
              </w:numPr>
              <w:spacing w:line="240" w:lineRule="auto"/>
              <w:ind w:left="357" w:hanging="357"/>
              <w:rPr>
                <w:rFonts w:ascii="Corbel" w:hAnsi="Corbel"/>
              </w:rPr>
            </w:pPr>
            <w:r w:rsidRPr="00CB4BB2">
              <w:rPr>
                <w:rFonts w:ascii="Corbel" w:hAnsi="Corbel"/>
                <w:color w:val="000000" w:themeColor="text1"/>
                <w:sz w:val="20"/>
                <w:szCs w:val="20"/>
              </w:rPr>
              <w:t>Raising Expectations: Progress report with relevant performance indicators.</w:t>
            </w:r>
          </w:p>
          <w:p w14:paraId="611ED1AD" w14:textId="13C80C48" w:rsidR="003B3BDE" w:rsidRPr="00CB4BB2" w:rsidRDefault="265A7E24" w:rsidP="5A1ACE45">
            <w:pPr>
              <w:pStyle w:val="ListParagraph"/>
              <w:numPr>
                <w:ilvl w:val="0"/>
                <w:numId w:val="9"/>
              </w:numPr>
              <w:spacing w:line="240" w:lineRule="auto"/>
              <w:ind w:left="357" w:hanging="357"/>
              <w:rPr>
                <w:rFonts w:ascii="Corbel" w:hAnsi="Corbel"/>
              </w:rPr>
            </w:pPr>
            <w:r w:rsidRPr="5A1ACE45">
              <w:rPr>
                <w:rFonts w:ascii="Corbel" w:hAnsi="Corbel"/>
                <w:color w:val="000000" w:themeColor="text1"/>
                <w:sz w:val="20"/>
                <w:szCs w:val="20"/>
              </w:rPr>
              <w:t>LNSUPPORT performance measures including additional apprentice commencements  and anticipated and actual student uptake over 2026 calendar year.</w:t>
            </w:r>
          </w:p>
        </w:tc>
        <w:tc>
          <w:tcPr>
            <w:tcW w:w="1373" w:type="pct"/>
          </w:tcPr>
          <w:p w14:paraId="0A2B7721" w14:textId="195A0986" w:rsidR="00221D86" w:rsidRPr="00221D86" w:rsidRDefault="003B3BDE" w:rsidP="5A1ACE45">
            <w:pPr>
              <w:spacing w:after="120"/>
              <w:rPr>
                <w:rFonts w:ascii="Corbel" w:hAnsi="Corbel" w:cs="Calibri"/>
                <w:color w:val="000000" w:themeColor="text1"/>
                <w:sz w:val="20"/>
                <w:szCs w:val="20"/>
              </w:rPr>
            </w:pPr>
            <w:r w:rsidRPr="5A1ACE45">
              <w:rPr>
                <w:rFonts w:ascii="Corbel" w:hAnsi="Corbel" w:cs="Calibri"/>
                <w:color w:val="000000" w:themeColor="text1"/>
                <w:sz w:val="20"/>
                <w:szCs w:val="20"/>
              </w:rPr>
              <w:t>4.Report signed by relevant Victorian senior official providing an update on progress of completions initiatives underway and details of future developments to support the continued roll-out and/or expansion of other completions initiatives.</w:t>
            </w:r>
            <w:r w:rsidR="3361F822" w:rsidRPr="5A1ACE45">
              <w:rPr>
                <w:rFonts w:ascii="Corbel" w:hAnsi="Corbel" w:cs="Calibri"/>
                <w:color w:val="000000" w:themeColor="text1"/>
                <w:sz w:val="20"/>
                <w:szCs w:val="20"/>
              </w:rPr>
              <w:t xml:space="preserve"> </w:t>
            </w:r>
            <w:r w:rsidR="3361F822" w:rsidRPr="5A1ACE45">
              <w:rPr>
                <w:rFonts w:ascii="Corbel" w:hAnsi="Corbel"/>
                <w:color w:val="000000" w:themeColor="text1"/>
                <w:sz w:val="20"/>
                <w:szCs w:val="20"/>
              </w:rPr>
              <w:t xml:space="preserve"> </w:t>
            </w:r>
            <w:r w:rsidR="3361F822" w:rsidRPr="5A1ACE45">
              <w:rPr>
                <w:rFonts w:ascii="Corbel" w:hAnsi="Corbel" w:cs="Calibri"/>
                <w:color w:val="000000" w:themeColor="text1"/>
                <w:sz w:val="20"/>
                <w:szCs w:val="20"/>
              </w:rPr>
              <w:t>This includes:</w:t>
            </w:r>
          </w:p>
          <w:p w14:paraId="4085F2BF" w14:textId="77777777" w:rsidR="00221D86" w:rsidRPr="00221D86" w:rsidRDefault="00221D86" w:rsidP="0036553E">
            <w:pPr>
              <w:numPr>
                <w:ilvl w:val="0"/>
                <w:numId w:val="26"/>
              </w:numPr>
              <w:rPr>
                <w:rFonts w:ascii="Corbel" w:hAnsi="Corbel" w:cs="Calibri"/>
                <w:color w:val="000000" w:themeColor="text1"/>
                <w:sz w:val="20"/>
                <w:szCs w:val="20"/>
              </w:rPr>
            </w:pPr>
            <w:r w:rsidRPr="00221D86">
              <w:rPr>
                <w:rFonts w:ascii="Corbel" w:hAnsi="Corbel" w:cs="Calibri"/>
                <w:color w:val="000000" w:themeColor="text1"/>
                <w:sz w:val="20"/>
                <w:szCs w:val="20"/>
              </w:rPr>
              <w:t>Updated CRM project plan</w:t>
            </w:r>
          </w:p>
          <w:p w14:paraId="6DBE6758" w14:textId="77777777" w:rsidR="00221D86" w:rsidRPr="00221D86" w:rsidRDefault="3361F822" w:rsidP="0036553E">
            <w:pPr>
              <w:numPr>
                <w:ilvl w:val="0"/>
                <w:numId w:val="26"/>
              </w:numPr>
              <w:rPr>
                <w:rFonts w:ascii="Corbel" w:hAnsi="Corbel" w:cs="Calibri"/>
                <w:color w:val="000000" w:themeColor="text1"/>
                <w:sz w:val="20"/>
                <w:szCs w:val="20"/>
              </w:rPr>
            </w:pPr>
            <w:r w:rsidRPr="5A1ACE45">
              <w:rPr>
                <w:rFonts w:ascii="Corbel" w:hAnsi="Corbel" w:cs="Calibri"/>
                <w:color w:val="000000" w:themeColor="text1"/>
                <w:sz w:val="20"/>
                <w:szCs w:val="20"/>
              </w:rPr>
              <w:t>Report on anticipated and actual delivery levels of TAFE wrap-around supports for at-risk learners</w:t>
            </w:r>
          </w:p>
          <w:p w14:paraId="3C8F92A1" w14:textId="77777777" w:rsidR="00221D86" w:rsidRPr="00221D86" w:rsidRDefault="00221D86" w:rsidP="0036553E">
            <w:pPr>
              <w:numPr>
                <w:ilvl w:val="0"/>
                <w:numId w:val="26"/>
              </w:numPr>
              <w:rPr>
                <w:rFonts w:ascii="Corbel" w:hAnsi="Corbel" w:cs="Calibri"/>
                <w:color w:val="000000" w:themeColor="text1"/>
                <w:sz w:val="20"/>
                <w:szCs w:val="20"/>
              </w:rPr>
            </w:pPr>
            <w:r w:rsidRPr="00221D86">
              <w:rPr>
                <w:rFonts w:ascii="Corbel" w:hAnsi="Corbel" w:cs="Calibri"/>
                <w:color w:val="000000" w:themeColor="text1"/>
                <w:sz w:val="20"/>
                <w:szCs w:val="20"/>
              </w:rPr>
              <w:t>Raising Expectations progress report</w:t>
            </w:r>
          </w:p>
          <w:p w14:paraId="6AF90779" w14:textId="77777777" w:rsidR="00221D86" w:rsidRPr="00221D86" w:rsidRDefault="00221D86" w:rsidP="0036553E">
            <w:pPr>
              <w:numPr>
                <w:ilvl w:val="0"/>
                <w:numId w:val="26"/>
              </w:numPr>
              <w:rPr>
                <w:rFonts w:ascii="Corbel" w:hAnsi="Corbel" w:cs="Calibri"/>
                <w:color w:val="000000" w:themeColor="text1"/>
                <w:sz w:val="20"/>
                <w:szCs w:val="20"/>
              </w:rPr>
            </w:pPr>
            <w:r w:rsidRPr="00221D86">
              <w:rPr>
                <w:rFonts w:ascii="Corbel" w:hAnsi="Corbel" w:cs="Calibri"/>
                <w:color w:val="000000" w:themeColor="text1"/>
                <w:sz w:val="20"/>
                <w:szCs w:val="20"/>
              </w:rPr>
              <w:t xml:space="preserve">LNSUPPORT performance measures </w:t>
            </w:r>
          </w:p>
          <w:p w14:paraId="7FF7B4D0" w14:textId="77777777" w:rsidR="00221D86" w:rsidRDefault="00221D86" w:rsidP="003B3BDE">
            <w:pPr>
              <w:spacing w:line="240" w:lineRule="auto"/>
              <w:rPr>
                <w:rFonts w:ascii="Corbel" w:hAnsi="Corbel"/>
                <w:color w:val="000000" w:themeColor="text1"/>
                <w:sz w:val="20"/>
                <w:szCs w:val="20"/>
              </w:rPr>
            </w:pPr>
          </w:p>
          <w:p w14:paraId="2A98F32E" w14:textId="35A116E2" w:rsidR="003B3BDE" w:rsidRPr="00E552CC" w:rsidRDefault="003B3BDE" w:rsidP="003B3BDE">
            <w:pPr>
              <w:spacing w:line="240" w:lineRule="auto"/>
              <w:rPr>
                <w:rFonts w:ascii="Corbel" w:hAnsi="Corbel"/>
                <w:b/>
                <w:bCs/>
              </w:rPr>
            </w:pPr>
            <w:r w:rsidRPr="00CB4BB2">
              <w:rPr>
                <w:rFonts w:ascii="Corbel" w:hAnsi="Corbel"/>
                <w:color w:val="000000" w:themeColor="text1"/>
                <w:sz w:val="20"/>
                <w:szCs w:val="20"/>
              </w:rPr>
              <w:t>This will include performance indicators for existing measures, evaluations of any initiatives that concluded in 2026, and timelines and sequencing of new initiatives.</w:t>
            </w:r>
          </w:p>
        </w:tc>
        <w:tc>
          <w:tcPr>
            <w:tcW w:w="976" w:type="pct"/>
          </w:tcPr>
          <w:p w14:paraId="6765402F" w14:textId="77777777" w:rsidR="003B3BDE" w:rsidRPr="00CB4BB2" w:rsidRDefault="265A7E24" w:rsidP="5A1ACE45">
            <w:pPr>
              <w:rPr>
                <w:rFonts w:ascii="Corbel" w:hAnsi="Corbel"/>
                <w:color w:val="000000" w:themeColor="text1"/>
                <w:sz w:val="20"/>
                <w:szCs w:val="20"/>
              </w:rPr>
            </w:pPr>
            <w:r w:rsidRPr="5A1ACE45">
              <w:rPr>
                <w:rFonts w:ascii="Corbel" w:hAnsi="Corbel"/>
                <w:color w:val="000000" w:themeColor="text1"/>
                <w:sz w:val="20"/>
                <w:szCs w:val="20"/>
              </w:rPr>
              <w:t>4:$17.399 million consisting of:</w:t>
            </w:r>
          </w:p>
          <w:p w14:paraId="325C4728"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CRM - $0.5 million</w:t>
            </w:r>
          </w:p>
          <w:p w14:paraId="19229B95"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LNSUPPORT- $</w:t>
            </w:r>
            <w:r>
              <w:rPr>
                <w:rFonts w:ascii="Corbel" w:hAnsi="Corbel"/>
                <w:color w:val="000000" w:themeColor="text1"/>
                <w:sz w:val="20"/>
                <w:szCs w:val="20"/>
              </w:rPr>
              <w:t>8</w:t>
            </w:r>
            <w:r w:rsidRPr="00CB4BB2">
              <w:rPr>
                <w:rFonts w:ascii="Corbel" w:hAnsi="Corbel"/>
                <w:color w:val="000000" w:themeColor="text1"/>
                <w:sz w:val="20"/>
                <w:szCs w:val="20"/>
              </w:rPr>
              <w:t>.</w:t>
            </w:r>
            <w:r>
              <w:rPr>
                <w:rFonts w:ascii="Corbel" w:hAnsi="Corbel"/>
                <w:color w:val="000000" w:themeColor="text1"/>
                <w:sz w:val="20"/>
                <w:szCs w:val="20"/>
              </w:rPr>
              <w:t>329</w:t>
            </w:r>
            <w:r w:rsidRPr="00CB4BB2">
              <w:rPr>
                <w:rFonts w:ascii="Corbel" w:hAnsi="Corbel"/>
                <w:color w:val="000000" w:themeColor="text1"/>
                <w:sz w:val="20"/>
                <w:szCs w:val="20"/>
              </w:rPr>
              <w:t xml:space="preserve"> million</w:t>
            </w:r>
          </w:p>
          <w:p w14:paraId="5FB752A2"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Wraparound Supports - $</w:t>
            </w:r>
            <w:r>
              <w:rPr>
                <w:rFonts w:ascii="Corbel" w:hAnsi="Corbel"/>
                <w:color w:val="000000" w:themeColor="text1"/>
                <w:sz w:val="20"/>
                <w:szCs w:val="20"/>
              </w:rPr>
              <w:t>8.570</w:t>
            </w:r>
            <w:r w:rsidRPr="00CB4BB2">
              <w:rPr>
                <w:rFonts w:ascii="Corbel" w:hAnsi="Corbel"/>
                <w:color w:val="000000" w:themeColor="text1"/>
                <w:sz w:val="20"/>
                <w:szCs w:val="20"/>
              </w:rPr>
              <w:t xml:space="preserve"> million</w:t>
            </w:r>
          </w:p>
          <w:p w14:paraId="16E9F0D6" w14:textId="77777777" w:rsidR="003B3BDE" w:rsidRPr="00CB4BB2" w:rsidRDefault="003B3BDE" w:rsidP="003B3BDE">
            <w:pPr>
              <w:rPr>
                <w:rFonts w:ascii="Corbel" w:hAnsi="Corbel"/>
                <w:color w:val="000000" w:themeColor="text1"/>
                <w:sz w:val="20"/>
                <w:szCs w:val="20"/>
              </w:rPr>
            </w:pPr>
          </w:p>
          <w:p w14:paraId="06FD668F" w14:textId="77777777" w:rsidR="003B3BDE" w:rsidRPr="00CB4BB2" w:rsidRDefault="003B3BDE" w:rsidP="00192720">
            <w:pPr>
              <w:rPr>
                <w:rFonts w:ascii="Corbel" w:hAnsi="Corbel"/>
                <w:b/>
                <w:bCs/>
              </w:rPr>
            </w:pPr>
          </w:p>
        </w:tc>
        <w:tc>
          <w:tcPr>
            <w:tcW w:w="976" w:type="pct"/>
          </w:tcPr>
          <w:p w14:paraId="425426E2" w14:textId="55A4BEB2" w:rsidR="003B3BDE" w:rsidRPr="00CB4BB2" w:rsidRDefault="003B3BDE" w:rsidP="003B3BDE">
            <w:pPr>
              <w:rPr>
                <w:rFonts w:ascii="Corbel" w:hAnsi="Corbel"/>
              </w:rPr>
            </w:pPr>
            <w:r w:rsidRPr="00CB4BB2">
              <w:rPr>
                <w:rFonts w:ascii="Corbel" w:hAnsi="Corbel"/>
                <w:color w:val="000000" w:themeColor="text1"/>
                <w:sz w:val="20"/>
                <w:szCs w:val="20"/>
              </w:rPr>
              <w:t>March 2027</w:t>
            </w:r>
          </w:p>
        </w:tc>
      </w:tr>
      <w:tr w:rsidR="003B3BDE" w:rsidRPr="00CB4BB2" w14:paraId="4F6FEBC6" w14:textId="77777777" w:rsidTr="5A1ACE45">
        <w:tc>
          <w:tcPr>
            <w:tcW w:w="1675" w:type="pct"/>
          </w:tcPr>
          <w:p w14:paraId="58DF1C75"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b/>
                <w:bCs/>
                <w:color w:val="000000" w:themeColor="text1"/>
                <w:sz w:val="20"/>
                <w:szCs w:val="20"/>
              </w:rPr>
              <w:lastRenderedPageBreak/>
              <w:t>Milestone 5</w:t>
            </w:r>
            <w:r w:rsidRPr="00CB4BB2">
              <w:rPr>
                <w:rFonts w:ascii="Corbel" w:hAnsi="Corbel"/>
                <w:color w:val="000000" w:themeColor="text1"/>
                <w:sz w:val="20"/>
                <w:szCs w:val="20"/>
              </w:rPr>
              <w:t xml:space="preserve">. </w:t>
            </w:r>
          </w:p>
          <w:p w14:paraId="19847C11" w14:textId="1D74D1C9" w:rsidR="003B3BDE" w:rsidRPr="00CB4BB2" w:rsidRDefault="265A7E24" w:rsidP="5A1ACE45">
            <w:pPr>
              <w:spacing w:after="120"/>
              <w:rPr>
                <w:rFonts w:ascii="Corbel" w:hAnsi="Corbel"/>
                <w:color w:val="000000" w:themeColor="text1"/>
                <w:sz w:val="20"/>
                <w:szCs w:val="20"/>
              </w:rPr>
            </w:pPr>
            <w:r w:rsidRPr="5A1ACE45">
              <w:rPr>
                <w:rFonts w:ascii="Corbel" w:hAnsi="Corbel"/>
                <w:color w:val="000000" w:themeColor="text1"/>
                <w:sz w:val="20"/>
                <w:szCs w:val="20"/>
              </w:rPr>
              <w:t>Commonwealth’s acceptance of completions evaluation report including but not limited to an interim LNSUPPORT evaluation. Specific measures will include anticipated and actual commencement and co-enrolment course completion rates over the 2025 and 2026 training years. Apprentice-specific uptake and outcomes also to be included.</w:t>
            </w:r>
          </w:p>
        </w:tc>
        <w:tc>
          <w:tcPr>
            <w:tcW w:w="1373" w:type="pct"/>
          </w:tcPr>
          <w:p w14:paraId="271270A0" w14:textId="77777777" w:rsidR="003B3BDE" w:rsidRPr="00CB4BB2" w:rsidRDefault="003B3BDE" w:rsidP="003B3BDE">
            <w:pPr>
              <w:spacing w:after="120"/>
              <w:rPr>
                <w:rFonts w:ascii="Corbel" w:hAnsi="Corbel" w:cs="Calibri"/>
                <w:color w:val="000000" w:themeColor="text1"/>
                <w:sz w:val="20"/>
                <w:szCs w:val="20"/>
              </w:rPr>
            </w:pPr>
            <w:r w:rsidRPr="00CB4BB2">
              <w:rPr>
                <w:rFonts w:ascii="Corbel" w:hAnsi="Corbel" w:cs="Calibri"/>
                <w:color w:val="000000" w:themeColor="text1"/>
                <w:sz w:val="20"/>
                <w:szCs w:val="20"/>
              </w:rPr>
              <w:t>5. Report signed by relevant Victorian senior official providing an update on progress of completions initiatives underway, interim evaluation findings of select initiatives, and details of future developments to support the continued roll-out and/or expansion of other completions initiatives.</w:t>
            </w:r>
          </w:p>
          <w:p w14:paraId="10C8E9C4" w14:textId="0977682B" w:rsidR="003B3BDE" w:rsidRPr="00CB4BB2" w:rsidRDefault="003B3BDE" w:rsidP="003B3BDE">
            <w:pPr>
              <w:rPr>
                <w:rFonts w:ascii="Corbel" w:hAnsi="Corbel"/>
                <w:b/>
                <w:bCs/>
              </w:rPr>
            </w:pPr>
            <w:r w:rsidRPr="00CB4BB2">
              <w:rPr>
                <w:rFonts w:ascii="Corbel" w:hAnsi="Corbel"/>
                <w:color w:val="000000" w:themeColor="text1"/>
                <w:sz w:val="20"/>
                <w:szCs w:val="20"/>
              </w:rPr>
              <w:t>This will include performance indicators for existing measures as well as timelines and sequencing of any remaining initiatives.</w:t>
            </w:r>
          </w:p>
        </w:tc>
        <w:tc>
          <w:tcPr>
            <w:tcW w:w="976" w:type="pct"/>
          </w:tcPr>
          <w:p w14:paraId="44E3FC62" w14:textId="77777777" w:rsidR="003B3BDE" w:rsidRPr="00CB4BB2" w:rsidRDefault="003B3BDE" w:rsidP="003B3BDE">
            <w:pPr>
              <w:rPr>
                <w:rFonts w:ascii="Corbel" w:hAnsi="Corbel"/>
                <w:color w:val="000000" w:themeColor="text1"/>
                <w:sz w:val="20"/>
                <w:szCs w:val="20"/>
              </w:rPr>
            </w:pPr>
            <w:r w:rsidRPr="00CB4BB2">
              <w:rPr>
                <w:rFonts w:ascii="Corbel" w:hAnsi="Corbel"/>
                <w:color w:val="000000" w:themeColor="text1"/>
                <w:sz w:val="20"/>
                <w:szCs w:val="20"/>
              </w:rPr>
              <w:t>5: $1.00 million</w:t>
            </w:r>
          </w:p>
          <w:p w14:paraId="75988C32" w14:textId="77777777" w:rsidR="003B3BDE" w:rsidRPr="00CB4BB2" w:rsidRDefault="003B3BDE" w:rsidP="003B3BDE">
            <w:pPr>
              <w:rPr>
                <w:rFonts w:ascii="Corbel" w:hAnsi="Corbel"/>
                <w:color w:val="000000" w:themeColor="text1"/>
                <w:sz w:val="20"/>
                <w:szCs w:val="20"/>
              </w:rPr>
            </w:pPr>
          </w:p>
          <w:p w14:paraId="357298C8" w14:textId="77777777" w:rsidR="003B3BDE" w:rsidRPr="00CB4BB2" w:rsidRDefault="003B3BDE" w:rsidP="003B3BDE">
            <w:pPr>
              <w:rPr>
                <w:rFonts w:ascii="Corbel" w:hAnsi="Corbel"/>
                <w:b/>
                <w:bCs/>
              </w:rPr>
            </w:pPr>
          </w:p>
        </w:tc>
        <w:tc>
          <w:tcPr>
            <w:tcW w:w="976" w:type="pct"/>
          </w:tcPr>
          <w:p w14:paraId="085C13CA" w14:textId="3F79AACD" w:rsidR="003B3BDE" w:rsidRPr="00CB4BB2" w:rsidRDefault="003B3BDE" w:rsidP="003B3BDE">
            <w:pPr>
              <w:rPr>
                <w:rFonts w:ascii="Corbel" w:hAnsi="Corbel"/>
              </w:rPr>
            </w:pPr>
            <w:r w:rsidRPr="00CB4BB2">
              <w:rPr>
                <w:rFonts w:ascii="Corbel" w:hAnsi="Corbel"/>
                <w:color w:val="000000" w:themeColor="text1"/>
                <w:sz w:val="20"/>
                <w:szCs w:val="20"/>
              </w:rPr>
              <w:t>September 2027</w:t>
            </w:r>
          </w:p>
        </w:tc>
      </w:tr>
      <w:tr w:rsidR="003B3BDE" w:rsidRPr="00CB4BB2" w14:paraId="6176E7A3" w14:textId="77777777" w:rsidTr="5A1ACE45">
        <w:tc>
          <w:tcPr>
            <w:tcW w:w="1675" w:type="pct"/>
          </w:tcPr>
          <w:p w14:paraId="629C6E54" w14:textId="77777777" w:rsidR="003B3BDE" w:rsidRPr="00CB4BB2" w:rsidRDefault="003B3BDE" w:rsidP="003B3BDE">
            <w:pPr>
              <w:spacing w:after="120"/>
              <w:rPr>
                <w:rFonts w:ascii="Corbel" w:hAnsi="Corbel"/>
                <w:color w:val="000000" w:themeColor="text1"/>
                <w:sz w:val="20"/>
                <w:szCs w:val="20"/>
              </w:rPr>
            </w:pPr>
            <w:r w:rsidRPr="00CB4BB2">
              <w:rPr>
                <w:rFonts w:ascii="Corbel" w:hAnsi="Corbel"/>
                <w:b/>
                <w:bCs/>
                <w:color w:val="000000" w:themeColor="text1"/>
                <w:sz w:val="20"/>
                <w:szCs w:val="20"/>
              </w:rPr>
              <w:t>Milestone 6</w:t>
            </w:r>
            <w:r w:rsidRPr="00CB4BB2">
              <w:rPr>
                <w:rFonts w:ascii="Corbel" w:hAnsi="Corbel"/>
                <w:color w:val="000000" w:themeColor="text1"/>
                <w:sz w:val="20"/>
                <w:szCs w:val="20"/>
              </w:rPr>
              <w:t xml:space="preserve">. Commonwealth acceptance of final completions report with implementation status of Victoria’s suite of completions initiatives. This includes: </w:t>
            </w:r>
          </w:p>
          <w:p w14:paraId="26416BE7" w14:textId="34BD8DF7" w:rsidR="003B3BDE" w:rsidRPr="00CB4BB2" w:rsidRDefault="265A7E24" w:rsidP="5A1ACE45">
            <w:pPr>
              <w:pStyle w:val="ListParagraph"/>
              <w:numPr>
                <w:ilvl w:val="0"/>
                <w:numId w:val="9"/>
              </w:numPr>
              <w:spacing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 xml:space="preserve">Evaluation of CRM module </w:t>
            </w:r>
            <w:r w:rsidR="3A3E02B7" w:rsidRPr="5A1ACE45">
              <w:rPr>
                <w:rFonts w:ascii="Corbel" w:hAnsi="Corbel"/>
                <w:color w:val="000000" w:themeColor="text1"/>
                <w:sz w:val="20"/>
                <w:szCs w:val="20"/>
              </w:rPr>
              <w:t xml:space="preserve">initial </w:t>
            </w:r>
            <w:r w:rsidRPr="5A1ACE45">
              <w:rPr>
                <w:rFonts w:ascii="Corbel" w:hAnsi="Corbel"/>
                <w:color w:val="000000" w:themeColor="text1"/>
                <w:sz w:val="20"/>
                <w:szCs w:val="20"/>
              </w:rPr>
              <w:t>rollout to first tranche of TAFEs</w:t>
            </w:r>
          </w:p>
          <w:p w14:paraId="36D53929" w14:textId="77777777" w:rsidR="003B3BDE" w:rsidRPr="00CB4BB2" w:rsidRDefault="003B3BDE" w:rsidP="003B3BDE">
            <w:pPr>
              <w:pStyle w:val="ListParagraph"/>
              <w:numPr>
                <w:ilvl w:val="0"/>
                <w:numId w:val="9"/>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Anticipated and actual delivery of TAFE wrap-around supports for at-risk learners</w:t>
            </w:r>
          </w:p>
          <w:p w14:paraId="2CFEB53C" w14:textId="77777777" w:rsidR="003B3BDE" w:rsidRPr="00CB4BB2" w:rsidRDefault="003B3BDE" w:rsidP="003B3BDE">
            <w:pPr>
              <w:pStyle w:val="ListParagraph"/>
              <w:numPr>
                <w:ilvl w:val="0"/>
                <w:numId w:val="9"/>
              </w:numPr>
              <w:spacing w:after="60"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Raising Expectations: Progress report with relevant performance indicators</w:t>
            </w:r>
          </w:p>
          <w:p w14:paraId="427B8262" w14:textId="77777777" w:rsidR="003B3BDE" w:rsidRPr="00CB4BB2" w:rsidRDefault="265A7E24" w:rsidP="5A1ACE45">
            <w:pPr>
              <w:pStyle w:val="ListParagraph"/>
              <w:numPr>
                <w:ilvl w:val="0"/>
                <w:numId w:val="9"/>
              </w:numPr>
              <w:spacing w:after="60" w:line="240" w:lineRule="auto"/>
              <w:ind w:left="357" w:hanging="357"/>
              <w:rPr>
                <w:rFonts w:ascii="Corbel" w:hAnsi="Corbel"/>
                <w:color w:val="000000" w:themeColor="text1"/>
                <w:sz w:val="20"/>
                <w:szCs w:val="20"/>
              </w:rPr>
            </w:pPr>
            <w:r w:rsidRPr="5A1ACE45">
              <w:rPr>
                <w:rFonts w:ascii="Corbel" w:hAnsi="Corbel"/>
                <w:color w:val="000000" w:themeColor="text1"/>
                <w:sz w:val="20"/>
                <w:szCs w:val="20"/>
              </w:rPr>
              <w:t>LNSUPPORT performance measures including anticipated and actual student uptake over 2027 calendar year.</w:t>
            </w:r>
          </w:p>
          <w:p w14:paraId="1BD0813A" w14:textId="125D4352" w:rsidR="003B3BDE" w:rsidRPr="00CB4BB2" w:rsidRDefault="265A7E24" w:rsidP="5A1ACE45">
            <w:pPr>
              <w:spacing w:after="120"/>
              <w:rPr>
                <w:rFonts w:ascii="Corbel" w:hAnsi="Corbel"/>
                <w:color w:val="000000" w:themeColor="text1"/>
                <w:sz w:val="20"/>
                <w:szCs w:val="20"/>
              </w:rPr>
            </w:pPr>
            <w:r w:rsidRPr="5A1ACE45">
              <w:rPr>
                <w:rFonts w:ascii="Corbel" w:hAnsi="Corbel"/>
                <w:color w:val="000000" w:themeColor="text1"/>
                <w:sz w:val="20"/>
                <w:szCs w:val="20"/>
              </w:rPr>
              <w:t xml:space="preserve">Finalisation of formal evaluation report for completions initiatives including timelines and scope of evaluations that will occur beyond </w:t>
            </w:r>
            <w:r w:rsidR="59C764CE" w:rsidRPr="5A1ACE45">
              <w:rPr>
                <w:rFonts w:ascii="Corbel" w:hAnsi="Corbel"/>
                <w:color w:val="000000" w:themeColor="text1"/>
                <w:sz w:val="20"/>
                <w:szCs w:val="20"/>
              </w:rPr>
              <w:t xml:space="preserve">31 </w:t>
            </w:r>
            <w:r w:rsidRPr="5A1ACE45">
              <w:rPr>
                <w:rFonts w:ascii="Corbel" w:hAnsi="Corbel"/>
                <w:color w:val="000000" w:themeColor="text1"/>
                <w:sz w:val="20"/>
                <w:szCs w:val="20"/>
              </w:rPr>
              <w:t>Dec</w:t>
            </w:r>
            <w:r w:rsidR="59C764CE" w:rsidRPr="5A1ACE45">
              <w:rPr>
                <w:rFonts w:ascii="Corbel" w:hAnsi="Corbel"/>
                <w:color w:val="000000" w:themeColor="text1"/>
                <w:sz w:val="20"/>
                <w:szCs w:val="20"/>
              </w:rPr>
              <w:t>ember</w:t>
            </w:r>
            <w:r w:rsidRPr="5A1ACE45">
              <w:rPr>
                <w:rFonts w:ascii="Corbel" w:hAnsi="Corbel"/>
                <w:color w:val="000000" w:themeColor="text1"/>
                <w:sz w:val="20"/>
                <w:szCs w:val="20"/>
              </w:rPr>
              <w:t xml:space="preserve">  2028.  </w:t>
            </w:r>
          </w:p>
        </w:tc>
        <w:tc>
          <w:tcPr>
            <w:tcW w:w="1373" w:type="pct"/>
          </w:tcPr>
          <w:p w14:paraId="200EDBCD" w14:textId="7AD431E9" w:rsidR="005502FA" w:rsidRPr="005502FA" w:rsidRDefault="003B3BDE" w:rsidP="005502FA">
            <w:pPr>
              <w:spacing w:after="120"/>
              <w:rPr>
                <w:rFonts w:ascii="Corbel" w:hAnsi="Corbel" w:cs="Calibri"/>
                <w:color w:val="000000" w:themeColor="text1"/>
                <w:sz w:val="20"/>
                <w:szCs w:val="20"/>
              </w:rPr>
            </w:pPr>
            <w:r w:rsidRPr="00CB4BB2">
              <w:rPr>
                <w:rFonts w:ascii="Corbel" w:hAnsi="Corbel" w:cs="Calibri"/>
                <w:color w:val="000000" w:themeColor="text1"/>
                <w:sz w:val="20"/>
                <w:szCs w:val="20"/>
              </w:rPr>
              <w:t>6. Report signed by relevant Victorian senior official providing an update on progress of completions initiatives underway and details of future developments to support the continued roll-out and/or expansion of other completions initiatives.</w:t>
            </w:r>
            <w:r w:rsidR="005502FA">
              <w:rPr>
                <w:rFonts w:ascii="Corbel" w:hAnsi="Corbel" w:cs="Calibri"/>
                <w:color w:val="000000" w:themeColor="text1"/>
                <w:sz w:val="20"/>
                <w:szCs w:val="20"/>
              </w:rPr>
              <w:t xml:space="preserve"> </w:t>
            </w:r>
            <w:r w:rsidR="005502FA" w:rsidRPr="005502FA">
              <w:rPr>
                <w:rFonts w:ascii="Corbel" w:hAnsi="Corbel" w:cs="Calibri"/>
                <w:color w:val="000000" w:themeColor="text1"/>
                <w:sz w:val="20"/>
                <w:szCs w:val="20"/>
              </w:rPr>
              <w:t>This includes:</w:t>
            </w:r>
          </w:p>
          <w:p w14:paraId="75130C41" w14:textId="77777777" w:rsidR="005502FA" w:rsidRPr="005502FA" w:rsidRDefault="005502FA" w:rsidP="0036553E">
            <w:pPr>
              <w:numPr>
                <w:ilvl w:val="0"/>
                <w:numId w:val="26"/>
              </w:numPr>
              <w:rPr>
                <w:rFonts w:ascii="Corbel" w:hAnsi="Corbel" w:cs="Calibri"/>
                <w:color w:val="000000" w:themeColor="text1"/>
                <w:sz w:val="20"/>
                <w:szCs w:val="20"/>
              </w:rPr>
            </w:pPr>
            <w:r w:rsidRPr="005502FA">
              <w:rPr>
                <w:rFonts w:ascii="Corbel" w:hAnsi="Corbel" w:cs="Calibri"/>
                <w:color w:val="000000" w:themeColor="text1"/>
                <w:sz w:val="20"/>
                <w:szCs w:val="20"/>
              </w:rPr>
              <w:t>Evaluation of CRM module pilot rollout to first tranche of TAFEs</w:t>
            </w:r>
          </w:p>
          <w:p w14:paraId="76CA1012" w14:textId="77777777" w:rsidR="005502FA" w:rsidRPr="005502FA" w:rsidRDefault="005502FA" w:rsidP="0036553E">
            <w:pPr>
              <w:numPr>
                <w:ilvl w:val="0"/>
                <w:numId w:val="26"/>
              </w:numPr>
              <w:rPr>
                <w:rFonts w:ascii="Corbel" w:hAnsi="Corbel" w:cs="Calibri"/>
                <w:color w:val="000000" w:themeColor="text1"/>
                <w:sz w:val="20"/>
                <w:szCs w:val="20"/>
              </w:rPr>
            </w:pPr>
            <w:r w:rsidRPr="005502FA">
              <w:rPr>
                <w:rFonts w:ascii="Corbel" w:hAnsi="Corbel" w:cs="Calibri"/>
                <w:color w:val="000000" w:themeColor="text1"/>
                <w:sz w:val="20"/>
                <w:szCs w:val="20"/>
              </w:rPr>
              <w:t>Report on anticipated and actual delivery levels of TAFE wrap-around supports for at-risk learners</w:t>
            </w:r>
          </w:p>
          <w:p w14:paraId="40D7897C" w14:textId="77777777" w:rsidR="005502FA" w:rsidRPr="005502FA" w:rsidRDefault="005502FA" w:rsidP="0036553E">
            <w:pPr>
              <w:numPr>
                <w:ilvl w:val="0"/>
                <w:numId w:val="26"/>
              </w:numPr>
              <w:rPr>
                <w:rFonts w:ascii="Corbel" w:hAnsi="Corbel" w:cs="Calibri"/>
                <w:color w:val="000000" w:themeColor="text1"/>
                <w:sz w:val="20"/>
                <w:szCs w:val="20"/>
              </w:rPr>
            </w:pPr>
            <w:r w:rsidRPr="005502FA">
              <w:rPr>
                <w:rFonts w:ascii="Corbel" w:hAnsi="Corbel" w:cs="Calibri"/>
                <w:color w:val="000000" w:themeColor="text1"/>
                <w:sz w:val="20"/>
                <w:szCs w:val="20"/>
              </w:rPr>
              <w:t>Raising Expectations: Progress report with relevant performance indicators</w:t>
            </w:r>
          </w:p>
          <w:p w14:paraId="27C23922" w14:textId="77777777" w:rsidR="005502FA" w:rsidRPr="005502FA" w:rsidRDefault="005502FA" w:rsidP="0036553E">
            <w:pPr>
              <w:numPr>
                <w:ilvl w:val="0"/>
                <w:numId w:val="26"/>
              </w:numPr>
              <w:rPr>
                <w:rFonts w:ascii="Corbel" w:hAnsi="Corbel" w:cs="Calibri"/>
                <w:color w:val="000000" w:themeColor="text1"/>
                <w:sz w:val="20"/>
                <w:szCs w:val="20"/>
              </w:rPr>
            </w:pPr>
            <w:r w:rsidRPr="005502FA">
              <w:rPr>
                <w:rFonts w:ascii="Corbel" w:hAnsi="Corbel" w:cs="Calibri"/>
                <w:color w:val="000000" w:themeColor="text1"/>
                <w:sz w:val="20"/>
                <w:szCs w:val="20"/>
              </w:rPr>
              <w:t>LNSUPPORT performance measures.</w:t>
            </w:r>
          </w:p>
          <w:p w14:paraId="50A68290" w14:textId="61169415" w:rsidR="003B3BDE" w:rsidRPr="00CB4BB2" w:rsidRDefault="003B3BDE" w:rsidP="003B3BDE">
            <w:pPr>
              <w:spacing w:after="120"/>
              <w:rPr>
                <w:rFonts w:ascii="Corbel" w:hAnsi="Corbel" w:cs="Calibri"/>
                <w:color w:val="000000" w:themeColor="text1"/>
                <w:sz w:val="20"/>
                <w:szCs w:val="20"/>
              </w:rPr>
            </w:pPr>
          </w:p>
          <w:p w14:paraId="252158FB" w14:textId="1EEC6EA4" w:rsidR="003B3BDE" w:rsidRPr="00CB4BB2" w:rsidRDefault="003B3BDE" w:rsidP="003B3BDE">
            <w:pPr>
              <w:rPr>
                <w:rFonts w:ascii="Corbel" w:hAnsi="Corbel"/>
                <w:b/>
                <w:bCs/>
              </w:rPr>
            </w:pPr>
            <w:r w:rsidRPr="00CB4BB2">
              <w:rPr>
                <w:rFonts w:ascii="Corbel" w:hAnsi="Corbel"/>
                <w:color w:val="000000" w:themeColor="text1"/>
                <w:sz w:val="20"/>
                <w:szCs w:val="20"/>
              </w:rPr>
              <w:lastRenderedPageBreak/>
              <w:t>This will include performance indicators for existing measures, evaluations of any initiatives that concluded in 2027, and timelines and sequencing of any new initiatives for the final year of the agreement.</w:t>
            </w:r>
          </w:p>
        </w:tc>
        <w:tc>
          <w:tcPr>
            <w:tcW w:w="976" w:type="pct"/>
          </w:tcPr>
          <w:p w14:paraId="510658B2" w14:textId="02098635" w:rsidR="003B3BDE" w:rsidRPr="00CB4BB2" w:rsidRDefault="265A7E24" w:rsidP="5A1ACE45">
            <w:pPr>
              <w:rPr>
                <w:rFonts w:ascii="Corbel" w:hAnsi="Corbel"/>
                <w:color w:val="000000" w:themeColor="text1"/>
                <w:sz w:val="20"/>
                <w:szCs w:val="20"/>
              </w:rPr>
            </w:pPr>
            <w:r w:rsidRPr="5A1ACE45">
              <w:rPr>
                <w:rFonts w:ascii="Corbel" w:hAnsi="Corbel"/>
                <w:b/>
                <w:bCs/>
                <w:color w:val="000000" w:themeColor="text1"/>
                <w:sz w:val="20"/>
                <w:szCs w:val="20"/>
              </w:rPr>
              <w:lastRenderedPageBreak/>
              <w:t>6</w:t>
            </w:r>
            <w:r w:rsidRPr="5A1ACE45">
              <w:rPr>
                <w:rFonts w:ascii="Corbel" w:hAnsi="Corbel"/>
                <w:color w:val="000000" w:themeColor="text1"/>
                <w:sz w:val="20"/>
                <w:szCs w:val="20"/>
              </w:rPr>
              <w:t>:</w:t>
            </w:r>
            <w:r w:rsidR="00286D8A">
              <w:rPr>
                <w:rFonts w:ascii="Corbel" w:hAnsi="Corbel"/>
                <w:color w:val="000000" w:themeColor="text1"/>
                <w:sz w:val="20"/>
                <w:szCs w:val="20"/>
              </w:rPr>
              <w:t xml:space="preserve"> </w:t>
            </w:r>
            <w:r w:rsidRPr="5A1ACE45">
              <w:rPr>
                <w:rFonts w:ascii="Corbel" w:hAnsi="Corbel"/>
                <w:color w:val="000000" w:themeColor="text1"/>
                <w:sz w:val="20"/>
                <w:szCs w:val="20"/>
              </w:rPr>
              <w:t>$15.899 million consisting of:</w:t>
            </w:r>
          </w:p>
          <w:p w14:paraId="7B857249"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LNSUPPORT- $</w:t>
            </w:r>
            <w:r>
              <w:rPr>
                <w:rFonts w:ascii="Corbel" w:hAnsi="Corbel"/>
                <w:color w:val="000000" w:themeColor="text1"/>
                <w:sz w:val="20"/>
                <w:szCs w:val="20"/>
              </w:rPr>
              <w:t>7</w:t>
            </w:r>
            <w:r w:rsidRPr="00CB4BB2">
              <w:rPr>
                <w:rFonts w:ascii="Corbel" w:hAnsi="Corbel"/>
                <w:color w:val="000000" w:themeColor="text1"/>
                <w:sz w:val="20"/>
                <w:szCs w:val="20"/>
              </w:rPr>
              <w:t>.</w:t>
            </w:r>
            <w:r>
              <w:rPr>
                <w:rFonts w:ascii="Corbel" w:hAnsi="Corbel"/>
                <w:color w:val="000000" w:themeColor="text1"/>
                <w:sz w:val="20"/>
                <w:szCs w:val="20"/>
              </w:rPr>
              <w:t>329</w:t>
            </w:r>
            <w:r w:rsidRPr="00CB4BB2">
              <w:rPr>
                <w:rFonts w:ascii="Corbel" w:hAnsi="Corbel"/>
                <w:color w:val="000000" w:themeColor="text1"/>
                <w:sz w:val="20"/>
                <w:szCs w:val="20"/>
              </w:rPr>
              <w:t xml:space="preserve"> million</w:t>
            </w:r>
          </w:p>
          <w:p w14:paraId="497E619D"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Wraparound Supports - $</w:t>
            </w:r>
            <w:r>
              <w:rPr>
                <w:rFonts w:ascii="Corbel" w:hAnsi="Corbel"/>
                <w:color w:val="000000" w:themeColor="text1"/>
                <w:sz w:val="20"/>
                <w:szCs w:val="20"/>
              </w:rPr>
              <w:t>8.570</w:t>
            </w:r>
            <w:r w:rsidRPr="00CB4BB2">
              <w:rPr>
                <w:rFonts w:ascii="Corbel" w:hAnsi="Corbel"/>
                <w:color w:val="000000" w:themeColor="text1"/>
                <w:sz w:val="20"/>
                <w:szCs w:val="20"/>
              </w:rPr>
              <w:t xml:space="preserve"> million</w:t>
            </w:r>
          </w:p>
          <w:p w14:paraId="62D1FD49" w14:textId="77777777" w:rsidR="003B3BDE" w:rsidRPr="00CB4BB2" w:rsidRDefault="003B3BDE" w:rsidP="00192720">
            <w:pPr>
              <w:rPr>
                <w:rFonts w:ascii="Corbel" w:hAnsi="Corbel"/>
                <w:b/>
                <w:bCs/>
              </w:rPr>
            </w:pPr>
          </w:p>
        </w:tc>
        <w:tc>
          <w:tcPr>
            <w:tcW w:w="976" w:type="pct"/>
          </w:tcPr>
          <w:p w14:paraId="2CEED53A" w14:textId="25793978" w:rsidR="003B3BDE" w:rsidRPr="00CB4BB2" w:rsidRDefault="003B3BDE" w:rsidP="003B3BDE">
            <w:pPr>
              <w:rPr>
                <w:rFonts w:ascii="Corbel" w:hAnsi="Corbel"/>
              </w:rPr>
            </w:pPr>
            <w:r w:rsidRPr="00CB4BB2">
              <w:rPr>
                <w:rFonts w:ascii="Corbel" w:hAnsi="Corbel"/>
                <w:color w:val="000000" w:themeColor="text1"/>
                <w:sz w:val="20"/>
                <w:szCs w:val="20"/>
              </w:rPr>
              <w:t>March 2028</w:t>
            </w:r>
          </w:p>
        </w:tc>
      </w:tr>
      <w:tr w:rsidR="003B3BDE" w:rsidRPr="00CB4BB2" w14:paraId="3578FF33" w14:textId="77777777" w:rsidTr="5A1ACE45">
        <w:tc>
          <w:tcPr>
            <w:tcW w:w="1675" w:type="pct"/>
          </w:tcPr>
          <w:p w14:paraId="248B9933" w14:textId="67B684E2" w:rsidR="003B3BDE" w:rsidRPr="00CB4BB2" w:rsidRDefault="003B3BDE" w:rsidP="003B3BDE">
            <w:pPr>
              <w:spacing w:line="240" w:lineRule="auto"/>
              <w:rPr>
                <w:rFonts w:ascii="Corbel" w:hAnsi="Corbel"/>
                <w:color w:val="000000" w:themeColor="text1"/>
                <w:sz w:val="20"/>
                <w:szCs w:val="20"/>
              </w:rPr>
            </w:pPr>
            <w:r w:rsidRPr="00CB4BB2">
              <w:rPr>
                <w:rFonts w:ascii="Corbel" w:hAnsi="Corbel"/>
                <w:b/>
                <w:bCs/>
                <w:color w:val="000000" w:themeColor="text1"/>
                <w:sz w:val="20"/>
                <w:szCs w:val="20"/>
              </w:rPr>
              <w:t>Milestone 7</w:t>
            </w:r>
            <w:r w:rsidRPr="00CB4BB2">
              <w:rPr>
                <w:rFonts w:ascii="Corbel" w:hAnsi="Corbel"/>
                <w:color w:val="000000" w:themeColor="text1"/>
                <w:sz w:val="20"/>
                <w:szCs w:val="20"/>
              </w:rPr>
              <w:t xml:space="preserve">. Commonwealth acceptance of final completions report which will acquit Victoria’s suite of completions initiatives over the life of the NSA. </w:t>
            </w:r>
          </w:p>
        </w:tc>
        <w:tc>
          <w:tcPr>
            <w:tcW w:w="1373" w:type="pct"/>
          </w:tcPr>
          <w:p w14:paraId="0C4DAD7B" w14:textId="0614BC0B" w:rsidR="004E2B54" w:rsidRPr="004E2B54" w:rsidRDefault="003B3BDE" w:rsidP="004E2B54">
            <w:pPr>
              <w:spacing w:after="60" w:line="240" w:lineRule="auto"/>
              <w:rPr>
                <w:rFonts w:ascii="Corbel" w:hAnsi="Corbel" w:cs="Calibri"/>
                <w:color w:val="000000" w:themeColor="text1"/>
                <w:sz w:val="20"/>
                <w:szCs w:val="20"/>
              </w:rPr>
            </w:pPr>
            <w:r w:rsidRPr="0036553E">
              <w:rPr>
                <w:rFonts w:ascii="Corbel" w:hAnsi="Corbel" w:cs="Calibri"/>
                <w:color w:val="000000" w:themeColor="text1"/>
                <w:sz w:val="20"/>
                <w:szCs w:val="20"/>
              </w:rPr>
              <w:t>7. Final acquittal report signed by relevant Victorian senior official.</w:t>
            </w:r>
            <w:r w:rsidR="004E2B54">
              <w:rPr>
                <w:rFonts w:ascii="Corbel" w:hAnsi="Corbel" w:cs="Calibri"/>
                <w:color w:val="000000" w:themeColor="text1"/>
                <w:sz w:val="20"/>
                <w:szCs w:val="20"/>
              </w:rPr>
              <w:t xml:space="preserve"> </w:t>
            </w:r>
            <w:r w:rsidR="004E2B54" w:rsidRPr="004E2B54">
              <w:rPr>
                <w:rFonts w:ascii="Corbel" w:hAnsi="Corbel" w:cs="Calibri"/>
                <w:color w:val="000000" w:themeColor="text1"/>
                <w:sz w:val="20"/>
                <w:szCs w:val="20"/>
              </w:rPr>
              <w:t xml:space="preserve"> This includes:</w:t>
            </w:r>
          </w:p>
          <w:p w14:paraId="1B05123D" w14:textId="77777777" w:rsidR="004E2B54" w:rsidRPr="004E2B54" w:rsidRDefault="004E2B54" w:rsidP="004E2B54">
            <w:pPr>
              <w:spacing w:after="60" w:line="240" w:lineRule="auto"/>
              <w:rPr>
                <w:rFonts w:ascii="Corbel" w:hAnsi="Corbel" w:cs="Calibri"/>
                <w:color w:val="000000" w:themeColor="text1"/>
                <w:sz w:val="20"/>
                <w:szCs w:val="20"/>
              </w:rPr>
            </w:pPr>
            <w:r w:rsidRPr="004E2B54">
              <w:rPr>
                <w:rFonts w:ascii="Corbel" w:hAnsi="Corbel" w:cs="Calibri"/>
                <w:color w:val="000000" w:themeColor="text1"/>
                <w:sz w:val="20"/>
                <w:szCs w:val="20"/>
              </w:rPr>
              <w:t>report on the final evaluation of the:</w:t>
            </w:r>
          </w:p>
          <w:p w14:paraId="2C997DBC" w14:textId="77777777" w:rsidR="004E2B54" w:rsidRPr="004E2B54" w:rsidRDefault="004E2B54" w:rsidP="0036553E">
            <w:pPr>
              <w:numPr>
                <w:ilvl w:val="0"/>
                <w:numId w:val="26"/>
              </w:numPr>
              <w:rPr>
                <w:rFonts w:ascii="Corbel" w:hAnsi="Corbel" w:cs="Calibri"/>
                <w:color w:val="000000" w:themeColor="text1"/>
                <w:sz w:val="20"/>
                <w:szCs w:val="20"/>
              </w:rPr>
            </w:pPr>
            <w:r w:rsidRPr="004E2B54">
              <w:rPr>
                <w:rFonts w:ascii="Corbel" w:hAnsi="Corbel" w:cs="Calibri"/>
                <w:color w:val="000000" w:themeColor="text1"/>
                <w:sz w:val="20"/>
                <w:szCs w:val="20"/>
              </w:rPr>
              <w:t>CRM model pilot</w:t>
            </w:r>
          </w:p>
          <w:p w14:paraId="17796B64" w14:textId="77777777" w:rsidR="004E2B54" w:rsidRPr="004E2B54" w:rsidRDefault="004E2B54" w:rsidP="0036553E">
            <w:pPr>
              <w:numPr>
                <w:ilvl w:val="0"/>
                <w:numId w:val="26"/>
              </w:numPr>
              <w:rPr>
                <w:rFonts w:ascii="Corbel" w:hAnsi="Corbel" w:cs="Calibri"/>
                <w:color w:val="000000" w:themeColor="text1"/>
                <w:sz w:val="20"/>
                <w:szCs w:val="20"/>
              </w:rPr>
            </w:pPr>
            <w:r w:rsidRPr="004E2B54">
              <w:rPr>
                <w:rFonts w:ascii="Corbel" w:hAnsi="Corbel" w:cs="Calibri"/>
                <w:color w:val="000000" w:themeColor="text1"/>
                <w:sz w:val="20"/>
                <w:szCs w:val="20"/>
              </w:rPr>
              <w:t xml:space="preserve"> TAFE wrap-around supports </w:t>
            </w:r>
          </w:p>
          <w:p w14:paraId="2819A9DB" w14:textId="77777777" w:rsidR="004E2B54" w:rsidRPr="004E2B54" w:rsidRDefault="004E2B54" w:rsidP="0036553E">
            <w:pPr>
              <w:numPr>
                <w:ilvl w:val="0"/>
                <w:numId w:val="26"/>
              </w:numPr>
              <w:rPr>
                <w:rFonts w:ascii="Corbel" w:hAnsi="Corbel" w:cs="Calibri"/>
                <w:color w:val="000000" w:themeColor="text1"/>
                <w:sz w:val="20"/>
                <w:szCs w:val="20"/>
              </w:rPr>
            </w:pPr>
            <w:r w:rsidRPr="004E2B54">
              <w:rPr>
                <w:rFonts w:ascii="Corbel" w:hAnsi="Corbel" w:cs="Calibri"/>
                <w:color w:val="000000" w:themeColor="text1"/>
                <w:sz w:val="20"/>
                <w:szCs w:val="20"/>
              </w:rPr>
              <w:t>Raising Expectations</w:t>
            </w:r>
          </w:p>
          <w:p w14:paraId="7B95F7D1" w14:textId="77777777" w:rsidR="004E2B54" w:rsidRPr="004E2B54" w:rsidRDefault="004E2B54" w:rsidP="0036553E">
            <w:pPr>
              <w:numPr>
                <w:ilvl w:val="0"/>
                <w:numId w:val="26"/>
              </w:numPr>
              <w:rPr>
                <w:rFonts w:ascii="Corbel" w:hAnsi="Corbel" w:cs="Calibri"/>
                <w:color w:val="000000" w:themeColor="text1"/>
                <w:sz w:val="20"/>
                <w:szCs w:val="20"/>
              </w:rPr>
            </w:pPr>
            <w:r w:rsidRPr="004E2B54">
              <w:rPr>
                <w:rFonts w:ascii="Corbel" w:hAnsi="Corbel" w:cs="Calibri"/>
                <w:color w:val="000000" w:themeColor="text1"/>
                <w:sz w:val="20"/>
                <w:szCs w:val="20"/>
              </w:rPr>
              <w:t>LNSUPPORT performance measures</w:t>
            </w:r>
          </w:p>
          <w:p w14:paraId="5F338F7B" w14:textId="43511525" w:rsidR="003B3BDE" w:rsidRPr="0036553E" w:rsidRDefault="004E2B54" w:rsidP="0036553E">
            <w:pPr>
              <w:numPr>
                <w:ilvl w:val="0"/>
                <w:numId w:val="26"/>
              </w:numPr>
              <w:rPr>
                <w:rFonts w:ascii="Corbel" w:hAnsi="Corbel"/>
                <w:b/>
                <w:bCs/>
              </w:rPr>
            </w:pPr>
            <w:r w:rsidRPr="004E2B54">
              <w:rPr>
                <w:rFonts w:ascii="Corbel" w:hAnsi="Corbel" w:cs="Calibri"/>
                <w:color w:val="000000" w:themeColor="text1"/>
                <w:sz w:val="20"/>
                <w:szCs w:val="20"/>
              </w:rPr>
              <w:t>Financial expenditure information to allow final reconciliation of matched funding.</w:t>
            </w:r>
          </w:p>
        </w:tc>
        <w:tc>
          <w:tcPr>
            <w:tcW w:w="976" w:type="pct"/>
          </w:tcPr>
          <w:p w14:paraId="40D12D18" w14:textId="32B44767" w:rsidR="003B3BDE" w:rsidRPr="001B1CBB" w:rsidRDefault="003B3BDE" w:rsidP="003B3BDE">
            <w:pPr>
              <w:rPr>
                <w:rFonts w:ascii="Corbel" w:hAnsi="Corbel" w:cstheme="minorHAnsi"/>
                <w:color w:val="000000" w:themeColor="text1"/>
                <w:sz w:val="20"/>
                <w:szCs w:val="20"/>
              </w:rPr>
            </w:pPr>
            <w:r>
              <w:rPr>
                <w:rFonts w:ascii="Corbel" w:hAnsi="Corbel"/>
                <w:b/>
                <w:bCs/>
                <w:color w:val="000000" w:themeColor="text1"/>
                <w:sz w:val="20"/>
                <w:szCs w:val="20"/>
              </w:rPr>
              <w:t xml:space="preserve">7. </w:t>
            </w:r>
            <w:r w:rsidRPr="001B1CBB">
              <w:rPr>
                <w:rFonts w:ascii="Corbel" w:hAnsi="Corbel" w:cstheme="minorHAnsi"/>
                <w:color w:val="000000" w:themeColor="text1"/>
                <w:sz w:val="20"/>
                <w:szCs w:val="20"/>
              </w:rPr>
              <w:t>$8.45</w:t>
            </w:r>
            <w:r w:rsidR="00B50E0F">
              <w:rPr>
                <w:rFonts w:ascii="Corbel" w:hAnsi="Corbel" w:cstheme="minorHAnsi"/>
                <w:color w:val="000000" w:themeColor="text1"/>
                <w:sz w:val="20"/>
                <w:szCs w:val="20"/>
              </w:rPr>
              <w:t>3</w:t>
            </w:r>
            <w:r w:rsidRPr="001B1CBB">
              <w:rPr>
                <w:rFonts w:ascii="Corbel" w:hAnsi="Corbel" w:cstheme="minorHAnsi"/>
                <w:color w:val="000000" w:themeColor="text1"/>
                <w:sz w:val="20"/>
                <w:szCs w:val="20"/>
              </w:rPr>
              <w:t xml:space="preserve"> million</w:t>
            </w:r>
            <w:r>
              <w:rPr>
                <w:rFonts w:ascii="Corbel" w:hAnsi="Corbel" w:cstheme="minorHAnsi"/>
                <w:color w:val="000000" w:themeColor="text1"/>
                <w:sz w:val="20"/>
                <w:szCs w:val="20"/>
              </w:rPr>
              <w:t xml:space="preserve"> consisting of:</w:t>
            </w:r>
          </w:p>
          <w:p w14:paraId="33BBDA8B" w14:textId="6BBA796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LNSUPPORT- $</w:t>
            </w:r>
            <w:r>
              <w:rPr>
                <w:rFonts w:ascii="Corbel" w:hAnsi="Corbel"/>
                <w:color w:val="000000" w:themeColor="text1"/>
                <w:sz w:val="20"/>
                <w:szCs w:val="20"/>
              </w:rPr>
              <w:t>4</w:t>
            </w:r>
            <w:r w:rsidRPr="00CB4BB2">
              <w:rPr>
                <w:rFonts w:ascii="Corbel" w:hAnsi="Corbel"/>
                <w:color w:val="000000" w:themeColor="text1"/>
                <w:sz w:val="20"/>
                <w:szCs w:val="20"/>
              </w:rPr>
              <w:t>.</w:t>
            </w:r>
            <w:r>
              <w:rPr>
                <w:rFonts w:ascii="Corbel" w:hAnsi="Corbel"/>
                <w:color w:val="000000" w:themeColor="text1"/>
                <w:sz w:val="20"/>
                <w:szCs w:val="20"/>
              </w:rPr>
              <w:t>16</w:t>
            </w:r>
            <w:r w:rsidR="00B50E0F">
              <w:rPr>
                <w:rFonts w:ascii="Corbel" w:hAnsi="Corbel"/>
                <w:color w:val="000000" w:themeColor="text1"/>
                <w:sz w:val="20"/>
                <w:szCs w:val="20"/>
              </w:rPr>
              <w:t>3</w:t>
            </w:r>
            <w:r w:rsidRPr="00CB4BB2">
              <w:rPr>
                <w:rFonts w:ascii="Corbel" w:hAnsi="Corbel"/>
                <w:color w:val="000000" w:themeColor="text1"/>
                <w:sz w:val="20"/>
                <w:szCs w:val="20"/>
              </w:rPr>
              <w:t xml:space="preserve"> million</w:t>
            </w:r>
          </w:p>
          <w:p w14:paraId="48BBE4C1" w14:textId="77777777" w:rsidR="003B3BDE" w:rsidRPr="00CB4BB2" w:rsidRDefault="003B3BDE" w:rsidP="003B3BDE">
            <w:pPr>
              <w:pStyle w:val="ListParagraph"/>
              <w:numPr>
                <w:ilvl w:val="0"/>
                <w:numId w:val="8"/>
              </w:numPr>
              <w:spacing w:line="240" w:lineRule="auto"/>
              <w:ind w:left="357" w:hanging="357"/>
              <w:rPr>
                <w:rFonts w:ascii="Corbel" w:hAnsi="Corbel"/>
                <w:color w:val="000000" w:themeColor="text1"/>
                <w:sz w:val="20"/>
                <w:szCs w:val="20"/>
              </w:rPr>
            </w:pPr>
            <w:r w:rsidRPr="00CB4BB2">
              <w:rPr>
                <w:rFonts w:ascii="Corbel" w:hAnsi="Corbel"/>
                <w:color w:val="000000" w:themeColor="text1"/>
                <w:sz w:val="20"/>
                <w:szCs w:val="20"/>
              </w:rPr>
              <w:t>Wraparound Supports - $</w:t>
            </w:r>
            <w:r>
              <w:rPr>
                <w:rFonts w:ascii="Corbel" w:hAnsi="Corbel"/>
                <w:color w:val="000000" w:themeColor="text1"/>
                <w:sz w:val="20"/>
                <w:szCs w:val="20"/>
              </w:rPr>
              <w:t>4.290</w:t>
            </w:r>
            <w:r w:rsidRPr="00CB4BB2">
              <w:rPr>
                <w:rFonts w:ascii="Corbel" w:hAnsi="Corbel"/>
                <w:color w:val="000000" w:themeColor="text1"/>
                <w:sz w:val="20"/>
                <w:szCs w:val="20"/>
              </w:rPr>
              <w:t xml:space="preserve"> million</w:t>
            </w:r>
          </w:p>
          <w:p w14:paraId="2B1B4BF2" w14:textId="1E2C364E" w:rsidR="003B3BDE" w:rsidRPr="00CB4BB2" w:rsidRDefault="003B3BDE" w:rsidP="5A1ACE45">
            <w:pPr>
              <w:rPr>
                <w:rFonts w:ascii="Corbel" w:hAnsi="Corbel"/>
                <w:b/>
                <w:bCs/>
              </w:rPr>
            </w:pPr>
          </w:p>
        </w:tc>
        <w:tc>
          <w:tcPr>
            <w:tcW w:w="976" w:type="pct"/>
          </w:tcPr>
          <w:p w14:paraId="513D3DCF" w14:textId="462904EF" w:rsidR="003B3BDE" w:rsidRPr="00CB4BB2" w:rsidRDefault="003B3BDE" w:rsidP="003B3BDE">
            <w:pPr>
              <w:rPr>
                <w:rFonts w:ascii="Corbel" w:hAnsi="Corbel"/>
              </w:rPr>
            </w:pPr>
            <w:r w:rsidRPr="00CB4BB2">
              <w:rPr>
                <w:rFonts w:ascii="Corbel" w:hAnsi="Corbel"/>
                <w:color w:val="000000" w:themeColor="text1"/>
                <w:sz w:val="20"/>
                <w:szCs w:val="20"/>
              </w:rPr>
              <w:t>31 December 2028</w:t>
            </w:r>
          </w:p>
        </w:tc>
      </w:tr>
      <w:tr w:rsidR="003B3BDE" w:rsidRPr="00CB4BB2" w14:paraId="263286F8" w14:textId="77777777" w:rsidTr="5A1ACE45">
        <w:tc>
          <w:tcPr>
            <w:tcW w:w="1675" w:type="pct"/>
          </w:tcPr>
          <w:p w14:paraId="7DE30890" w14:textId="2EAF117A" w:rsidR="003B3BDE" w:rsidRPr="00CB4BB2" w:rsidRDefault="003B3BDE" w:rsidP="003B3BDE">
            <w:pPr>
              <w:rPr>
                <w:rFonts w:ascii="Corbel" w:hAnsi="Corbel"/>
                <w:color w:val="000000" w:themeColor="text1"/>
                <w:sz w:val="20"/>
                <w:szCs w:val="20"/>
              </w:rPr>
            </w:pPr>
          </w:p>
        </w:tc>
        <w:tc>
          <w:tcPr>
            <w:tcW w:w="1373" w:type="pct"/>
          </w:tcPr>
          <w:p w14:paraId="09CC6FA1" w14:textId="65CAB1AD" w:rsidR="003B3BDE" w:rsidRPr="00CB4BB2" w:rsidRDefault="003B3BDE" w:rsidP="003B3BDE">
            <w:pPr>
              <w:rPr>
                <w:rFonts w:ascii="Corbel" w:hAnsi="Corbel" w:cs="Calibri"/>
                <w:color w:val="000000" w:themeColor="text1"/>
                <w:sz w:val="20"/>
                <w:szCs w:val="20"/>
              </w:rPr>
            </w:pPr>
            <w:r w:rsidRPr="00CB4BB2">
              <w:rPr>
                <w:rFonts w:ascii="Corbel" w:hAnsi="Corbel"/>
                <w:b/>
                <w:bCs/>
              </w:rPr>
              <w:t>Total</w:t>
            </w:r>
          </w:p>
        </w:tc>
        <w:tc>
          <w:tcPr>
            <w:tcW w:w="976" w:type="pct"/>
          </w:tcPr>
          <w:p w14:paraId="503F5132" w14:textId="5EE819C1" w:rsidR="003B3BDE" w:rsidRPr="00CB4BB2" w:rsidRDefault="003B3BDE" w:rsidP="003B3BDE">
            <w:pPr>
              <w:rPr>
                <w:rFonts w:ascii="Corbel" w:hAnsi="Corbel"/>
                <w:b/>
                <w:bCs/>
              </w:rPr>
            </w:pPr>
            <w:r w:rsidRPr="00CB4BB2">
              <w:rPr>
                <w:rFonts w:ascii="Corbel" w:hAnsi="Corbel"/>
                <w:b/>
                <w:bCs/>
              </w:rPr>
              <w:t>($) 61.5</w:t>
            </w:r>
            <w:r w:rsidRPr="00CB4BB2">
              <w:rPr>
                <w:rFonts w:ascii="Corbel" w:hAnsi="Corbel"/>
                <w:b/>
              </w:rPr>
              <w:t xml:space="preserve"> million</w:t>
            </w:r>
          </w:p>
        </w:tc>
        <w:tc>
          <w:tcPr>
            <w:tcW w:w="976" w:type="pct"/>
          </w:tcPr>
          <w:p w14:paraId="281AC634" w14:textId="3E4EAC8B" w:rsidR="003B3BDE" w:rsidRPr="00CB4BB2" w:rsidRDefault="003B3BDE" w:rsidP="003B3BDE">
            <w:pPr>
              <w:rPr>
                <w:rFonts w:ascii="Corbel" w:hAnsi="Corbel"/>
              </w:rPr>
            </w:pPr>
          </w:p>
        </w:tc>
      </w:tr>
    </w:tbl>
    <w:p w14:paraId="0EFCCAB4" w14:textId="14E48D27" w:rsidR="000A0C3D" w:rsidRPr="00CB4BB2" w:rsidRDefault="00F43BC1" w:rsidP="000A0C3D">
      <w:pPr>
        <w:rPr>
          <w:rFonts w:ascii="Corbel" w:hAnsi="Corbel"/>
        </w:rPr>
      </w:pPr>
      <w:r w:rsidRPr="00CB4BB2">
        <w:rPr>
          <w:rFonts w:ascii="Corbel" w:eastAsia="Corbel" w:hAnsi="Corbel" w:cs="Corbel"/>
          <w:b/>
          <w:bCs/>
          <w:caps/>
          <w:color w:val="980033"/>
        </w:rPr>
        <w:br w:type="textWrapping" w:clear="all"/>
      </w:r>
    </w:p>
    <w:p w14:paraId="640092D9" w14:textId="3E0E0F30" w:rsidR="000A0C3D" w:rsidRPr="00CD2C4D" w:rsidRDefault="000A0C3D">
      <w:pPr>
        <w:rPr>
          <w:rFonts w:ascii="Corbel" w:hAnsi="Corbel"/>
          <w:b/>
          <w:bCs/>
        </w:rPr>
        <w:sectPr w:rsidR="000A0C3D" w:rsidRPr="00CD2C4D" w:rsidSect="000323DC">
          <w:pgSz w:w="16838" w:h="11906" w:orient="landscape"/>
          <w:pgMar w:top="1440" w:right="1440" w:bottom="1440" w:left="1440" w:header="708" w:footer="708" w:gutter="0"/>
          <w:cols w:space="708"/>
          <w:docGrid w:linePitch="360"/>
        </w:sectPr>
      </w:pPr>
    </w:p>
    <w:p w14:paraId="420C3B60" w14:textId="77777777" w:rsidR="00C16AD0" w:rsidRPr="0046498A" w:rsidRDefault="00C16AD0" w:rsidP="00C16AD0">
      <w:pPr>
        <w:rPr>
          <w:rFonts w:ascii="Corbel" w:hAnsi="Corbel"/>
          <w:lang w:val="en-GB"/>
        </w:rPr>
      </w:pPr>
      <w:r w:rsidRPr="0046498A">
        <w:rPr>
          <w:rFonts w:ascii="Corbel" w:hAnsi="Corbel"/>
          <w:lang w:val="en-GB"/>
        </w:rPr>
        <w:lastRenderedPageBreak/>
        <w:t xml:space="preserve">The Parties have confirmed their commitment to this </w:t>
      </w:r>
      <w:r>
        <w:rPr>
          <w:rFonts w:ascii="Corbel" w:hAnsi="Corbel"/>
          <w:lang w:val="en-GB"/>
        </w:rPr>
        <w:t>implementation plan</w:t>
      </w:r>
      <w:r w:rsidRPr="0046498A">
        <w:rPr>
          <w:rFonts w:ascii="Corbel" w:hAnsi="Corbel"/>
          <w:lang w:val="en-GB"/>
        </w:rPr>
        <w:t xml:space="preserve"> as follows:</w:t>
      </w:r>
    </w:p>
    <w:p w14:paraId="6A4E99BB" w14:textId="77777777" w:rsidR="00C16AD0" w:rsidRPr="0046498A" w:rsidRDefault="00C16AD0" w:rsidP="00C16AD0">
      <w:pPr>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16AD0" w:rsidRPr="0046498A" w14:paraId="00B6F8E7" w14:textId="77777777" w:rsidTr="007C436D">
        <w:trPr>
          <w:cantSplit/>
          <w:jc w:val="center"/>
        </w:trPr>
        <w:tc>
          <w:tcPr>
            <w:tcW w:w="4536" w:type="dxa"/>
          </w:tcPr>
          <w:p w14:paraId="646C7C30" w14:textId="77777777" w:rsidR="00C16AD0" w:rsidRPr="0046498A" w:rsidRDefault="00C16AD0" w:rsidP="007C436D">
            <w:pPr>
              <w:pStyle w:val="Signed"/>
              <w:jc w:val="left"/>
              <w:rPr>
                <w:rFonts w:ascii="Corbel" w:hAnsi="Corbel"/>
              </w:rPr>
            </w:pPr>
            <w:r w:rsidRPr="0046498A">
              <w:rPr>
                <w:rStyle w:val="SignedBold"/>
                <w:rFonts w:ascii="Corbel" w:hAnsi="Corbel"/>
              </w:rPr>
              <w:t>Signed</w:t>
            </w:r>
            <w:r w:rsidRPr="0046498A">
              <w:rPr>
                <w:rFonts w:ascii="Corbel" w:hAnsi="Corbel"/>
              </w:rPr>
              <w:t xml:space="preserve"> for and on behalf of the Commonwealth of Australia by</w:t>
            </w:r>
          </w:p>
          <w:p w14:paraId="30E534CD" w14:textId="77777777" w:rsidR="00C16AD0" w:rsidRPr="0046498A" w:rsidRDefault="00C16AD0" w:rsidP="007C436D">
            <w:pPr>
              <w:pStyle w:val="LineForSignature"/>
              <w:rPr>
                <w:rFonts w:ascii="Corbel" w:hAnsi="Corbel"/>
              </w:rPr>
            </w:pPr>
          </w:p>
          <w:p w14:paraId="64275D82" w14:textId="77777777" w:rsidR="00C16AD0" w:rsidRPr="0046498A" w:rsidRDefault="00C16AD0" w:rsidP="007C436D">
            <w:pPr>
              <w:pStyle w:val="LineForSignature"/>
              <w:rPr>
                <w:rFonts w:ascii="Corbel" w:hAnsi="Corbel"/>
              </w:rPr>
            </w:pPr>
            <w:r w:rsidRPr="0046498A">
              <w:rPr>
                <w:rFonts w:ascii="Corbel" w:hAnsi="Corbel"/>
              </w:rPr>
              <w:tab/>
            </w:r>
          </w:p>
          <w:p w14:paraId="553B378A" w14:textId="77777777" w:rsidR="00C16AD0" w:rsidRPr="0046498A" w:rsidRDefault="00C16AD0" w:rsidP="007C436D">
            <w:pPr>
              <w:pStyle w:val="SingleParagraph"/>
              <w:rPr>
                <w:rStyle w:val="Bold"/>
              </w:rPr>
            </w:pPr>
            <w:r w:rsidRPr="0046498A">
              <w:rPr>
                <w:rStyle w:val="Bold"/>
              </w:rPr>
              <w:t>The Honourable Andrew Giles MP</w:t>
            </w:r>
          </w:p>
          <w:p w14:paraId="5BCE97E0" w14:textId="77777777" w:rsidR="00C16AD0" w:rsidRPr="0046498A" w:rsidRDefault="00C16AD0" w:rsidP="007C436D">
            <w:pPr>
              <w:pStyle w:val="Position"/>
              <w:rPr>
                <w:lang w:val="en-GB"/>
              </w:rPr>
            </w:pPr>
            <w:r w:rsidRPr="0046498A">
              <w:rPr>
                <w:lang w:val="en-GB"/>
              </w:rPr>
              <w:t>Minister for Skills and Training</w:t>
            </w:r>
          </w:p>
          <w:p w14:paraId="1FA5580D" w14:textId="7CEDAAF7" w:rsidR="00C16AD0" w:rsidRPr="0046498A" w:rsidRDefault="00307D39" w:rsidP="007C436D">
            <w:pPr>
              <w:pStyle w:val="SingleParagraph"/>
              <w:tabs>
                <w:tab w:val="num" w:pos="1134"/>
              </w:tabs>
              <w:spacing w:after="240"/>
              <w:rPr>
                <w:b/>
                <w:lang w:val="en-GB"/>
              </w:rPr>
            </w:pPr>
            <w:r>
              <w:rPr>
                <w:lang w:val="en-GB"/>
              </w:rPr>
              <w:t xml:space="preserve">      /           /</w:t>
            </w:r>
          </w:p>
        </w:tc>
        <w:tc>
          <w:tcPr>
            <w:tcW w:w="283" w:type="dxa"/>
          </w:tcPr>
          <w:p w14:paraId="252F9EE0" w14:textId="77777777" w:rsidR="00C16AD0" w:rsidRPr="0046498A" w:rsidRDefault="00C16AD0" w:rsidP="007C436D">
            <w:pPr>
              <w:pStyle w:val="Signed"/>
              <w:rPr>
                <w:rStyle w:val="SignedBold"/>
                <w:rFonts w:ascii="Corbel" w:hAnsi="Corbel"/>
                <w:b w:val="0"/>
                <w:bCs w:val="0"/>
              </w:rPr>
            </w:pPr>
          </w:p>
        </w:tc>
        <w:tc>
          <w:tcPr>
            <w:tcW w:w="4536" w:type="dxa"/>
          </w:tcPr>
          <w:p w14:paraId="2EEEBB09" w14:textId="77777777" w:rsidR="00C16AD0" w:rsidRPr="0046498A" w:rsidRDefault="00C16AD0" w:rsidP="007C436D">
            <w:pPr>
              <w:pStyle w:val="Signed"/>
              <w:rPr>
                <w:rFonts w:ascii="Corbel" w:hAnsi="Corbel"/>
              </w:rPr>
            </w:pPr>
            <w:r w:rsidRPr="0046498A">
              <w:rPr>
                <w:rStyle w:val="SignedBold"/>
                <w:rFonts w:ascii="Corbel" w:hAnsi="Corbel"/>
              </w:rPr>
              <w:t>Signed</w:t>
            </w:r>
            <w:r w:rsidRPr="0046498A">
              <w:rPr>
                <w:rFonts w:ascii="Corbel" w:hAnsi="Corbel"/>
              </w:rPr>
              <w:t xml:space="preserve"> for and on behalf of the State of Victoria by</w:t>
            </w:r>
          </w:p>
          <w:p w14:paraId="178A22F0" w14:textId="77777777" w:rsidR="00C16AD0" w:rsidRPr="0046498A" w:rsidRDefault="00C16AD0" w:rsidP="007C436D">
            <w:pPr>
              <w:pStyle w:val="LineForSignature"/>
              <w:rPr>
                <w:rFonts w:ascii="Corbel" w:hAnsi="Corbel"/>
              </w:rPr>
            </w:pPr>
          </w:p>
          <w:p w14:paraId="296AFC6C" w14:textId="77777777" w:rsidR="00C16AD0" w:rsidRPr="0046498A" w:rsidRDefault="00C16AD0" w:rsidP="007C436D">
            <w:pPr>
              <w:pStyle w:val="LineForSignature"/>
              <w:rPr>
                <w:rFonts w:ascii="Corbel" w:hAnsi="Corbel"/>
              </w:rPr>
            </w:pPr>
            <w:r w:rsidRPr="0046498A">
              <w:rPr>
                <w:rFonts w:ascii="Corbel" w:hAnsi="Corbel"/>
              </w:rPr>
              <w:tab/>
            </w:r>
          </w:p>
          <w:p w14:paraId="08628DA9" w14:textId="77777777" w:rsidR="00C16AD0" w:rsidRPr="0046498A" w:rsidRDefault="00C16AD0" w:rsidP="007C436D">
            <w:pPr>
              <w:pStyle w:val="SingleParagraph"/>
              <w:rPr>
                <w:rStyle w:val="Bold"/>
              </w:rPr>
            </w:pPr>
            <w:r w:rsidRPr="0046498A">
              <w:rPr>
                <w:rStyle w:val="Bold"/>
              </w:rPr>
              <w:t>The Honourable Gayle Tierney MP</w:t>
            </w:r>
          </w:p>
          <w:p w14:paraId="47E13861" w14:textId="77777777" w:rsidR="00C16AD0" w:rsidRPr="0046498A" w:rsidRDefault="00C16AD0" w:rsidP="007C436D">
            <w:pPr>
              <w:pStyle w:val="Position"/>
              <w:rPr>
                <w:lang w:val="en-GB"/>
              </w:rPr>
            </w:pPr>
            <w:r w:rsidRPr="0046498A">
              <w:rPr>
                <w:lang w:val="en-GB"/>
              </w:rPr>
              <w:t>Minister for Skills and TAFE</w:t>
            </w:r>
          </w:p>
          <w:p w14:paraId="263CAC9E" w14:textId="32C3F58F" w:rsidR="00C16AD0" w:rsidRPr="0046498A" w:rsidRDefault="00307D39" w:rsidP="007C436D">
            <w:pPr>
              <w:rPr>
                <w:rFonts w:ascii="Corbel" w:hAnsi="Corbel"/>
                <w:lang w:val="en-GB"/>
              </w:rPr>
            </w:pPr>
            <w:r>
              <w:rPr>
                <w:rFonts w:ascii="Corbel" w:hAnsi="Corbel"/>
                <w:lang w:val="en-GB"/>
              </w:rPr>
              <w:t xml:space="preserve">      /           /</w:t>
            </w:r>
          </w:p>
        </w:tc>
      </w:tr>
    </w:tbl>
    <w:p w14:paraId="0EE7FB37" w14:textId="3DF7AC37" w:rsidR="00C16AD0" w:rsidRDefault="00C16AD0">
      <w:pPr>
        <w:spacing w:line="278" w:lineRule="auto"/>
        <w:rPr>
          <w:rFonts w:ascii="Corbel" w:eastAsia="Corbel" w:hAnsi="Corbel" w:cs="Corbel"/>
          <w:b/>
          <w:bCs/>
          <w:caps/>
          <w:color w:val="980033"/>
          <w:sz w:val="28"/>
          <w:szCs w:val="28"/>
        </w:rPr>
      </w:pPr>
    </w:p>
    <w:sectPr w:rsidR="00C16AD0" w:rsidSect="00886F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8D88" w14:textId="77777777" w:rsidR="00BF729D" w:rsidRDefault="00BF729D" w:rsidP="000323DC">
      <w:pPr>
        <w:spacing w:after="0" w:line="240" w:lineRule="auto"/>
      </w:pPr>
      <w:r>
        <w:separator/>
      </w:r>
    </w:p>
  </w:endnote>
  <w:endnote w:type="continuationSeparator" w:id="0">
    <w:p w14:paraId="131F89ED" w14:textId="77777777" w:rsidR="00BF729D" w:rsidRDefault="00BF729D" w:rsidP="000323DC">
      <w:pPr>
        <w:spacing w:after="0" w:line="240" w:lineRule="auto"/>
      </w:pPr>
      <w:r>
        <w:continuationSeparator/>
      </w:r>
    </w:p>
  </w:endnote>
  <w:endnote w:type="continuationNotice" w:id="1">
    <w:p w14:paraId="2892AFBD" w14:textId="77777777" w:rsidR="00BF729D" w:rsidRDefault="00BF7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AF28" w14:textId="1AB10609" w:rsidR="000323DC" w:rsidRDefault="00AE333C">
    <w:pPr>
      <w:pStyle w:val="Footer"/>
    </w:pPr>
    <w:r>
      <w:rPr>
        <w:noProof/>
      </w:rPr>
      <mc:AlternateContent>
        <mc:Choice Requires="wps">
          <w:drawing>
            <wp:anchor distT="0" distB="0" distL="0" distR="0" simplePos="0" relativeHeight="251658243" behindDoc="0" locked="0" layoutInCell="1" allowOverlap="1" wp14:anchorId="14413F9F" wp14:editId="3B84EAC6">
              <wp:simplePos x="635" y="635"/>
              <wp:positionH relativeFrom="page">
                <wp:align>center</wp:align>
              </wp:positionH>
              <wp:positionV relativeFrom="page">
                <wp:align>bottom</wp:align>
              </wp:positionV>
              <wp:extent cx="1389380" cy="379730"/>
              <wp:effectExtent l="0" t="0" r="1270" b="0"/>
              <wp:wrapNone/>
              <wp:docPr id="320421089"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83F0B07" w14:textId="2596F2F2"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13F9F" id="_x0000_t202" coordsize="21600,21600" o:spt="202" path="m,l,21600r21600,l21600,xe">
              <v:stroke joinstyle="miter"/>
              <v:path gradientshapeok="t" o:connecttype="rect"/>
            </v:shapetype>
            <v:shape id="Text Box 5" o:spid="_x0000_s1027" type="#_x0000_t202" alt="OFFICIAL: Sensitive" style="position:absolute;margin-left:0;margin-top:0;width:109.4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9DQ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" filled="f" stroked="f">
              <v:textbox style="mso-fit-shape-to-text:t" inset="0,0,0,15pt">
                <w:txbxContent>
                  <w:p w14:paraId="783F0B07" w14:textId="2596F2F2"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025282"/>
      <w:docPartObj>
        <w:docPartGallery w:val="Page Numbers (Bottom of Page)"/>
        <w:docPartUnique/>
      </w:docPartObj>
    </w:sdtPr>
    <w:sdtEndPr>
      <w:rPr>
        <w:noProof/>
      </w:rPr>
    </w:sdtEndPr>
    <w:sdtContent>
      <w:p w14:paraId="3F9A5DEF" w14:textId="40C8DB69" w:rsidR="00FA4042" w:rsidRDefault="00FA40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AAFC2" w14:textId="569A64BB" w:rsidR="008F78DE" w:rsidRDefault="008F7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E799" w14:textId="4796B458" w:rsidR="000323DC" w:rsidRDefault="00AE333C">
    <w:pPr>
      <w:pStyle w:val="Footer"/>
    </w:pPr>
    <w:r>
      <w:rPr>
        <w:noProof/>
      </w:rPr>
      <mc:AlternateContent>
        <mc:Choice Requires="wps">
          <w:drawing>
            <wp:anchor distT="0" distB="0" distL="0" distR="0" simplePos="0" relativeHeight="251658242" behindDoc="0" locked="0" layoutInCell="1" allowOverlap="1" wp14:anchorId="7B916D0E" wp14:editId="2783B584">
              <wp:simplePos x="635" y="635"/>
              <wp:positionH relativeFrom="page">
                <wp:align>center</wp:align>
              </wp:positionH>
              <wp:positionV relativeFrom="page">
                <wp:align>bottom</wp:align>
              </wp:positionV>
              <wp:extent cx="1389380" cy="379730"/>
              <wp:effectExtent l="0" t="0" r="1270" b="0"/>
              <wp:wrapNone/>
              <wp:docPr id="712738873"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62C6747E" w14:textId="726FF69D"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16D0E" id="_x0000_t202" coordsize="21600,21600" o:spt="202" path="m,l,21600r21600,l21600,xe">
              <v:stroke joinstyle="miter"/>
              <v:path gradientshapeok="t" o:connecttype="rect"/>
            </v:shapetype>
            <v:shape id="Text Box 4" o:spid="_x0000_s1029" type="#_x0000_t202" alt="OFFICIAL: Sensitive" style="position:absolute;margin-left:0;margin-top:0;width:109.4pt;height:29.9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SGDg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" filled="f" stroked="f">
              <v:textbox style="mso-fit-shape-to-text:t" inset="0,0,0,15pt">
                <w:txbxContent>
                  <w:p w14:paraId="62C6747E" w14:textId="726FF69D"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4EE6" w14:textId="77777777" w:rsidR="00BF729D" w:rsidRDefault="00BF729D" w:rsidP="000323DC">
      <w:pPr>
        <w:spacing w:after="0" w:line="240" w:lineRule="auto"/>
      </w:pPr>
      <w:r>
        <w:separator/>
      </w:r>
    </w:p>
  </w:footnote>
  <w:footnote w:type="continuationSeparator" w:id="0">
    <w:p w14:paraId="2D2D8ED0" w14:textId="77777777" w:rsidR="00BF729D" w:rsidRDefault="00BF729D" w:rsidP="000323DC">
      <w:pPr>
        <w:spacing w:after="0" w:line="240" w:lineRule="auto"/>
      </w:pPr>
      <w:r>
        <w:continuationSeparator/>
      </w:r>
    </w:p>
  </w:footnote>
  <w:footnote w:type="continuationNotice" w:id="1">
    <w:p w14:paraId="0B118288" w14:textId="77777777" w:rsidR="00BF729D" w:rsidRDefault="00BF729D">
      <w:pPr>
        <w:spacing w:after="0" w:line="240" w:lineRule="auto"/>
      </w:pPr>
    </w:p>
  </w:footnote>
  <w:footnote w:id="2">
    <w:p w14:paraId="6B428AC1" w14:textId="20544072" w:rsidR="00BE2298" w:rsidRPr="00E91F23" w:rsidRDefault="00BE2298" w:rsidP="00E91F23">
      <w:pPr>
        <w:pStyle w:val="FootnoteText"/>
      </w:pPr>
      <w:r>
        <w:rPr>
          <w:rStyle w:val="FootnoteReference"/>
        </w:rPr>
        <w:footnoteRef/>
      </w:r>
      <w:r>
        <w:t xml:space="preserve"> Callan</w:t>
      </w:r>
      <w:r w:rsidR="00446FB6">
        <w:t>, Victor J</w:t>
      </w:r>
      <w:r w:rsidR="00E07884">
        <w:t xml:space="preserve"> </w:t>
      </w:r>
      <w:r w:rsidR="00DF3A8F">
        <w:t xml:space="preserve">(NCVER, </w:t>
      </w:r>
      <w:r w:rsidR="00E07884">
        <w:t>2005</w:t>
      </w:r>
      <w:r w:rsidR="00DF3A8F">
        <w:t>)</w:t>
      </w:r>
      <w:r w:rsidR="00E91F23">
        <w:t xml:space="preserve"> </w:t>
      </w:r>
      <w:r w:rsidR="00E91F23" w:rsidRPr="00E91F23">
        <w:rPr>
          <w:i/>
          <w:iCs/>
        </w:rPr>
        <w:t>Why do students</w:t>
      </w:r>
      <w:r w:rsidR="009947E4">
        <w:rPr>
          <w:i/>
          <w:iCs/>
        </w:rPr>
        <w:t xml:space="preserve"> </w:t>
      </w:r>
      <w:r w:rsidR="00E91F23" w:rsidRPr="00E91F23">
        <w:rPr>
          <w:i/>
          <w:iCs/>
        </w:rPr>
        <w:t>leave? Leaving vocational education and training with no recorded achievement</w:t>
      </w:r>
      <w:r w:rsidR="009947E4" w:rsidDel="00DF3A8F">
        <w:t>.</w:t>
      </w:r>
    </w:p>
  </w:footnote>
  <w:footnote w:id="3">
    <w:p w14:paraId="7FB7E730" w14:textId="6DCCD86B" w:rsidR="00C55D00" w:rsidRDefault="00C55D00">
      <w:pPr>
        <w:pStyle w:val="FootnoteText"/>
      </w:pPr>
      <w:r>
        <w:rPr>
          <w:rStyle w:val="FootnoteReference"/>
        </w:rPr>
        <w:footnoteRef/>
      </w:r>
      <w:r>
        <w:t xml:space="preserve"> </w:t>
      </w:r>
      <w:r w:rsidRPr="00C55D00">
        <w:t xml:space="preserve">HoR Standing Committee on Employment, Education and Training (2024), </w:t>
      </w:r>
      <w:r w:rsidRPr="00C55D00">
        <w:rPr>
          <w:i/>
          <w:iCs/>
        </w:rPr>
        <w:t>Don't take it as read Inquiry into adult literacy and its importance</w:t>
      </w:r>
      <w:r w:rsidRPr="00C55D0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E2B2" w14:textId="2BF06CD3" w:rsidR="000323DC" w:rsidRDefault="00AE333C">
    <w:pPr>
      <w:pStyle w:val="Header"/>
    </w:pPr>
    <w:r>
      <w:rPr>
        <w:noProof/>
      </w:rPr>
      <mc:AlternateContent>
        <mc:Choice Requires="wps">
          <w:drawing>
            <wp:anchor distT="0" distB="0" distL="0" distR="0" simplePos="0" relativeHeight="251658241" behindDoc="0" locked="0" layoutInCell="1" allowOverlap="1" wp14:anchorId="418B9EB0" wp14:editId="10DD2823">
              <wp:simplePos x="635" y="635"/>
              <wp:positionH relativeFrom="page">
                <wp:align>center</wp:align>
              </wp:positionH>
              <wp:positionV relativeFrom="page">
                <wp:align>top</wp:align>
              </wp:positionV>
              <wp:extent cx="1389380" cy="379730"/>
              <wp:effectExtent l="0" t="0" r="1270" b="1270"/>
              <wp:wrapNone/>
              <wp:docPr id="144734327"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36BDEB9F" w14:textId="2F05070F"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8B9EB0"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36BDEB9F" w14:textId="2F05070F"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084A" w14:textId="432B62C9" w:rsidR="000323DC" w:rsidRDefault="00AE333C">
    <w:pPr>
      <w:pStyle w:val="Header"/>
    </w:pPr>
    <w:r>
      <w:rPr>
        <w:noProof/>
      </w:rPr>
      <mc:AlternateContent>
        <mc:Choice Requires="wps">
          <w:drawing>
            <wp:anchor distT="0" distB="0" distL="0" distR="0" simplePos="0" relativeHeight="251658240" behindDoc="0" locked="0" layoutInCell="1" allowOverlap="1" wp14:anchorId="72797F4D" wp14:editId="7141C61B">
              <wp:simplePos x="635" y="635"/>
              <wp:positionH relativeFrom="page">
                <wp:align>center</wp:align>
              </wp:positionH>
              <wp:positionV relativeFrom="page">
                <wp:align>top</wp:align>
              </wp:positionV>
              <wp:extent cx="1389380" cy="379730"/>
              <wp:effectExtent l="0" t="0" r="1270" b="1270"/>
              <wp:wrapNone/>
              <wp:docPr id="572296732"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690F5238" w14:textId="0BD214D9"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797F4D" id="_x0000_t202" coordsize="21600,21600" o:spt="202" path="m,l,21600r21600,l21600,xe">
              <v:stroke joinstyle="miter"/>
              <v:path gradientshapeok="t" o:connecttype="rect"/>
            </v:shapetype>
            <v:shape id="Text Box 1" o:spid="_x0000_s1028" type="#_x0000_t202" alt="OFFICIAL: Sensitive" style="position:absolute;margin-left:0;margin-top:0;width:109.4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fDe3Dw8CAAAd&#10;BAAADgAAAAAAAAAAAAAAAAAuAgAAZHJzL2Uyb0RvYy54bWxQSwECLQAUAAYACAAAACEA1PqPvtoA&#10;AAAEAQAADwAAAAAAAAAAAAAAAABpBAAAZHJzL2Rvd25yZXYueG1sUEsFBgAAAAAEAAQA8wAAAHAF&#10;AAAAAA==&#10;" filled="f" stroked="f">
              <v:textbox style="mso-fit-shape-to-text:t" inset="0,15pt,0,0">
                <w:txbxContent>
                  <w:p w14:paraId="690F5238" w14:textId="0BD214D9" w:rsidR="00AE333C" w:rsidRPr="00AE333C" w:rsidRDefault="00AE333C" w:rsidP="00AE333C">
                    <w:pPr>
                      <w:spacing w:after="0"/>
                      <w:rPr>
                        <w:rFonts w:ascii="Arial" w:eastAsia="Arial" w:hAnsi="Arial" w:cs="Arial"/>
                        <w:noProof/>
                        <w:color w:val="000000"/>
                        <w:sz w:val="24"/>
                        <w:szCs w:val="24"/>
                      </w:rPr>
                    </w:pPr>
                    <w:r w:rsidRPr="00AE333C">
                      <w:rPr>
                        <w:rFonts w:ascii="Arial" w:eastAsia="Arial" w:hAnsi="Arial" w:cs="Arial"/>
                        <w:noProof/>
                        <w:color w:val="00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070"/>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184EE4"/>
    <w:multiLevelType w:val="hybridMultilevel"/>
    <w:tmpl w:val="74EE4C6A"/>
    <w:lvl w:ilvl="0" w:tplc="17CE8ED0">
      <w:start w:val="1"/>
      <w:numFmt w:val="lowerRoman"/>
      <w:lvlText w:val="%1."/>
      <w:lvlJc w:val="right"/>
      <w:pPr>
        <w:ind w:left="1020" w:hanging="360"/>
      </w:pPr>
    </w:lvl>
    <w:lvl w:ilvl="1" w:tplc="2438BFDC">
      <w:start w:val="1"/>
      <w:numFmt w:val="lowerRoman"/>
      <w:lvlText w:val="%2."/>
      <w:lvlJc w:val="right"/>
      <w:pPr>
        <w:ind w:left="1020" w:hanging="360"/>
      </w:pPr>
    </w:lvl>
    <w:lvl w:ilvl="2" w:tplc="F0826560">
      <w:start w:val="1"/>
      <w:numFmt w:val="lowerRoman"/>
      <w:lvlText w:val="%3."/>
      <w:lvlJc w:val="right"/>
      <w:pPr>
        <w:ind w:left="1020" w:hanging="360"/>
      </w:pPr>
    </w:lvl>
    <w:lvl w:ilvl="3" w:tplc="7C0A0BB2">
      <w:start w:val="1"/>
      <w:numFmt w:val="lowerRoman"/>
      <w:lvlText w:val="%4."/>
      <w:lvlJc w:val="right"/>
      <w:pPr>
        <w:ind w:left="1020" w:hanging="360"/>
      </w:pPr>
    </w:lvl>
    <w:lvl w:ilvl="4" w:tplc="09BEFB18">
      <w:start w:val="1"/>
      <w:numFmt w:val="lowerRoman"/>
      <w:lvlText w:val="%5."/>
      <w:lvlJc w:val="right"/>
      <w:pPr>
        <w:ind w:left="1020" w:hanging="360"/>
      </w:pPr>
    </w:lvl>
    <w:lvl w:ilvl="5" w:tplc="4D74ACC0">
      <w:start w:val="1"/>
      <w:numFmt w:val="lowerRoman"/>
      <w:lvlText w:val="%6."/>
      <w:lvlJc w:val="right"/>
      <w:pPr>
        <w:ind w:left="1020" w:hanging="360"/>
      </w:pPr>
    </w:lvl>
    <w:lvl w:ilvl="6" w:tplc="D1EA890E">
      <w:start w:val="1"/>
      <w:numFmt w:val="lowerRoman"/>
      <w:lvlText w:val="%7."/>
      <w:lvlJc w:val="right"/>
      <w:pPr>
        <w:ind w:left="1020" w:hanging="360"/>
      </w:pPr>
    </w:lvl>
    <w:lvl w:ilvl="7" w:tplc="51C8E6F2">
      <w:start w:val="1"/>
      <w:numFmt w:val="lowerRoman"/>
      <w:lvlText w:val="%8."/>
      <w:lvlJc w:val="right"/>
      <w:pPr>
        <w:ind w:left="1020" w:hanging="360"/>
      </w:pPr>
    </w:lvl>
    <w:lvl w:ilvl="8" w:tplc="6BB2F2FA">
      <w:start w:val="1"/>
      <w:numFmt w:val="lowerRoman"/>
      <w:lvlText w:val="%9."/>
      <w:lvlJc w:val="right"/>
      <w:pPr>
        <w:ind w:left="1020" w:hanging="36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51198"/>
    <w:multiLevelType w:val="hybridMultilevel"/>
    <w:tmpl w:val="C65651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21FC9"/>
    <w:multiLevelType w:val="hybridMultilevel"/>
    <w:tmpl w:val="58481E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716B3F"/>
    <w:multiLevelType w:val="hybridMultilevel"/>
    <w:tmpl w:val="47DC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D4CA8"/>
    <w:multiLevelType w:val="hybridMultilevel"/>
    <w:tmpl w:val="D6366CB8"/>
    <w:lvl w:ilvl="0" w:tplc="0C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37C83E52"/>
    <w:multiLevelType w:val="hybridMultilevel"/>
    <w:tmpl w:val="32CE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365CB2"/>
    <w:multiLevelType w:val="hybridMultilevel"/>
    <w:tmpl w:val="BC660CB0"/>
    <w:lvl w:ilvl="0" w:tplc="1F3219A8">
      <w:start w:val="1"/>
      <w:numFmt w:val="lowerRoman"/>
      <w:lvlText w:val="%1."/>
      <w:lvlJc w:val="right"/>
      <w:pPr>
        <w:ind w:left="1020" w:hanging="360"/>
      </w:pPr>
    </w:lvl>
    <w:lvl w:ilvl="1" w:tplc="AEB25672">
      <w:start w:val="1"/>
      <w:numFmt w:val="lowerRoman"/>
      <w:lvlText w:val="%2."/>
      <w:lvlJc w:val="right"/>
      <w:pPr>
        <w:ind w:left="1020" w:hanging="360"/>
      </w:pPr>
    </w:lvl>
    <w:lvl w:ilvl="2" w:tplc="C2F853F8">
      <w:start w:val="1"/>
      <w:numFmt w:val="lowerRoman"/>
      <w:lvlText w:val="%3."/>
      <w:lvlJc w:val="right"/>
      <w:pPr>
        <w:ind w:left="1020" w:hanging="360"/>
      </w:pPr>
    </w:lvl>
    <w:lvl w:ilvl="3" w:tplc="AFC490B8">
      <w:start w:val="1"/>
      <w:numFmt w:val="lowerRoman"/>
      <w:lvlText w:val="%4."/>
      <w:lvlJc w:val="right"/>
      <w:pPr>
        <w:ind w:left="1020" w:hanging="360"/>
      </w:pPr>
    </w:lvl>
    <w:lvl w:ilvl="4" w:tplc="8F7C32AA">
      <w:start w:val="1"/>
      <w:numFmt w:val="lowerRoman"/>
      <w:lvlText w:val="%5."/>
      <w:lvlJc w:val="right"/>
      <w:pPr>
        <w:ind w:left="1020" w:hanging="360"/>
      </w:pPr>
    </w:lvl>
    <w:lvl w:ilvl="5" w:tplc="071C0E2E">
      <w:start w:val="1"/>
      <w:numFmt w:val="lowerRoman"/>
      <w:lvlText w:val="%6."/>
      <w:lvlJc w:val="right"/>
      <w:pPr>
        <w:ind w:left="1020" w:hanging="360"/>
      </w:pPr>
    </w:lvl>
    <w:lvl w:ilvl="6" w:tplc="7736BE84">
      <w:start w:val="1"/>
      <w:numFmt w:val="lowerRoman"/>
      <w:lvlText w:val="%7."/>
      <w:lvlJc w:val="right"/>
      <w:pPr>
        <w:ind w:left="1020" w:hanging="360"/>
      </w:pPr>
    </w:lvl>
    <w:lvl w:ilvl="7" w:tplc="5732B222">
      <w:start w:val="1"/>
      <w:numFmt w:val="lowerRoman"/>
      <w:lvlText w:val="%8."/>
      <w:lvlJc w:val="right"/>
      <w:pPr>
        <w:ind w:left="1020" w:hanging="360"/>
      </w:pPr>
    </w:lvl>
    <w:lvl w:ilvl="8" w:tplc="2FD0931A">
      <w:start w:val="1"/>
      <w:numFmt w:val="lowerRoman"/>
      <w:lvlText w:val="%9."/>
      <w:lvlJc w:val="right"/>
      <w:pPr>
        <w:ind w:left="1020" w:hanging="360"/>
      </w:pPr>
    </w:lvl>
  </w:abstractNum>
  <w:abstractNum w:abstractNumId="11"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3" w15:restartNumberingAfterBreak="0">
    <w:nsid w:val="43A138D0"/>
    <w:multiLevelType w:val="hybridMultilevel"/>
    <w:tmpl w:val="689EEB86"/>
    <w:lvl w:ilvl="0" w:tplc="FFAABE32">
      <w:start w:val="1"/>
      <w:numFmt w:val="lowerRoman"/>
      <w:lvlText w:val="%1."/>
      <w:lvlJc w:val="right"/>
      <w:pPr>
        <w:ind w:left="1020" w:hanging="360"/>
      </w:pPr>
    </w:lvl>
    <w:lvl w:ilvl="1" w:tplc="16D698C6">
      <w:start w:val="1"/>
      <w:numFmt w:val="lowerRoman"/>
      <w:lvlText w:val="%2."/>
      <w:lvlJc w:val="right"/>
      <w:pPr>
        <w:ind w:left="1020" w:hanging="360"/>
      </w:pPr>
    </w:lvl>
    <w:lvl w:ilvl="2" w:tplc="6148728E">
      <w:start w:val="1"/>
      <w:numFmt w:val="lowerRoman"/>
      <w:lvlText w:val="%3."/>
      <w:lvlJc w:val="right"/>
      <w:pPr>
        <w:ind w:left="1020" w:hanging="360"/>
      </w:pPr>
    </w:lvl>
    <w:lvl w:ilvl="3" w:tplc="14B01276">
      <w:start w:val="1"/>
      <w:numFmt w:val="lowerRoman"/>
      <w:lvlText w:val="%4."/>
      <w:lvlJc w:val="right"/>
      <w:pPr>
        <w:ind w:left="1020" w:hanging="360"/>
      </w:pPr>
    </w:lvl>
    <w:lvl w:ilvl="4" w:tplc="9DCE6E2E">
      <w:start w:val="1"/>
      <w:numFmt w:val="lowerRoman"/>
      <w:lvlText w:val="%5."/>
      <w:lvlJc w:val="right"/>
      <w:pPr>
        <w:ind w:left="1020" w:hanging="360"/>
      </w:pPr>
    </w:lvl>
    <w:lvl w:ilvl="5" w:tplc="6E1486CC">
      <w:start w:val="1"/>
      <w:numFmt w:val="lowerRoman"/>
      <w:lvlText w:val="%6."/>
      <w:lvlJc w:val="right"/>
      <w:pPr>
        <w:ind w:left="1020" w:hanging="360"/>
      </w:pPr>
    </w:lvl>
    <w:lvl w:ilvl="6" w:tplc="CC6E3F38">
      <w:start w:val="1"/>
      <w:numFmt w:val="lowerRoman"/>
      <w:lvlText w:val="%7."/>
      <w:lvlJc w:val="right"/>
      <w:pPr>
        <w:ind w:left="1020" w:hanging="360"/>
      </w:pPr>
    </w:lvl>
    <w:lvl w:ilvl="7" w:tplc="DC08A516">
      <w:start w:val="1"/>
      <w:numFmt w:val="lowerRoman"/>
      <w:lvlText w:val="%8."/>
      <w:lvlJc w:val="right"/>
      <w:pPr>
        <w:ind w:left="1020" w:hanging="360"/>
      </w:pPr>
    </w:lvl>
    <w:lvl w:ilvl="8" w:tplc="CE1490D2">
      <w:start w:val="1"/>
      <w:numFmt w:val="lowerRoman"/>
      <w:lvlText w:val="%9."/>
      <w:lvlJc w:val="right"/>
      <w:pPr>
        <w:ind w:left="1020" w:hanging="360"/>
      </w:pPr>
    </w:lvl>
  </w:abstractNum>
  <w:abstractNum w:abstractNumId="14" w15:restartNumberingAfterBreak="0">
    <w:nsid w:val="446D3A6A"/>
    <w:multiLevelType w:val="hybridMultilevel"/>
    <w:tmpl w:val="3D5E8E58"/>
    <w:lvl w:ilvl="0" w:tplc="2B4EA75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tplc="0C090001">
      <w:start w:val="1"/>
      <w:numFmt w:val="bullet"/>
      <w:lvlText w:val=""/>
      <w:lvlJc w:val="left"/>
      <w:pPr>
        <w:ind w:left="720" w:hanging="360"/>
      </w:pPr>
      <w:rPr>
        <w:rFonts w:ascii="Symbol" w:hAnsi="Symbol" w:hint="default"/>
      </w:rPr>
    </w:lvl>
    <w:lvl w:ilvl="2" w:tplc="E828E186">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7BC24DF4">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FAC634F6">
      <w:start w:val="1"/>
      <w:numFmt w:val="bullet"/>
      <w:lvlText w:val=""/>
      <w:lvlJc w:val="left"/>
      <w:pPr>
        <w:tabs>
          <w:tab w:val="num" w:pos="2211"/>
        </w:tabs>
        <w:ind w:left="2211" w:hanging="283"/>
      </w:pPr>
      <w:rPr>
        <w:rFonts w:ascii="Symbol" w:hAnsi="Symbol" w:hint="default"/>
        <w:b w:val="0"/>
        <w:i w:val="0"/>
        <w:vanish w:val="0"/>
        <w:color w:val="auto"/>
        <w:sz w:val="22"/>
      </w:rPr>
    </w:lvl>
    <w:lvl w:ilvl="5" w:tplc="2E76E99E">
      <w:start w:val="1"/>
      <w:numFmt w:val="bullet"/>
      <w:lvlText w:val=""/>
      <w:lvlJc w:val="left"/>
      <w:pPr>
        <w:tabs>
          <w:tab w:val="num" w:pos="2495"/>
        </w:tabs>
        <w:ind w:left="2495" w:hanging="284"/>
      </w:pPr>
      <w:rPr>
        <w:rFonts w:ascii="Symbol" w:hAnsi="Symbol" w:hint="default"/>
        <w:b w:val="0"/>
        <w:i w:val="0"/>
        <w:vanish w:val="0"/>
        <w:color w:val="auto"/>
        <w:sz w:val="22"/>
      </w:rPr>
    </w:lvl>
    <w:lvl w:ilvl="6" w:tplc="138C52A6">
      <w:start w:val="1"/>
      <w:numFmt w:val="bullet"/>
      <w:lvlText w:val=""/>
      <w:lvlJc w:val="left"/>
      <w:pPr>
        <w:tabs>
          <w:tab w:val="num" w:pos="2778"/>
        </w:tabs>
        <w:ind w:left="2778" w:hanging="283"/>
      </w:pPr>
      <w:rPr>
        <w:rFonts w:ascii="Symbol" w:hAnsi="Symbol" w:hint="default"/>
        <w:b w:val="0"/>
        <w:i w:val="0"/>
        <w:vanish w:val="0"/>
        <w:color w:val="auto"/>
        <w:sz w:val="22"/>
      </w:rPr>
    </w:lvl>
    <w:lvl w:ilvl="7" w:tplc="2F4A92BA">
      <w:start w:val="1"/>
      <w:numFmt w:val="bullet"/>
      <w:lvlText w:val=""/>
      <w:lvlJc w:val="left"/>
      <w:pPr>
        <w:tabs>
          <w:tab w:val="num" w:pos="3062"/>
        </w:tabs>
        <w:ind w:left="3062" w:hanging="284"/>
      </w:pPr>
      <w:rPr>
        <w:rFonts w:ascii="Symbol" w:hAnsi="Symbol" w:hint="default"/>
        <w:b w:val="0"/>
        <w:i w:val="0"/>
        <w:vanish w:val="0"/>
        <w:color w:val="auto"/>
        <w:sz w:val="22"/>
      </w:rPr>
    </w:lvl>
    <w:lvl w:ilvl="8" w:tplc="7D62BB44">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457E28DB"/>
    <w:multiLevelType w:val="hybridMultilevel"/>
    <w:tmpl w:val="1F58BCD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6" w15:restartNumberingAfterBreak="0">
    <w:nsid w:val="5BD01728"/>
    <w:multiLevelType w:val="hybridMultilevel"/>
    <w:tmpl w:val="0A5023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DAA03EC"/>
    <w:multiLevelType w:val="hybridMultilevel"/>
    <w:tmpl w:val="31F6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512C4"/>
    <w:multiLevelType w:val="hybridMultilevel"/>
    <w:tmpl w:val="C6565100"/>
    <w:lvl w:ilvl="0" w:tplc="0C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1E0C7D"/>
    <w:multiLevelType w:val="hybridMultilevel"/>
    <w:tmpl w:val="7BAA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494DB0"/>
    <w:multiLevelType w:val="hybridMultilevel"/>
    <w:tmpl w:val="16F405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720E1A"/>
    <w:multiLevelType w:val="hybridMultilevel"/>
    <w:tmpl w:val="4EDA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B4EE6"/>
    <w:multiLevelType w:val="hybridMultilevel"/>
    <w:tmpl w:val="279E5D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A07AE"/>
    <w:multiLevelType w:val="hybridMultilevel"/>
    <w:tmpl w:val="C6565100"/>
    <w:lvl w:ilvl="0" w:tplc="0C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E4169ED"/>
    <w:multiLevelType w:val="hybridMultilevel"/>
    <w:tmpl w:val="3A927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F622F52"/>
    <w:multiLevelType w:val="hybridMultilevel"/>
    <w:tmpl w:val="387EA36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729158021">
    <w:abstractNumId w:val="3"/>
  </w:num>
  <w:num w:numId="2" w16cid:durableId="1495996557">
    <w:abstractNumId w:val="2"/>
  </w:num>
  <w:num w:numId="3" w16cid:durableId="1195381823">
    <w:abstractNumId w:val="11"/>
  </w:num>
  <w:num w:numId="4" w16cid:durableId="1732534609">
    <w:abstractNumId w:val="7"/>
  </w:num>
  <w:num w:numId="5" w16cid:durableId="164319521">
    <w:abstractNumId w:val="5"/>
  </w:num>
  <w:num w:numId="6" w16cid:durableId="692995348">
    <w:abstractNumId w:val="16"/>
  </w:num>
  <w:num w:numId="7" w16cid:durableId="1180852485">
    <w:abstractNumId w:val="9"/>
  </w:num>
  <w:num w:numId="8" w16cid:durableId="507477619">
    <w:abstractNumId w:val="4"/>
  </w:num>
  <w:num w:numId="9" w16cid:durableId="854925342">
    <w:abstractNumId w:val="15"/>
  </w:num>
  <w:num w:numId="10" w16cid:durableId="980577362">
    <w:abstractNumId w:val="20"/>
  </w:num>
  <w:num w:numId="11" w16cid:durableId="130178506">
    <w:abstractNumId w:val="17"/>
  </w:num>
  <w:num w:numId="12" w16cid:durableId="1524396609">
    <w:abstractNumId w:val="14"/>
  </w:num>
  <w:num w:numId="13" w16cid:durableId="1287859448">
    <w:abstractNumId w:val="22"/>
  </w:num>
  <w:num w:numId="14" w16cid:durableId="458770005">
    <w:abstractNumId w:val="26"/>
  </w:num>
  <w:num w:numId="15" w16cid:durableId="579214883">
    <w:abstractNumId w:val="21"/>
  </w:num>
  <w:num w:numId="16" w16cid:durableId="1480465989">
    <w:abstractNumId w:val="23"/>
  </w:num>
  <w:num w:numId="17" w16cid:durableId="51541205">
    <w:abstractNumId w:val="8"/>
  </w:num>
  <w:num w:numId="18" w16cid:durableId="747993307">
    <w:abstractNumId w:val="12"/>
  </w:num>
  <w:num w:numId="19" w16cid:durableId="57293210">
    <w:abstractNumId w:val="6"/>
  </w:num>
  <w:num w:numId="20" w16cid:durableId="190145067">
    <w:abstractNumId w:val="19"/>
  </w:num>
  <w:num w:numId="21" w16cid:durableId="23748598">
    <w:abstractNumId w:val="1"/>
  </w:num>
  <w:num w:numId="22" w16cid:durableId="1513569145">
    <w:abstractNumId w:val="10"/>
  </w:num>
  <w:num w:numId="23" w16cid:durableId="738946479">
    <w:abstractNumId w:val="13"/>
  </w:num>
  <w:num w:numId="24" w16cid:durableId="658003855">
    <w:abstractNumId w:val="25"/>
  </w:num>
  <w:num w:numId="25" w16cid:durableId="778645649">
    <w:abstractNumId w:val="0"/>
  </w:num>
  <w:num w:numId="26" w16cid:durableId="835537404">
    <w:abstractNumId w:val="18"/>
  </w:num>
  <w:num w:numId="27" w16cid:durableId="1967006309">
    <w:abstractNumId w:val="24"/>
  </w:num>
  <w:num w:numId="28" w16cid:durableId="588386373">
    <w:abstractNumId w:val="15"/>
  </w:num>
  <w:num w:numId="29" w16cid:durableId="1793279753">
    <w:abstractNumId w:val="16"/>
  </w:num>
  <w:num w:numId="30" w16cid:durableId="1557282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DC"/>
    <w:rsid w:val="00000579"/>
    <w:rsid w:val="000011A4"/>
    <w:rsid w:val="0000137E"/>
    <w:rsid w:val="00002B5E"/>
    <w:rsid w:val="00003F70"/>
    <w:rsid w:val="0000430F"/>
    <w:rsid w:val="00004E6C"/>
    <w:rsid w:val="000067BB"/>
    <w:rsid w:val="00007340"/>
    <w:rsid w:val="00007ADF"/>
    <w:rsid w:val="00007CF4"/>
    <w:rsid w:val="000102BE"/>
    <w:rsid w:val="00010B59"/>
    <w:rsid w:val="0001226D"/>
    <w:rsid w:val="00014C98"/>
    <w:rsid w:val="000172D9"/>
    <w:rsid w:val="00017BFB"/>
    <w:rsid w:val="000201B5"/>
    <w:rsid w:val="000206E0"/>
    <w:rsid w:val="00021302"/>
    <w:rsid w:val="0002138D"/>
    <w:rsid w:val="00021A05"/>
    <w:rsid w:val="000230B9"/>
    <w:rsid w:val="00024472"/>
    <w:rsid w:val="000303BE"/>
    <w:rsid w:val="000316CC"/>
    <w:rsid w:val="00031CDE"/>
    <w:rsid w:val="000323DC"/>
    <w:rsid w:val="000344CA"/>
    <w:rsid w:val="00036864"/>
    <w:rsid w:val="00037306"/>
    <w:rsid w:val="0003765F"/>
    <w:rsid w:val="00040F5E"/>
    <w:rsid w:val="0004241A"/>
    <w:rsid w:val="0004476F"/>
    <w:rsid w:val="00044D10"/>
    <w:rsid w:val="00045D06"/>
    <w:rsid w:val="00045F33"/>
    <w:rsid w:val="000475E6"/>
    <w:rsid w:val="000476E4"/>
    <w:rsid w:val="0005098A"/>
    <w:rsid w:val="00053399"/>
    <w:rsid w:val="00053D6C"/>
    <w:rsid w:val="0005486D"/>
    <w:rsid w:val="00054E5B"/>
    <w:rsid w:val="00054F44"/>
    <w:rsid w:val="0005595D"/>
    <w:rsid w:val="00056B43"/>
    <w:rsid w:val="00060532"/>
    <w:rsid w:val="000607CB"/>
    <w:rsid w:val="00061FEA"/>
    <w:rsid w:val="00064040"/>
    <w:rsid w:val="0006548B"/>
    <w:rsid w:val="000660E4"/>
    <w:rsid w:val="00066844"/>
    <w:rsid w:val="000702E9"/>
    <w:rsid w:val="00071181"/>
    <w:rsid w:val="00072602"/>
    <w:rsid w:val="000734DE"/>
    <w:rsid w:val="0007376A"/>
    <w:rsid w:val="0007447B"/>
    <w:rsid w:val="00074B49"/>
    <w:rsid w:val="00075727"/>
    <w:rsid w:val="00076183"/>
    <w:rsid w:val="00076FBD"/>
    <w:rsid w:val="000803EC"/>
    <w:rsid w:val="00081089"/>
    <w:rsid w:val="0008251C"/>
    <w:rsid w:val="00082618"/>
    <w:rsid w:val="0008268D"/>
    <w:rsid w:val="0008567D"/>
    <w:rsid w:val="00085A40"/>
    <w:rsid w:val="0008618C"/>
    <w:rsid w:val="0009120C"/>
    <w:rsid w:val="0009355F"/>
    <w:rsid w:val="00094E79"/>
    <w:rsid w:val="00096383"/>
    <w:rsid w:val="000966B9"/>
    <w:rsid w:val="0009700E"/>
    <w:rsid w:val="0009760F"/>
    <w:rsid w:val="000A0C3D"/>
    <w:rsid w:val="000A14EE"/>
    <w:rsid w:val="000A21A3"/>
    <w:rsid w:val="000A2AA2"/>
    <w:rsid w:val="000A4B8E"/>
    <w:rsid w:val="000A71A0"/>
    <w:rsid w:val="000B0574"/>
    <w:rsid w:val="000B2D00"/>
    <w:rsid w:val="000B499B"/>
    <w:rsid w:val="000B5F3F"/>
    <w:rsid w:val="000B5F6C"/>
    <w:rsid w:val="000C1005"/>
    <w:rsid w:val="000C25B2"/>
    <w:rsid w:val="000C2691"/>
    <w:rsid w:val="000C494D"/>
    <w:rsid w:val="000D02AE"/>
    <w:rsid w:val="000D1C91"/>
    <w:rsid w:val="000D2979"/>
    <w:rsid w:val="000D2FEC"/>
    <w:rsid w:val="000D3579"/>
    <w:rsid w:val="000D4CBA"/>
    <w:rsid w:val="000D683A"/>
    <w:rsid w:val="000D6E8E"/>
    <w:rsid w:val="000D716C"/>
    <w:rsid w:val="000E1F55"/>
    <w:rsid w:val="000E2C44"/>
    <w:rsid w:val="000E2CFC"/>
    <w:rsid w:val="000E32E7"/>
    <w:rsid w:val="000E54F5"/>
    <w:rsid w:val="000E6042"/>
    <w:rsid w:val="000F1299"/>
    <w:rsid w:val="000F5BF4"/>
    <w:rsid w:val="000F66D5"/>
    <w:rsid w:val="000F6C20"/>
    <w:rsid w:val="000F7DB8"/>
    <w:rsid w:val="0010190F"/>
    <w:rsid w:val="00101B87"/>
    <w:rsid w:val="001024FA"/>
    <w:rsid w:val="00102C63"/>
    <w:rsid w:val="0010369A"/>
    <w:rsid w:val="00104264"/>
    <w:rsid w:val="00106838"/>
    <w:rsid w:val="0011044A"/>
    <w:rsid w:val="001133F8"/>
    <w:rsid w:val="00114227"/>
    <w:rsid w:val="00114EC3"/>
    <w:rsid w:val="00116334"/>
    <w:rsid w:val="00117035"/>
    <w:rsid w:val="0011703C"/>
    <w:rsid w:val="00117C37"/>
    <w:rsid w:val="00120D28"/>
    <w:rsid w:val="00124A9A"/>
    <w:rsid w:val="00124B1D"/>
    <w:rsid w:val="00127E9B"/>
    <w:rsid w:val="00135A0D"/>
    <w:rsid w:val="00136B42"/>
    <w:rsid w:val="00142A3B"/>
    <w:rsid w:val="00143409"/>
    <w:rsid w:val="001443A8"/>
    <w:rsid w:val="00144B08"/>
    <w:rsid w:val="001466B7"/>
    <w:rsid w:val="0014687F"/>
    <w:rsid w:val="00147DE6"/>
    <w:rsid w:val="001518B8"/>
    <w:rsid w:val="00152FD0"/>
    <w:rsid w:val="00155963"/>
    <w:rsid w:val="00157042"/>
    <w:rsid w:val="00157177"/>
    <w:rsid w:val="00157A99"/>
    <w:rsid w:val="0016088F"/>
    <w:rsid w:val="00160CED"/>
    <w:rsid w:val="001610F5"/>
    <w:rsid w:val="00161327"/>
    <w:rsid w:val="00161B4F"/>
    <w:rsid w:val="00163D72"/>
    <w:rsid w:val="00164601"/>
    <w:rsid w:val="00164BDD"/>
    <w:rsid w:val="00165331"/>
    <w:rsid w:val="001668EF"/>
    <w:rsid w:val="0016700F"/>
    <w:rsid w:val="00167CE0"/>
    <w:rsid w:val="00170718"/>
    <w:rsid w:val="00171539"/>
    <w:rsid w:val="0017324A"/>
    <w:rsid w:val="001738FA"/>
    <w:rsid w:val="00175B30"/>
    <w:rsid w:val="00176E88"/>
    <w:rsid w:val="00177A51"/>
    <w:rsid w:val="001811E6"/>
    <w:rsid w:val="00181ADC"/>
    <w:rsid w:val="00181C76"/>
    <w:rsid w:val="00184309"/>
    <w:rsid w:val="0018618A"/>
    <w:rsid w:val="00186498"/>
    <w:rsid w:val="00186D6F"/>
    <w:rsid w:val="0018713B"/>
    <w:rsid w:val="00187AB4"/>
    <w:rsid w:val="00187DD3"/>
    <w:rsid w:val="00190074"/>
    <w:rsid w:val="001908EA"/>
    <w:rsid w:val="00190D72"/>
    <w:rsid w:val="001915F3"/>
    <w:rsid w:val="00191949"/>
    <w:rsid w:val="00191C4D"/>
    <w:rsid w:val="00192720"/>
    <w:rsid w:val="00192B79"/>
    <w:rsid w:val="0019352F"/>
    <w:rsid w:val="00193542"/>
    <w:rsid w:val="00193D22"/>
    <w:rsid w:val="00194A11"/>
    <w:rsid w:val="00194D9A"/>
    <w:rsid w:val="00195E0D"/>
    <w:rsid w:val="00195F55"/>
    <w:rsid w:val="0019663C"/>
    <w:rsid w:val="00196CAA"/>
    <w:rsid w:val="001A1F69"/>
    <w:rsid w:val="001A204E"/>
    <w:rsid w:val="001A2CB7"/>
    <w:rsid w:val="001A4857"/>
    <w:rsid w:val="001A4B40"/>
    <w:rsid w:val="001B02E5"/>
    <w:rsid w:val="001B0401"/>
    <w:rsid w:val="001B0565"/>
    <w:rsid w:val="001B1C28"/>
    <w:rsid w:val="001B2260"/>
    <w:rsid w:val="001B28B0"/>
    <w:rsid w:val="001B6E30"/>
    <w:rsid w:val="001B6E94"/>
    <w:rsid w:val="001C0030"/>
    <w:rsid w:val="001C3586"/>
    <w:rsid w:val="001C3709"/>
    <w:rsid w:val="001C6889"/>
    <w:rsid w:val="001C75A1"/>
    <w:rsid w:val="001D025D"/>
    <w:rsid w:val="001D26D5"/>
    <w:rsid w:val="001D3F38"/>
    <w:rsid w:val="001E1F7A"/>
    <w:rsid w:val="001E480C"/>
    <w:rsid w:val="001E6BA3"/>
    <w:rsid w:val="001F10FB"/>
    <w:rsid w:val="001F1B24"/>
    <w:rsid w:val="001F1F25"/>
    <w:rsid w:val="001F24F4"/>
    <w:rsid w:val="001F2B53"/>
    <w:rsid w:val="001F3009"/>
    <w:rsid w:val="001F4702"/>
    <w:rsid w:val="001F6144"/>
    <w:rsid w:val="001F62CE"/>
    <w:rsid w:val="001F664F"/>
    <w:rsid w:val="001F6825"/>
    <w:rsid w:val="001F6903"/>
    <w:rsid w:val="00203970"/>
    <w:rsid w:val="00204299"/>
    <w:rsid w:val="00205519"/>
    <w:rsid w:val="00206AC5"/>
    <w:rsid w:val="00207719"/>
    <w:rsid w:val="00210152"/>
    <w:rsid w:val="0021036C"/>
    <w:rsid w:val="00211A65"/>
    <w:rsid w:val="002123E9"/>
    <w:rsid w:val="002126BF"/>
    <w:rsid w:val="00212E12"/>
    <w:rsid w:val="00217921"/>
    <w:rsid w:val="00221D86"/>
    <w:rsid w:val="0022371D"/>
    <w:rsid w:val="00224099"/>
    <w:rsid w:val="0022444B"/>
    <w:rsid w:val="00224970"/>
    <w:rsid w:val="0022524F"/>
    <w:rsid w:val="0022675A"/>
    <w:rsid w:val="00227624"/>
    <w:rsid w:val="00232F83"/>
    <w:rsid w:val="00234804"/>
    <w:rsid w:val="00234BC6"/>
    <w:rsid w:val="00235FEC"/>
    <w:rsid w:val="0023651E"/>
    <w:rsid w:val="002402FE"/>
    <w:rsid w:val="002408F4"/>
    <w:rsid w:val="0024112A"/>
    <w:rsid w:val="00243449"/>
    <w:rsid w:val="00243D3D"/>
    <w:rsid w:val="00244EE4"/>
    <w:rsid w:val="00250270"/>
    <w:rsid w:val="002527CC"/>
    <w:rsid w:val="0025634E"/>
    <w:rsid w:val="00256DA4"/>
    <w:rsid w:val="002609F2"/>
    <w:rsid w:val="00260AF8"/>
    <w:rsid w:val="00260E5E"/>
    <w:rsid w:val="00261640"/>
    <w:rsid w:val="00261919"/>
    <w:rsid w:val="00262237"/>
    <w:rsid w:val="00264487"/>
    <w:rsid w:val="00265C49"/>
    <w:rsid w:val="0026621E"/>
    <w:rsid w:val="002675AB"/>
    <w:rsid w:val="00267BE6"/>
    <w:rsid w:val="002706F8"/>
    <w:rsid w:val="00270D1D"/>
    <w:rsid w:val="0027252A"/>
    <w:rsid w:val="0027403D"/>
    <w:rsid w:val="0027464A"/>
    <w:rsid w:val="00281568"/>
    <w:rsid w:val="00281D0A"/>
    <w:rsid w:val="002823FD"/>
    <w:rsid w:val="00282D8F"/>
    <w:rsid w:val="00282E7E"/>
    <w:rsid w:val="00284ADF"/>
    <w:rsid w:val="00284BE3"/>
    <w:rsid w:val="00285935"/>
    <w:rsid w:val="00286D8A"/>
    <w:rsid w:val="00290517"/>
    <w:rsid w:val="00291CD1"/>
    <w:rsid w:val="002936C3"/>
    <w:rsid w:val="0029450C"/>
    <w:rsid w:val="00294797"/>
    <w:rsid w:val="00296A55"/>
    <w:rsid w:val="00296F19"/>
    <w:rsid w:val="002972A7"/>
    <w:rsid w:val="002A03A0"/>
    <w:rsid w:val="002A4049"/>
    <w:rsid w:val="002A59F0"/>
    <w:rsid w:val="002A5A48"/>
    <w:rsid w:val="002A65F5"/>
    <w:rsid w:val="002A74B7"/>
    <w:rsid w:val="002A7BE5"/>
    <w:rsid w:val="002B175A"/>
    <w:rsid w:val="002B1917"/>
    <w:rsid w:val="002B1AF4"/>
    <w:rsid w:val="002B2106"/>
    <w:rsid w:val="002B467A"/>
    <w:rsid w:val="002B63EF"/>
    <w:rsid w:val="002B70A6"/>
    <w:rsid w:val="002C0FC2"/>
    <w:rsid w:val="002C2A64"/>
    <w:rsid w:val="002C456C"/>
    <w:rsid w:val="002D00AA"/>
    <w:rsid w:val="002D04F9"/>
    <w:rsid w:val="002D145E"/>
    <w:rsid w:val="002D3F8A"/>
    <w:rsid w:val="002D6006"/>
    <w:rsid w:val="002D627F"/>
    <w:rsid w:val="002D6F2A"/>
    <w:rsid w:val="002D6F76"/>
    <w:rsid w:val="002D7726"/>
    <w:rsid w:val="002E079F"/>
    <w:rsid w:val="002E08EC"/>
    <w:rsid w:val="002E20A1"/>
    <w:rsid w:val="002E44CF"/>
    <w:rsid w:val="002E64C7"/>
    <w:rsid w:val="002E7744"/>
    <w:rsid w:val="002E77F6"/>
    <w:rsid w:val="002F41AB"/>
    <w:rsid w:val="002F6D0C"/>
    <w:rsid w:val="00301458"/>
    <w:rsid w:val="00301A71"/>
    <w:rsid w:val="00304D9F"/>
    <w:rsid w:val="003055EE"/>
    <w:rsid w:val="003070B7"/>
    <w:rsid w:val="00307C88"/>
    <w:rsid w:val="00307D39"/>
    <w:rsid w:val="003109BB"/>
    <w:rsid w:val="0031249F"/>
    <w:rsid w:val="00314167"/>
    <w:rsid w:val="0031429B"/>
    <w:rsid w:val="00315529"/>
    <w:rsid w:val="003155B5"/>
    <w:rsid w:val="003203C4"/>
    <w:rsid w:val="003219FA"/>
    <w:rsid w:val="00322371"/>
    <w:rsid w:val="0032271E"/>
    <w:rsid w:val="003238CB"/>
    <w:rsid w:val="00324221"/>
    <w:rsid w:val="00325ED9"/>
    <w:rsid w:val="00326396"/>
    <w:rsid w:val="003273EC"/>
    <w:rsid w:val="00331277"/>
    <w:rsid w:val="003324B5"/>
    <w:rsid w:val="003360D9"/>
    <w:rsid w:val="0033732D"/>
    <w:rsid w:val="00337720"/>
    <w:rsid w:val="00337732"/>
    <w:rsid w:val="00337F6B"/>
    <w:rsid w:val="00340A87"/>
    <w:rsid w:val="0034336A"/>
    <w:rsid w:val="00345C6B"/>
    <w:rsid w:val="00346BAA"/>
    <w:rsid w:val="003470F1"/>
    <w:rsid w:val="00351E98"/>
    <w:rsid w:val="00352032"/>
    <w:rsid w:val="0035215A"/>
    <w:rsid w:val="0035495D"/>
    <w:rsid w:val="00356F6A"/>
    <w:rsid w:val="00356F75"/>
    <w:rsid w:val="00357B60"/>
    <w:rsid w:val="003643E2"/>
    <w:rsid w:val="0036553E"/>
    <w:rsid w:val="00365548"/>
    <w:rsid w:val="00365A11"/>
    <w:rsid w:val="00366E7B"/>
    <w:rsid w:val="00372115"/>
    <w:rsid w:val="00373176"/>
    <w:rsid w:val="003734B7"/>
    <w:rsid w:val="00373B46"/>
    <w:rsid w:val="00375CB5"/>
    <w:rsid w:val="00376099"/>
    <w:rsid w:val="00377CBF"/>
    <w:rsid w:val="00381BBF"/>
    <w:rsid w:val="0038271B"/>
    <w:rsid w:val="0038449F"/>
    <w:rsid w:val="00384E91"/>
    <w:rsid w:val="003850B3"/>
    <w:rsid w:val="0038650D"/>
    <w:rsid w:val="00387C9F"/>
    <w:rsid w:val="003901AE"/>
    <w:rsid w:val="00390C58"/>
    <w:rsid w:val="00392C71"/>
    <w:rsid w:val="00393588"/>
    <w:rsid w:val="00393594"/>
    <w:rsid w:val="0039429D"/>
    <w:rsid w:val="00394CAB"/>
    <w:rsid w:val="00395A72"/>
    <w:rsid w:val="00396305"/>
    <w:rsid w:val="003A0BAA"/>
    <w:rsid w:val="003A1611"/>
    <w:rsid w:val="003A294C"/>
    <w:rsid w:val="003A3A38"/>
    <w:rsid w:val="003A42C2"/>
    <w:rsid w:val="003A45DA"/>
    <w:rsid w:val="003A45DD"/>
    <w:rsid w:val="003A4BDE"/>
    <w:rsid w:val="003A4D57"/>
    <w:rsid w:val="003A5811"/>
    <w:rsid w:val="003A662D"/>
    <w:rsid w:val="003A718B"/>
    <w:rsid w:val="003A7B1C"/>
    <w:rsid w:val="003B1E75"/>
    <w:rsid w:val="003B227B"/>
    <w:rsid w:val="003B3466"/>
    <w:rsid w:val="003B3BDE"/>
    <w:rsid w:val="003B5442"/>
    <w:rsid w:val="003B57CB"/>
    <w:rsid w:val="003B5AA0"/>
    <w:rsid w:val="003C0C62"/>
    <w:rsid w:val="003C6CDD"/>
    <w:rsid w:val="003C6E26"/>
    <w:rsid w:val="003C7349"/>
    <w:rsid w:val="003C7443"/>
    <w:rsid w:val="003D01F9"/>
    <w:rsid w:val="003D0869"/>
    <w:rsid w:val="003D1186"/>
    <w:rsid w:val="003D145A"/>
    <w:rsid w:val="003D47F9"/>
    <w:rsid w:val="003D53EE"/>
    <w:rsid w:val="003D5722"/>
    <w:rsid w:val="003D692B"/>
    <w:rsid w:val="003D76BA"/>
    <w:rsid w:val="003D7A26"/>
    <w:rsid w:val="003D7D1F"/>
    <w:rsid w:val="003E35CB"/>
    <w:rsid w:val="003E4A1A"/>
    <w:rsid w:val="003E61C1"/>
    <w:rsid w:val="003E6F68"/>
    <w:rsid w:val="003E7C5D"/>
    <w:rsid w:val="003F0040"/>
    <w:rsid w:val="003F296B"/>
    <w:rsid w:val="003F2A6D"/>
    <w:rsid w:val="003F3B51"/>
    <w:rsid w:val="003F6458"/>
    <w:rsid w:val="003F78BD"/>
    <w:rsid w:val="004003F9"/>
    <w:rsid w:val="00400AEC"/>
    <w:rsid w:val="00402BC8"/>
    <w:rsid w:val="00406E5A"/>
    <w:rsid w:val="00407476"/>
    <w:rsid w:val="00407E86"/>
    <w:rsid w:val="00407FE4"/>
    <w:rsid w:val="004105B4"/>
    <w:rsid w:val="0041295F"/>
    <w:rsid w:val="00412FBF"/>
    <w:rsid w:val="004135FD"/>
    <w:rsid w:val="0041505A"/>
    <w:rsid w:val="004159B1"/>
    <w:rsid w:val="00415E9D"/>
    <w:rsid w:val="004169E5"/>
    <w:rsid w:val="004200B1"/>
    <w:rsid w:val="00424208"/>
    <w:rsid w:val="004246BA"/>
    <w:rsid w:val="00424FD0"/>
    <w:rsid w:val="004253F9"/>
    <w:rsid w:val="00425826"/>
    <w:rsid w:val="00425D02"/>
    <w:rsid w:val="004276A1"/>
    <w:rsid w:val="00432862"/>
    <w:rsid w:val="0043477B"/>
    <w:rsid w:val="00435520"/>
    <w:rsid w:val="00436C94"/>
    <w:rsid w:val="0044004F"/>
    <w:rsid w:val="00441040"/>
    <w:rsid w:val="00442000"/>
    <w:rsid w:val="0044436A"/>
    <w:rsid w:val="00446FB6"/>
    <w:rsid w:val="004471CB"/>
    <w:rsid w:val="004473B0"/>
    <w:rsid w:val="00447D1A"/>
    <w:rsid w:val="0045069D"/>
    <w:rsid w:val="00451839"/>
    <w:rsid w:val="004528CB"/>
    <w:rsid w:val="0045416B"/>
    <w:rsid w:val="00454500"/>
    <w:rsid w:val="004557C4"/>
    <w:rsid w:val="00455D6D"/>
    <w:rsid w:val="00460CE6"/>
    <w:rsid w:val="00461120"/>
    <w:rsid w:val="00464256"/>
    <w:rsid w:val="00464776"/>
    <w:rsid w:val="00465910"/>
    <w:rsid w:val="00470E77"/>
    <w:rsid w:val="00474707"/>
    <w:rsid w:val="004774E2"/>
    <w:rsid w:val="004830C1"/>
    <w:rsid w:val="00485068"/>
    <w:rsid w:val="0048519F"/>
    <w:rsid w:val="00485D51"/>
    <w:rsid w:val="00486636"/>
    <w:rsid w:val="004931E9"/>
    <w:rsid w:val="00493EBC"/>
    <w:rsid w:val="004945D5"/>
    <w:rsid w:val="004947A8"/>
    <w:rsid w:val="00496245"/>
    <w:rsid w:val="004A158C"/>
    <w:rsid w:val="004A16ED"/>
    <w:rsid w:val="004A1BD0"/>
    <w:rsid w:val="004A2564"/>
    <w:rsid w:val="004A2A29"/>
    <w:rsid w:val="004A2BDF"/>
    <w:rsid w:val="004A2FE2"/>
    <w:rsid w:val="004A48FE"/>
    <w:rsid w:val="004A547A"/>
    <w:rsid w:val="004A5944"/>
    <w:rsid w:val="004B1861"/>
    <w:rsid w:val="004B1D5D"/>
    <w:rsid w:val="004B1D6D"/>
    <w:rsid w:val="004B2052"/>
    <w:rsid w:val="004B4142"/>
    <w:rsid w:val="004B4CBC"/>
    <w:rsid w:val="004B5855"/>
    <w:rsid w:val="004B64A3"/>
    <w:rsid w:val="004B65E6"/>
    <w:rsid w:val="004C0417"/>
    <w:rsid w:val="004C0FDC"/>
    <w:rsid w:val="004C1B7E"/>
    <w:rsid w:val="004C2EAB"/>
    <w:rsid w:val="004C435B"/>
    <w:rsid w:val="004C4EC3"/>
    <w:rsid w:val="004C51C3"/>
    <w:rsid w:val="004C58CC"/>
    <w:rsid w:val="004C60EC"/>
    <w:rsid w:val="004C77AC"/>
    <w:rsid w:val="004C7C5E"/>
    <w:rsid w:val="004D001B"/>
    <w:rsid w:val="004D0CDA"/>
    <w:rsid w:val="004D17C8"/>
    <w:rsid w:val="004D195B"/>
    <w:rsid w:val="004D1DF0"/>
    <w:rsid w:val="004D2CD9"/>
    <w:rsid w:val="004D4352"/>
    <w:rsid w:val="004D5DA7"/>
    <w:rsid w:val="004E02DF"/>
    <w:rsid w:val="004E253D"/>
    <w:rsid w:val="004E2B54"/>
    <w:rsid w:val="004E309C"/>
    <w:rsid w:val="004E40ED"/>
    <w:rsid w:val="004E4A7D"/>
    <w:rsid w:val="004E576B"/>
    <w:rsid w:val="004E6782"/>
    <w:rsid w:val="004F0044"/>
    <w:rsid w:val="004F0114"/>
    <w:rsid w:val="004F09D9"/>
    <w:rsid w:val="004F0EF5"/>
    <w:rsid w:val="004F134D"/>
    <w:rsid w:val="004F238F"/>
    <w:rsid w:val="004F2A19"/>
    <w:rsid w:val="004F3259"/>
    <w:rsid w:val="004F37EB"/>
    <w:rsid w:val="004F7574"/>
    <w:rsid w:val="004F7E49"/>
    <w:rsid w:val="0050046A"/>
    <w:rsid w:val="00500D2B"/>
    <w:rsid w:val="00504372"/>
    <w:rsid w:val="005043D6"/>
    <w:rsid w:val="005045D9"/>
    <w:rsid w:val="00504829"/>
    <w:rsid w:val="00504FF8"/>
    <w:rsid w:val="00505616"/>
    <w:rsid w:val="00505D51"/>
    <w:rsid w:val="005131AC"/>
    <w:rsid w:val="005164A4"/>
    <w:rsid w:val="00516D1A"/>
    <w:rsid w:val="00520DF6"/>
    <w:rsid w:val="005228CF"/>
    <w:rsid w:val="00524F51"/>
    <w:rsid w:val="005255A3"/>
    <w:rsid w:val="00525CE4"/>
    <w:rsid w:val="00526AF4"/>
    <w:rsid w:val="005276B9"/>
    <w:rsid w:val="005276CC"/>
    <w:rsid w:val="0053017A"/>
    <w:rsid w:val="005307B1"/>
    <w:rsid w:val="00530FA8"/>
    <w:rsid w:val="00531B05"/>
    <w:rsid w:val="0053348C"/>
    <w:rsid w:val="00533ECC"/>
    <w:rsid w:val="00534802"/>
    <w:rsid w:val="00536883"/>
    <w:rsid w:val="00536BCD"/>
    <w:rsid w:val="0053791B"/>
    <w:rsid w:val="00541635"/>
    <w:rsid w:val="00541F82"/>
    <w:rsid w:val="00542591"/>
    <w:rsid w:val="005436DD"/>
    <w:rsid w:val="005465A1"/>
    <w:rsid w:val="005465D7"/>
    <w:rsid w:val="00546B3D"/>
    <w:rsid w:val="005502FA"/>
    <w:rsid w:val="00550980"/>
    <w:rsid w:val="00550FF5"/>
    <w:rsid w:val="005510C8"/>
    <w:rsid w:val="00551D79"/>
    <w:rsid w:val="005542C5"/>
    <w:rsid w:val="00554AA7"/>
    <w:rsid w:val="005605E0"/>
    <w:rsid w:val="005619EE"/>
    <w:rsid w:val="005640DE"/>
    <w:rsid w:val="00564244"/>
    <w:rsid w:val="00567489"/>
    <w:rsid w:val="00567981"/>
    <w:rsid w:val="00567A60"/>
    <w:rsid w:val="00567BA4"/>
    <w:rsid w:val="005700B3"/>
    <w:rsid w:val="005715C8"/>
    <w:rsid w:val="005733B5"/>
    <w:rsid w:val="00573F16"/>
    <w:rsid w:val="00574294"/>
    <w:rsid w:val="0057508D"/>
    <w:rsid w:val="00577354"/>
    <w:rsid w:val="00580245"/>
    <w:rsid w:val="00582566"/>
    <w:rsid w:val="00582910"/>
    <w:rsid w:val="005829F6"/>
    <w:rsid w:val="005843BB"/>
    <w:rsid w:val="00584B9F"/>
    <w:rsid w:val="00585285"/>
    <w:rsid w:val="005860B3"/>
    <w:rsid w:val="005906D4"/>
    <w:rsid w:val="005920D6"/>
    <w:rsid w:val="00595A2F"/>
    <w:rsid w:val="005A0F6A"/>
    <w:rsid w:val="005A16B7"/>
    <w:rsid w:val="005A26EE"/>
    <w:rsid w:val="005A34F1"/>
    <w:rsid w:val="005A41D9"/>
    <w:rsid w:val="005A4AF5"/>
    <w:rsid w:val="005A6AA4"/>
    <w:rsid w:val="005A6B98"/>
    <w:rsid w:val="005A6E45"/>
    <w:rsid w:val="005B005D"/>
    <w:rsid w:val="005B139A"/>
    <w:rsid w:val="005B3956"/>
    <w:rsid w:val="005B3E9F"/>
    <w:rsid w:val="005B43B4"/>
    <w:rsid w:val="005B5CB0"/>
    <w:rsid w:val="005B5CF8"/>
    <w:rsid w:val="005B7FC7"/>
    <w:rsid w:val="005C38C7"/>
    <w:rsid w:val="005C404E"/>
    <w:rsid w:val="005C42B0"/>
    <w:rsid w:val="005C4372"/>
    <w:rsid w:val="005C51D2"/>
    <w:rsid w:val="005C6986"/>
    <w:rsid w:val="005C6D61"/>
    <w:rsid w:val="005D07EE"/>
    <w:rsid w:val="005D103B"/>
    <w:rsid w:val="005D29A0"/>
    <w:rsid w:val="005D2F42"/>
    <w:rsid w:val="005D3414"/>
    <w:rsid w:val="005D3631"/>
    <w:rsid w:val="005D384F"/>
    <w:rsid w:val="005D5731"/>
    <w:rsid w:val="005E098D"/>
    <w:rsid w:val="005E24E0"/>
    <w:rsid w:val="005E2DEF"/>
    <w:rsid w:val="005E351C"/>
    <w:rsid w:val="005F02C9"/>
    <w:rsid w:val="005F0A52"/>
    <w:rsid w:val="005F29CC"/>
    <w:rsid w:val="005F3425"/>
    <w:rsid w:val="005F3D8F"/>
    <w:rsid w:val="005F436B"/>
    <w:rsid w:val="005F5DDC"/>
    <w:rsid w:val="005F5E18"/>
    <w:rsid w:val="00601694"/>
    <w:rsid w:val="0060357D"/>
    <w:rsid w:val="006051BE"/>
    <w:rsid w:val="00605B12"/>
    <w:rsid w:val="00606527"/>
    <w:rsid w:val="006068CE"/>
    <w:rsid w:val="006078E0"/>
    <w:rsid w:val="00610745"/>
    <w:rsid w:val="00610ECD"/>
    <w:rsid w:val="00611E4A"/>
    <w:rsid w:val="0061337D"/>
    <w:rsid w:val="006136CD"/>
    <w:rsid w:val="00615191"/>
    <w:rsid w:val="00615EAC"/>
    <w:rsid w:val="0061613B"/>
    <w:rsid w:val="00616407"/>
    <w:rsid w:val="006172B0"/>
    <w:rsid w:val="00621EF5"/>
    <w:rsid w:val="00621F45"/>
    <w:rsid w:val="0062218A"/>
    <w:rsid w:val="0062247F"/>
    <w:rsid w:val="00622E2D"/>
    <w:rsid w:val="00623CF5"/>
    <w:rsid w:val="00623F7D"/>
    <w:rsid w:val="00623FC0"/>
    <w:rsid w:val="00626019"/>
    <w:rsid w:val="00626530"/>
    <w:rsid w:val="00626692"/>
    <w:rsid w:val="00626A70"/>
    <w:rsid w:val="00626B04"/>
    <w:rsid w:val="006276A1"/>
    <w:rsid w:val="006276DF"/>
    <w:rsid w:val="00627DC0"/>
    <w:rsid w:val="00630603"/>
    <w:rsid w:val="00631165"/>
    <w:rsid w:val="0063240A"/>
    <w:rsid w:val="0063350C"/>
    <w:rsid w:val="0063501D"/>
    <w:rsid w:val="00635ACE"/>
    <w:rsid w:val="006365DD"/>
    <w:rsid w:val="00637345"/>
    <w:rsid w:val="006407D2"/>
    <w:rsid w:val="00641012"/>
    <w:rsid w:val="00643DA0"/>
    <w:rsid w:val="006472B3"/>
    <w:rsid w:val="00647603"/>
    <w:rsid w:val="0065122B"/>
    <w:rsid w:val="00651648"/>
    <w:rsid w:val="00653509"/>
    <w:rsid w:val="00653722"/>
    <w:rsid w:val="006601EC"/>
    <w:rsid w:val="00662C1C"/>
    <w:rsid w:val="006638B8"/>
    <w:rsid w:val="006639E8"/>
    <w:rsid w:val="006650D2"/>
    <w:rsid w:val="00665554"/>
    <w:rsid w:val="00666183"/>
    <w:rsid w:val="00667A74"/>
    <w:rsid w:val="00667ECB"/>
    <w:rsid w:val="006734A8"/>
    <w:rsid w:val="006760FB"/>
    <w:rsid w:val="00676452"/>
    <w:rsid w:val="00676AAB"/>
    <w:rsid w:val="00677458"/>
    <w:rsid w:val="00677714"/>
    <w:rsid w:val="00677725"/>
    <w:rsid w:val="00677B0D"/>
    <w:rsid w:val="00680131"/>
    <w:rsid w:val="006804F2"/>
    <w:rsid w:val="006815FC"/>
    <w:rsid w:val="00682707"/>
    <w:rsid w:val="00682E92"/>
    <w:rsid w:val="00684A44"/>
    <w:rsid w:val="00684BB7"/>
    <w:rsid w:val="00684C34"/>
    <w:rsid w:val="006850F6"/>
    <w:rsid w:val="00687ACC"/>
    <w:rsid w:val="0069024F"/>
    <w:rsid w:val="006902CF"/>
    <w:rsid w:val="00690F35"/>
    <w:rsid w:val="00693B52"/>
    <w:rsid w:val="006974ED"/>
    <w:rsid w:val="00697612"/>
    <w:rsid w:val="006A02DB"/>
    <w:rsid w:val="006A1A51"/>
    <w:rsid w:val="006A2629"/>
    <w:rsid w:val="006A2E73"/>
    <w:rsid w:val="006A57C2"/>
    <w:rsid w:val="006A68F9"/>
    <w:rsid w:val="006A7251"/>
    <w:rsid w:val="006B2257"/>
    <w:rsid w:val="006B3EE3"/>
    <w:rsid w:val="006B514A"/>
    <w:rsid w:val="006B56A8"/>
    <w:rsid w:val="006B6272"/>
    <w:rsid w:val="006B6CCB"/>
    <w:rsid w:val="006B7A6A"/>
    <w:rsid w:val="006B7DC4"/>
    <w:rsid w:val="006C273A"/>
    <w:rsid w:val="006C3527"/>
    <w:rsid w:val="006C45CC"/>
    <w:rsid w:val="006C50D7"/>
    <w:rsid w:val="006C7030"/>
    <w:rsid w:val="006D20BE"/>
    <w:rsid w:val="006D3A2F"/>
    <w:rsid w:val="006D3CAE"/>
    <w:rsid w:val="006D4235"/>
    <w:rsid w:val="006D62A9"/>
    <w:rsid w:val="006E10FD"/>
    <w:rsid w:val="006E166F"/>
    <w:rsid w:val="006E2B90"/>
    <w:rsid w:val="006E3163"/>
    <w:rsid w:val="006E317E"/>
    <w:rsid w:val="006E4E10"/>
    <w:rsid w:val="006E600C"/>
    <w:rsid w:val="006E6032"/>
    <w:rsid w:val="006E63EC"/>
    <w:rsid w:val="006E7312"/>
    <w:rsid w:val="006E7FE2"/>
    <w:rsid w:val="006F0D0A"/>
    <w:rsid w:val="006F339F"/>
    <w:rsid w:val="006F4E9D"/>
    <w:rsid w:val="006F5138"/>
    <w:rsid w:val="006F7B7E"/>
    <w:rsid w:val="007001E4"/>
    <w:rsid w:val="00700540"/>
    <w:rsid w:val="0070170A"/>
    <w:rsid w:val="007021EB"/>
    <w:rsid w:val="00702FB5"/>
    <w:rsid w:val="00704004"/>
    <w:rsid w:val="00704153"/>
    <w:rsid w:val="00705573"/>
    <w:rsid w:val="007058C5"/>
    <w:rsid w:val="0070635F"/>
    <w:rsid w:val="00707A8D"/>
    <w:rsid w:val="007102BC"/>
    <w:rsid w:val="00711276"/>
    <w:rsid w:val="007118DD"/>
    <w:rsid w:val="00711ED5"/>
    <w:rsid w:val="007151A2"/>
    <w:rsid w:val="00715FCC"/>
    <w:rsid w:val="007178AE"/>
    <w:rsid w:val="00717937"/>
    <w:rsid w:val="007209CC"/>
    <w:rsid w:val="00721A29"/>
    <w:rsid w:val="00721C1D"/>
    <w:rsid w:val="00722BC7"/>
    <w:rsid w:val="0072365F"/>
    <w:rsid w:val="00723915"/>
    <w:rsid w:val="00724404"/>
    <w:rsid w:val="00725F96"/>
    <w:rsid w:val="00725FB6"/>
    <w:rsid w:val="00727094"/>
    <w:rsid w:val="007321D1"/>
    <w:rsid w:val="00735EA2"/>
    <w:rsid w:val="00736FBF"/>
    <w:rsid w:val="00741D7F"/>
    <w:rsid w:val="00743E9A"/>
    <w:rsid w:val="00747121"/>
    <w:rsid w:val="00751681"/>
    <w:rsid w:val="007526C3"/>
    <w:rsid w:val="0075393E"/>
    <w:rsid w:val="00753EC5"/>
    <w:rsid w:val="00754398"/>
    <w:rsid w:val="00755577"/>
    <w:rsid w:val="00755F82"/>
    <w:rsid w:val="00756112"/>
    <w:rsid w:val="00756281"/>
    <w:rsid w:val="0075739E"/>
    <w:rsid w:val="00761256"/>
    <w:rsid w:val="00761C90"/>
    <w:rsid w:val="0076258C"/>
    <w:rsid w:val="007629D2"/>
    <w:rsid w:val="00763B04"/>
    <w:rsid w:val="00763BCB"/>
    <w:rsid w:val="00763BD4"/>
    <w:rsid w:val="007642D2"/>
    <w:rsid w:val="007653D7"/>
    <w:rsid w:val="00771BD9"/>
    <w:rsid w:val="00772C3E"/>
    <w:rsid w:val="007762B6"/>
    <w:rsid w:val="00777439"/>
    <w:rsid w:val="0078199D"/>
    <w:rsid w:val="007819C5"/>
    <w:rsid w:val="00781C2E"/>
    <w:rsid w:val="0078777B"/>
    <w:rsid w:val="007877E2"/>
    <w:rsid w:val="00787AFD"/>
    <w:rsid w:val="00787E9A"/>
    <w:rsid w:val="0079100F"/>
    <w:rsid w:val="0079159D"/>
    <w:rsid w:val="00791769"/>
    <w:rsid w:val="00792D8B"/>
    <w:rsid w:val="00792EF4"/>
    <w:rsid w:val="007938E9"/>
    <w:rsid w:val="00793B45"/>
    <w:rsid w:val="00795DA6"/>
    <w:rsid w:val="00797CF4"/>
    <w:rsid w:val="007A1E72"/>
    <w:rsid w:val="007A2357"/>
    <w:rsid w:val="007A2D8B"/>
    <w:rsid w:val="007A4969"/>
    <w:rsid w:val="007A50CA"/>
    <w:rsid w:val="007A6A11"/>
    <w:rsid w:val="007A79A2"/>
    <w:rsid w:val="007B0D44"/>
    <w:rsid w:val="007B31A3"/>
    <w:rsid w:val="007B4D83"/>
    <w:rsid w:val="007B4EDC"/>
    <w:rsid w:val="007B503B"/>
    <w:rsid w:val="007B5241"/>
    <w:rsid w:val="007B55B6"/>
    <w:rsid w:val="007B795C"/>
    <w:rsid w:val="007B7F54"/>
    <w:rsid w:val="007C079E"/>
    <w:rsid w:val="007C11F1"/>
    <w:rsid w:val="007C137D"/>
    <w:rsid w:val="007C1ED7"/>
    <w:rsid w:val="007C2C90"/>
    <w:rsid w:val="007C3E8D"/>
    <w:rsid w:val="007C436D"/>
    <w:rsid w:val="007C4529"/>
    <w:rsid w:val="007C4D8B"/>
    <w:rsid w:val="007C58CB"/>
    <w:rsid w:val="007C5EB7"/>
    <w:rsid w:val="007D4085"/>
    <w:rsid w:val="007D56B7"/>
    <w:rsid w:val="007D635E"/>
    <w:rsid w:val="007D6AF4"/>
    <w:rsid w:val="007D6FB4"/>
    <w:rsid w:val="007D73CD"/>
    <w:rsid w:val="007D7A17"/>
    <w:rsid w:val="007E0985"/>
    <w:rsid w:val="007E1940"/>
    <w:rsid w:val="007E24C1"/>
    <w:rsid w:val="007E32DB"/>
    <w:rsid w:val="007E4C59"/>
    <w:rsid w:val="007E4F52"/>
    <w:rsid w:val="007E511C"/>
    <w:rsid w:val="007E648F"/>
    <w:rsid w:val="007F10A4"/>
    <w:rsid w:val="007F12D1"/>
    <w:rsid w:val="007F1FE6"/>
    <w:rsid w:val="007F2847"/>
    <w:rsid w:val="007F389D"/>
    <w:rsid w:val="007F5936"/>
    <w:rsid w:val="007F6560"/>
    <w:rsid w:val="007F7C14"/>
    <w:rsid w:val="00801FF9"/>
    <w:rsid w:val="00803108"/>
    <w:rsid w:val="008034ED"/>
    <w:rsid w:val="008041BC"/>
    <w:rsid w:val="00804ABC"/>
    <w:rsid w:val="00805641"/>
    <w:rsid w:val="00807641"/>
    <w:rsid w:val="008079E2"/>
    <w:rsid w:val="00807E06"/>
    <w:rsid w:val="00810DAA"/>
    <w:rsid w:val="00811060"/>
    <w:rsid w:val="00811C25"/>
    <w:rsid w:val="00812E85"/>
    <w:rsid w:val="008135CD"/>
    <w:rsid w:val="00815195"/>
    <w:rsid w:val="00815631"/>
    <w:rsid w:val="00816457"/>
    <w:rsid w:val="008201E3"/>
    <w:rsid w:val="008202C5"/>
    <w:rsid w:val="00822F9C"/>
    <w:rsid w:val="0082361D"/>
    <w:rsid w:val="00823B1A"/>
    <w:rsid w:val="00825E75"/>
    <w:rsid w:val="00831AAA"/>
    <w:rsid w:val="0083388E"/>
    <w:rsid w:val="0083394C"/>
    <w:rsid w:val="00837A4D"/>
    <w:rsid w:val="00840D1B"/>
    <w:rsid w:val="008412D0"/>
    <w:rsid w:val="0084235B"/>
    <w:rsid w:val="008434C8"/>
    <w:rsid w:val="008439CE"/>
    <w:rsid w:val="00846834"/>
    <w:rsid w:val="00846B58"/>
    <w:rsid w:val="00847731"/>
    <w:rsid w:val="008478D5"/>
    <w:rsid w:val="00850756"/>
    <w:rsid w:val="00852844"/>
    <w:rsid w:val="00852E51"/>
    <w:rsid w:val="0085308E"/>
    <w:rsid w:val="0085363B"/>
    <w:rsid w:val="0085373D"/>
    <w:rsid w:val="00855F8D"/>
    <w:rsid w:val="008562E9"/>
    <w:rsid w:val="00856C3B"/>
    <w:rsid w:val="008570E8"/>
    <w:rsid w:val="00857CB4"/>
    <w:rsid w:val="008609F3"/>
    <w:rsid w:val="00861DB6"/>
    <w:rsid w:val="00864AAE"/>
    <w:rsid w:val="00865AD6"/>
    <w:rsid w:val="008705EA"/>
    <w:rsid w:val="0087091C"/>
    <w:rsid w:val="00871AE2"/>
    <w:rsid w:val="00871D56"/>
    <w:rsid w:val="00871FD2"/>
    <w:rsid w:val="00872232"/>
    <w:rsid w:val="00872406"/>
    <w:rsid w:val="0087360E"/>
    <w:rsid w:val="00873645"/>
    <w:rsid w:val="00874153"/>
    <w:rsid w:val="008741FE"/>
    <w:rsid w:val="00875A0D"/>
    <w:rsid w:val="0087618A"/>
    <w:rsid w:val="00877423"/>
    <w:rsid w:val="00877655"/>
    <w:rsid w:val="00880639"/>
    <w:rsid w:val="00880786"/>
    <w:rsid w:val="008825F5"/>
    <w:rsid w:val="008827FE"/>
    <w:rsid w:val="00883805"/>
    <w:rsid w:val="00883A7E"/>
    <w:rsid w:val="00885E31"/>
    <w:rsid w:val="008861BF"/>
    <w:rsid w:val="00886603"/>
    <w:rsid w:val="00886F23"/>
    <w:rsid w:val="0088711C"/>
    <w:rsid w:val="00887120"/>
    <w:rsid w:val="0088794E"/>
    <w:rsid w:val="0089017B"/>
    <w:rsid w:val="008908A1"/>
    <w:rsid w:val="00891762"/>
    <w:rsid w:val="008922F0"/>
    <w:rsid w:val="008927DB"/>
    <w:rsid w:val="00892839"/>
    <w:rsid w:val="00892AAF"/>
    <w:rsid w:val="008A08EF"/>
    <w:rsid w:val="008A1E3A"/>
    <w:rsid w:val="008A477D"/>
    <w:rsid w:val="008A5B33"/>
    <w:rsid w:val="008A74FA"/>
    <w:rsid w:val="008B0002"/>
    <w:rsid w:val="008B1873"/>
    <w:rsid w:val="008B3435"/>
    <w:rsid w:val="008B5071"/>
    <w:rsid w:val="008B716A"/>
    <w:rsid w:val="008B734E"/>
    <w:rsid w:val="008C09D3"/>
    <w:rsid w:val="008C1856"/>
    <w:rsid w:val="008C1DD6"/>
    <w:rsid w:val="008C22D8"/>
    <w:rsid w:val="008C2C60"/>
    <w:rsid w:val="008C3368"/>
    <w:rsid w:val="008C40F3"/>
    <w:rsid w:val="008C43D7"/>
    <w:rsid w:val="008C4778"/>
    <w:rsid w:val="008C50A9"/>
    <w:rsid w:val="008C5D65"/>
    <w:rsid w:val="008C6233"/>
    <w:rsid w:val="008C65A3"/>
    <w:rsid w:val="008C6E65"/>
    <w:rsid w:val="008D033A"/>
    <w:rsid w:val="008D0C86"/>
    <w:rsid w:val="008D554D"/>
    <w:rsid w:val="008D5EC5"/>
    <w:rsid w:val="008D725B"/>
    <w:rsid w:val="008E2DB2"/>
    <w:rsid w:val="008E440E"/>
    <w:rsid w:val="008E45CA"/>
    <w:rsid w:val="008E72F7"/>
    <w:rsid w:val="008F18D1"/>
    <w:rsid w:val="008F1F88"/>
    <w:rsid w:val="008F25AC"/>
    <w:rsid w:val="008F4248"/>
    <w:rsid w:val="008F51D4"/>
    <w:rsid w:val="008F66E2"/>
    <w:rsid w:val="008F78DE"/>
    <w:rsid w:val="00900E12"/>
    <w:rsid w:val="009026C6"/>
    <w:rsid w:val="0090609E"/>
    <w:rsid w:val="00907D40"/>
    <w:rsid w:val="00910777"/>
    <w:rsid w:val="009128D3"/>
    <w:rsid w:val="00913160"/>
    <w:rsid w:val="00913B1E"/>
    <w:rsid w:val="00913D07"/>
    <w:rsid w:val="00915131"/>
    <w:rsid w:val="00915212"/>
    <w:rsid w:val="00915F85"/>
    <w:rsid w:val="009171D3"/>
    <w:rsid w:val="00917273"/>
    <w:rsid w:val="0091779B"/>
    <w:rsid w:val="009203DF"/>
    <w:rsid w:val="00920851"/>
    <w:rsid w:val="009244FE"/>
    <w:rsid w:val="00931356"/>
    <w:rsid w:val="00933709"/>
    <w:rsid w:val="009350EC"/>
    <w:rsid w:val="0093518D"/>
    <w:rsid w:val="00937731"/>
    <w:rsid w:val="00937C82"/>
    <w:rsid w:val="00940AD4"/>
    <w:rsid w:val="009417AA"/>
    <w:rsid w:val="00942B1C"/>
    <w:rsid w:val="00945962"/>
    <w:rsid w:val="00951ECF"/>
    <w:rsid w:val="00952F21"/>
    <w:rsid w:val="00954566"/>
    <w:rsid w:val="00955EF4"/>
    <w:rsid w:val="0095714C"/>
    <w:rsid w:val="00957E03"/>
    <w:rsid w:val="009606FC"/>
    <w:rsid w:val="009609C4"/>
    <w:rsid w:val="00961AA4"/>
    <w:rsid w:val="00962EC4"/>
    <w:rsid w:val="00963E3D"/>
    <w:rsid w:val="00964E86"/>
    <w:rsid w:val="00964F9B"/>
    <w:rsid w:val="009665B6"/>
    <w:rsid w:val="009703A4"/>
    <w:rsid w:val="00970CCF"/>
    <w:rsid w:val="009711C3"/>
    <w:rsid w:val="009727F9"/>
    <w:rsid w:val="00972BC8"/>
    <w:rsid w:val="00973074"/>
    <w:rsid w:val="009754B2"/>
    <w:rsid w:val="009754E9"/>
    <w:rsid w:val="009825E7"/>
    <w:rsid w:val="00982722"/>
    <w:rsid w:val="00983762"/>
    <w:rsid w:val="00983D4E"/>
    <w:rsid w:val="00985111"/>
    <w:rsid w:val="00985F8E"/>
    <w:rsid w:val="00987176"/>
    <w:rsid w:val="009874E6"/>
    <w:rsid w:val="00994675"/>
    <w:rsid w:val="009947E4"/>
    <w:rsid w:val="009948B6"/>
    <w:rsid w:val="00994B7C"/>
    <w:rsid w:val="0099685F"/>
    <w:rsid w:val="00997578"/>
    <w:rsid w:val="009A0844"/>
    <w:rsid w:val="009A2EAC"/>
    <w:rsid w:val="009A3601"/>
    <w:rsid w:val="009A365E"/>
    <w:rsid w:val="009A532F"/>
    <w:rsid w:val="009A55F4"/>
    <w:rsid w:val="009A7695"/>
    <w:rsid w:val="009A7B7F"/>
    <w:rsid w:val="009A7C14"/>
    <w:rsid w:val="009B02F8"/>
    <w:rsid w:val="009B0416"/>
    <w:rsid w:val="009B10A5"/>
    <w:rsid w:val="009B177D"/>
    <w:rsid w:val="009B1998"/>
    <w:rsid w:val="009B1BB6"/>
    <w:rsid w:val="009B2BFF"/>
    <w:rsid w:val="009B3029"/>
    <w:rsid w:val="009B417B"/>
    <w:rsid w:val="009B4ACC"/>
    <w:rsid w:val="009B6FB7"/>
    <w:rsid w:val="009C035A"/>
    <w:rsid w:val="009C0638"/>
    <w:rsid w:val="009C0805"/>
    <w:rsid w:val="009C128B"/>
    <w:rsid w:val="009C12DD"/>
    <w:rsid w:val="009C1AE1"/>
    <w:rsid w:val="009C1FA8"/>
    <w:rsid w:val="009C2968"/>
    <w:rsid w:val="009C2A02"/>
    <w:rsid w:val="009C63D0"/>
    <w:rsid w:val="009C6ABD"/>
    <w:rsid w:val="009C74E7"/>
    <w:rsid w:val="009C7564"/>
    <w:rsid w:val="009C7744"/>
    <w:rsid w:val="009C77CE"/>
    <w:rsid w:val="009C7CEA"/>
    <w:rsid w:val="009C7DCD"/>
    <w:rsid w:val="009D0FAE"/>
    <w:rsid w:val="009D1B33"/>
    <w:rsid w:val="009D3D69"/>
    <w:rsid w:val="009D42BD"/>
    <w:rsid w:val="009D4337"/>
    <w:rsid w:val="009D5040"/>
    <w:rsid w:val="009D5777"/>
    <w:rsid w:val="009D6ED2"/>
    <w:rsid w:val="009D7DEA"/>
    <w:rsid w:val="009E096D"/>
    <w:rsid w:val="009E222F"/>
    <w:rsid w:val="009E385F"/>
    <w:rsid w:val="009E5323"/>
    <w:rsid w:val="009E5C9C"/>
    <w:rsid w:val="009E63DE"/>
    <w:rsid w:val="009E67C3"/>
    <w:rsid w:val="009F2056"/>
    <w:rsid w:val="009F32AF"/>
    <w:rsid w:val="009F5B49"/>
    <w:rsid w:val="009F64EE"/>
    <w:rsid w:val="009F6757"/>
    <w:rsid w:val="00A00222"/>
    <w:rsid w:val="00A005DA"/>
    <w:rsid w:val="00A00A6C"/>
    <w:rsid w:val="00A01C1E"/>
    <w:rsid w:val="00A0246A"/>
    <w:rsid w:val="00A03516"/>
    <w:rsid w:val="00A053B8"/>
    <w:rsid w:val="00A05B01"/>
    <w:rsid w:val="00A0677F"/>
    <w:rsid w:val="00A07056"/>
    <w:rsid w:val="00A07859"/>
    <w:rsid w:val="00A109D5"/>
    <w:rsid w:val="00A141FA"/>
    <w:rsid w:val="00A14DAA"/>
    <w:rsid w:val="00A16866"/>
    <w:rsid w:val="00A2119F"/>
    <w:rsid w:val="00A2160C"/>
    <w:rsid w:val="00A2386B"/>
    <w:rsid w:val="00A2396F"/>
    <w:rsid w:val="00A24AF7"/>
    <w:rsid w:val="00A27BF2"/>
    <w:rsid w:val="00A3060E"/>
    <w:rsid w:val="00A31E2B"/>
    <w:rsid w:val="00A321B1"/>
    <w:rsid w:val="00A3275B"/>
    <w:rsid w:val="00A35125"/>
    <w:rsid w:val="00A36C92"/>
    <w:rsid w:val="00A425C0"/>
    <w:rsid w:val="00A428EF"/>
    <w:rsid w:val="00A45753"/>
    <w:rsid w:val="00A45B66"/>
    <w:rsid w:val="00A46223"/>
    <w:rsid w:val="00A4782B"/>
    <w:rsid w:val="00A47FC6"/>
    <w:rsid w:val="00A5064D"/>
    <w:rsid w:val="00A5225D"/>
    <w:rsid w:val="00A529C8"/>
    <w:rsid w:val="00A52FE5"/>
    <w:rsid w:val="00A543C4"/>
    <w:rsid w:val="00A5641B"/>
    <w:rsid w:val="00A567CB"/>
    <w:rsid w:val="00A569A2"/>
    <w:rsid w:val="00A6103B"/>
    <w:rsid w:val="00A6424C"/>
    <w:rsid w:val="00A64D5F"/>
    <w:rsid w:val="00A66512"/>
    <w:rsid w:val="00A66EFC"/>
    <w:rsid w:val="00A679EA"/>
    <w:rsid w:val="00A711D1"/>
    <w:rsid w:val="00A71AD4"/>
    <w:rsid w:val="00A746D4"/>
    <w:rsid w:val="00A75AF0"/>
    <w:rsid w:val="00A76985"/>
    <w:rsid w:val="00A83579"/>
    <w:rsid w:val="00A85F44"/>
    <w:rsid w:val="00A86FE3"/>
    <w:rsid w:val="00A871D8"/>
    <w:rsid w:val="00A87436"/>
    <w:rsid w:val="00A91691"/>
    <w:rsid w:val="00A9378F"/>
    <w:rsid w:val="00A93D05"/>
    <w:rsid w:val="00A95643"/>
    <w:rsid w:val="00A9706D"/>
    <w:rsid w:val="00AA12A2"/>
    <w:rsid w:val="00AA12E3"/>
    <w:rsid w:val="00AA1AEE"/>
    <w:rsid w:val="00AA205B"/>
    <w:rsid w:val="00AA3F18"/>
    <w:rsid w:val="00AA4319"/>
    <w:rsid w:val="00AA44AB"/>
    <w:rsid w:val="00AA5E1C"/>
    <w:rsid w:val="00AA60D5"/>
    <w:rsid w:val="00AA63BC"/>
    <w:rsid w:val="00AA7ECA"/>
    <w:rsid w:val="00AA7FB5"/>
    <w:rsid w:val="00AB03AC"/>
    <w:rsid w:val="00AB2EF9"/>
    <w:rsid w:val="00AB4D27"/>
    <w:rsid w:val="00AB5321"/>
    <w:rsid w:val="00AB63E0"/>
    <w:rsid w:val="00AB6736"/>
    <w:rsid w:val="00AC0613"/>
    <w:rsid w:val="00AC180F"/>
    <w:rsid w:val="00AC2DD6"/>
    <w:rsid w:val="00AC2EF1"/>
    <w:rsid w:val="00AC397B"/>
    <w:rsid w:val="00AC3FCF"/>
    <w:rsid w:val="00AC58B8"/>
    <w:rsid w:val="00AD1765"/>
    <w:rsid w:val="00AD1C12"/>
    <w:rsid w:val="00AD23F7"/>
    <w:rsid w:val="00AD24C3"/>
    <w:rsid w:val="00AD4E1F"/>
    <w:rsid w:val="00AD5001"/>
    <w:rsid w:val="00AD55E8"/>
    <w:rsid w:val="00AD5FEB"/>
    <w:rsid w:val="00AD7D1F"/>
    <w:rsid w:val="00AD7DDF"/>
    <w:rsid w:val="00AE2DA4"/>
    <w:rsid w:val="00AE333C"/>
    <w:rsid w:val="00AE3F6E"/>
    <w:rsid w:val="00AE464D"/>
    <w:rsid w:val="00AE4F6A"/>
    <w:rsid w:val="00AE57B7"/>
    <w:rsid w:val="00AE6411"/>
    <w:rsid w:val="00AF0D76"/>
    <w:rsid w:val="00AF1452"/>
    <w:rsid w:val="00AF49F0"/>
    <w:rsid w:val="00AF5291"/>
    <w:rsid w:val="00AF6A76"/>
    <w:rsid w:val="00AF6C0E"/>
    <w:rsid w:val="00B01B6F"/>
    <w:rsid w:val="00B049DC"/>
    <w:rsid w:val="00B050F6"/>
    <w:rsid w:val="00B12729"/>
    <w:rsid w:val="00B1291A"/>
    <w:rsid w:val="00B1346E"/>
    <w:rsid w:val="00B14BD9"/>
    <w:rsid w:val="00B16358"/>
    <w:rsid w:val="00B2056A"/>
    <w:rsid w:val="00B21583"/>
    <w:rsid w:val="00B2352C"/>
    <w:rsid w:val="00B255C4"/>
    <w:rsid w:val="00B25B00"/>
    <w:rsid w:val="00B26548"/>
    <w:rsid w:val="00B26B3A"/>
    <w:rsid w:val="00B27807"/>
    <w:rsid w:val="00B30E6F"/>
    <w:rsid w:val="00B32B0D"/>
    <w:rsid w:val="00B342CC"/>
    <w:rsid w:val="00B3436E"/>
    <w:rsid w:val="00B373D5"/>
    <w:rsid w:val="00B37727"/>
    <w:rsid w:val="00B4066B"/>
    <w:rsid w:val="00B40A03"/>
    <w:rsid w:val="00B40FFB"/>
    <w:rsid w:val="00B4164D"/>
    <w:rsid w:val="00B4207A"/>
    <w:rsid w:val="00B45143"/>
    <w:rsid w:val="00B466FE"/>
    <w:rsid w:val="00B50E0F"/>
    <w:rsid w:val="00B50E2F"/>
    <w:rsid w:val="00B513E5"/>
    <w:rsid w:val="00B56395"/>
    <w:rsid w:val="00B566FD"/>
    <w:rsid w:val="00B57400"/>
    <w:rsid w:val="00B57595"/>
    <w:rsid w:val="00B60321"/>
    <w:rsid w:val="00B60F88"/>
    <w:rsid w:val="00B63553"/>
    <w:rsid w:val="00B635B1"/>
    <w:rsid w:val="00B64017"/>
    <w:rsid w:val="00B6434A"/>
    <w:rsid w:val="00B65288"/>
    <w:rsid w:val="00B659EA"/>
    <w:rsid w:val="00B664EC"/>
    <w:rsid w:val="00B66EB7"/>
    <w:rsid w:val="00B70606"/>
    <w:rsid w:val="00B711A4"/>
    <w:rsid w:val="00B72741"/>
    <w:rsid w:val="00B7329C"/>
    <w:rsid w:val="00B73AC8"/>
    <w:rsid w:val="00B73B21"/>
    <w:rsid w:val="00B7441E"/>
    <w:rsid w:val="00B74CE4"/>
    <w:rsid w:val="00B75EB8"/>
    <w:rsid w:val="00B76F3E"/>
    <w:rsid w:val="00B7708F"/>
    <w:rsid w:val="00B77F25"/>
    <w:rsid w:val="00B80C21"/>
    <w:rsid w:val="00B80E39"/>
    <w:rsid w:val="00B83B15"/>
    <w:rsid w:val="00B84A6E"/>
    <w:rsid w:val="00B85DA6"/>
    <w:rsid w:val="00B86051"/>
    <w:rsid w:val="00B91C3B"/>
    <w:rsid w:val="00B91F5A"/>
    <w:rsid w:val="00B92CD6"/>
    <w:rsid w:val="00B95052"/>
    <w:rsid w:val="00B9785A"/>
    <w:rsid w:val="00BA3073"/>
    <w:rsid w:val="00BA3CA4"/>
    <w:rsid w:val="00BA3F3C"/>
    <w:rsid w:val="00BA4598"/>
    <w:rsid w:val="00BA575B"/>
    <w:rsid w:val="00BA5769"/>
    <w:rsid w:val="00BA742F"/>
    <w:rsid w:val="00BB154F"/>
    <w:rsid w:val="00BB15FA"/>
    <w:rsid w:val="00BB397E"/>
    <w:rsid w:val="00BB4820"/>
    <w:rsid w:val="00BB49CA"/>
    <w:rsid w:val="00BB54F0"/>
    <w:rsid w:val="00BB616A"/>
    <w:rsid w:val="00BB63A5"/>
    <w:rsid w:val="00BC0312"/>
    <w:rsid w:val="00BC1316"/>
    <w:rsid w:val="00BC1EE3"/>
    <w:rsid w:val="00BC2F9D"/>
    <w:rsid w:val="00BC422B"/>
    <w:rsid w:val="00BC507E"/>
    <w:rsid w:val="00BC509F"/>
    <w:rsid w:val="00BD0BDA"/>
    <w:rsid w:val="00BD101A"/>
    <w:rsid w:val="00BD4E64"/>
    <w:rsid w:val="00BD5318"/>
    <w:rsid w:val="00BD548E"/>
    <w:rsid w:val="00BE0535"/>
    <w:rsid w:val="00BE05FE"/>
    <w:rsid w:val="00BE0BDF"/>
    <w:rsid w:val="00BE1040"/>
    <w:rsid w:val="00BE1B5A"/>
    <w:rsid w:val="00BE2298"/>
    <w:rsid w:val="00BE246B"/>
    <w:rsid w:val="00BE2F67"/>
    <w:rsid w:val="00BE3A1F"/>
    <w:rsid w:val="00BE4955"/>
    <w:rsid w:val="00BE5146"/>
    <w:rsid w:val="00BE5E9B"/>
    <w:rsid w:val="00BE732B"/>
    <w:rsid w:val="00BE7568"/>
    <w:rsid w:val="00BF08B4"/>
    <w:rsid w:val="00BF0D56"/>
    <w:rsid w:val="00BF15E2"/>
    <w:rsid w:val="00BF2E3F"/>
    <w:rsid w:val="00BF3C88"/>
    <w:rsid w:val="00BF5CE5"/>
    <w:rsid w:val="00BF632C"/>
    <w:rsid w:val="00BF729D"/>
    <w:rsid w:val="00BF7FC7"/>
    <w:rsid w:val="00C011ED"/>
    <w:rsid w:val="00C02048"/>
    <w:rsid w:val="00C02457"/>
    <w:rsid w:val="00C03A9F"/>
    <w:rsid w:val="00C041EA"/>
    <w:rsid w:val="00C0426F"/>
    <w:rsid w:val="00C049F4"/>
    <w:rsid w:val="00C055BE"/>
    <w:rsid w:val="00C07569"/>
    <w:rsid w:val="00C10444"/>
    <w:rsid w:val="00C11002"/>
    <w:rsid w:val="00C11366"/>
    <w:rsid w:val="00C12F43"/>
    <w:rsid w:val="00C1415F"/>
    <w:rsid w:val="00C146C6"/>
    <w:rsid w:val="00C160BA"/>
    <w:rsid w:val="00C16AD0"/>
    <w:rsid w:val="00C20366"/>
    <w:rsid w:val="00C21697"/>
    <w:rsid w:val="00C26FCF"/>
    <w:rsid w:val="00C2760F"/>
    <w:rsid w:val="00C306E4"/>
    <w:rsid w:val="00C319A6"/>
    <w:rsid w:val="00C32B90"/>
    <w:rsid w:val="00C33A70"/>
    <w:rsid w:val="00C35342"/>
    <w:rsid w:val="00C37785"/>
    <w:rsid w:val="00C37966"/>
    <w:rsid w:val="00C4036D"/>
    <w:rsid w:val="00C42FD1"/>
    <w:rsid w:val="00C44215"/>
    <w:rsid w:val="00C455D5"/>
    <w:rsid w:val="00C47513"/>
    <w:rsid w:val="00C479F5"/>
    <w:rsid w:val="00C50752"/>
    <w:rsid w:val="00C50B66"/>
    <w:rsid w:val="00C5291C"/>
    <w:rsid w:val="00C5394D"/>
    <w:rsid w:val="00C539A0"/>
    <w:rsid w:val="00C53A3A"/>
    <w:rsid w:val="00C53AEB"/>
    <w:rsid w:val="00C5405E"/>
    <w:rsid w:val="00C547A3"/>
    <w:rsid w:val="00C55B8C"/>
    <w:rsid w:val="00C55D00"/>
    <w:rsid w:val="00C56038"/>
    <w:rsid w:val="00C60213"/>
    <w:rsid w:val="00C6022E"/>
    <w:rsid w:val="00C66211"/>
    <w:rsid w:val="00C66319"/>
    <w:rsid w:val="00C66436"/>
    <w:rsid w:val="00C70308"/>
    <w:rsid w:val="00C7065A"/>
    <w:rsid w:val="00C70734"/>
    <w:rsid w:val="00C7243B"/>
    <w:rsid w:val="00C72527"/>
    <w:rsid w:val="00C72C5C"/>
    <w:rsid w:val="00C73824"/>
    <w:rsid w:val="00C75D1D"/>
    <w:rsid w:val="00C76072"/>
    <w:rsid w:val="00C80F00"/>
    <w:rsid w:val="00C81551"/>
    <w:rsid w:val="00C8158C"/>
    <w:rsid w:val="00C81B92"/>
    <w:rsid w:val="00C82291"/>
    <w:rsid w:val="00C82AA7"/>
    <w:rsid w:val="00C830C8"/>
    <w:rsid w:val="00C83193"/>
    <w:rsid w:val="00C8482F"/>
    <w:rsid w:val="00C84B5C"/>
    <w:rsid w:val="00C84C18"/>
    <w:rsid w:val="00C863F8"/>
    <w:rsid w:val="00C8690D"/>
    <w:rsid w:val="00C879B2"/>
    <w:rsid w:val="00C91375"/>
    <w:rsid w:val="00C935AB"/>
    <w:rsid w:val="00C94940"/>
    <w:rsid w:val="00C9499F"/>
    <w:rsid w:val="00C9641A"/>
    <w:rsid w:val="00C9681B"/>
    <w:rsid w:val="00C9762D"/>
    <w:rsid w:val="00CA0608"/>
    <w:rsid w:val="00CA22F4"/>
    <w:rsid w:val="00CA2408"/>
    <w:rsid w:val="00CA2C99"/>
    <w:rsid w:val="00CA6053"/>
    <w:rsid w:val="00CA6B90"/>
    <w:rsid w:val="00CB4B0E"/>
    <w:rsid w:val="00CB4BB2"/>
    <w:rsid w:val="00CB5778"/>
    <w:rsid w:val="00CB5BBB"/>
    <w:rsid w:val="00CB60E8"/>
    <w:rsid w:val="00CB7C44"/>
    <w:rsid w:val="00CC0B8F"/>
    <w:rsid w:val="00CC0DC9"/>
    <w:rsid w:val="00CC1CE4"/>
    <w:rsid w:val="00CC2F22"/>
    <w:rsid w:val="00CC35A7"/>
    <w:rsid w:val="00CC402A"/>
    <w:rsid w:val="00CC47D6"/>
    <w:rsid w:val="00CC48D3"/>
    <w:rsid w:val="00CC546E"/>
    <w:rsid w:val="00CC6FE6"/>
    <w:rsid w:val="00CC70E7"/>
    <w:rsid w:val="00CD0125"/>
    <w:rsid w:val="00CD0532"/>
    <w:rsid w:val="00CD093B"/>
    <w:rsid w:val="00CD1050"/>
    <w:rsid w:val="00CD145B"/>
    <w:rsid w:val="00CD20C4"/>
    <w:rsid w:val="00CD2C4D"/>
    <w:rsid w:val="00CD321B"/>
    <w:rsid w:val="00CD34C3"/>
    <w:rsid w:val="00CE12EE"/>
    <w:rsid w:val="00CE1827"/>
    <w:rsid w:val="00CE2780"/>
    <w:rsid w:val="00CE4426"/>
    <w:rsid w:val="00CE5A53"/>
    <w:rsid w:val="00CE7C53"/>
    <w:rsid w:val="00CE7D1E"/>
    <w:rsid w:val="00CF04ED"/>
    <w:rsid w:val="00CF058D"/>
    <w:rsid w:val="00CF08F1"/>
    <w:rsid w:val="00CF17AE"/>
    <w:rsid w:val="00CF1BE7"/>
    <w:rsid w:val="00CF25F1"/>
    <w:rsid w:val="00CF33D0"/>
    <w:rsid w:val="00CF4845"/>
    <w:rsid w:val="00CF4DD1"/>
    <w:rsid w:val="00CF59EC"/>
    <w:rsid w:val="00CF61A4"/>
    <w:rsid w:val="00CF651B"/>
    <w:rsid w:val="00CF7DE3"/>
    <w:rsid w:val="00D00632"/>
    <w:rsid w:val="00D0190D"/>
    <w:rsid w:val="00D0282D"/>
    <w:rsid w:val="00D04F24"/>
    <w:rsid w:val="00D05826"/>
    <w:rsid w:val="00D05A40"/>
    <w:rsid w:val="00D067F0"/>
    <w:rsid w:val="00D06FA1"/>
    <w:rsid w:val="00D0727C"/>
    <w:rsid w:val="00D073A5"/>
    <w:rsid w:val="00D10EB9"/>
    <w:rsid w:val="00D11356"/>
    <w:rsid w:val="00D11443"/>
    <w:rsid w:val="00D11646"/>
    <w:rsid w:val="00D11F63"/>
    <w:rsid w:val="00D141AA"/>
    <w:rsid w:val="00D16320"/>
    <w:rsid w:val="00D16FE1"/>
    <w:rsid w:val="00D17802"/>
    <w:rsid w:val="00D2028C"/>
    <w:rsid w:val="00D206CA"/>
    <w:rsid w:val="00D22034"/>
    <w:rsid w:val="00D2310A"/>
    <w:rsid w:val="00D24DB0"/>
    <w:rsid w:val="00D2566F"/>
    <w:rsid w:val="00D27012"/>
    <w:rsid w:val="00D303C4"/>
    <w:rsid w:val="00D31E3B"/>
    <w:rsid w:val="00D3256B"/>
    <w:rsid w:val="00D32E37"/>
    <w:rsid w:val="00D35D3A"/>
    <w:rsid w:val="00D367EC"/>
    <w:rsid w:val="00D36998"/>
    <w:rsid w:val="00D40198"/>
    <w:rsid w:val="00D40469"/>
    <w:rsid w:val="00D419A6"/>
    <w:rsid w:val="00D41FD5"/>
    <w:rsid w:val="00D4225C"/>
    <w:rsid w:val="00D4228B"/>
    <w:rsid w:val="00D42FB5"/>
    <w:rsid w:val="00D43608"/>
    <w:rsid w:val="00D44DD7"/>
    <w:rsid w:val="00D460CB"/>
    <w:rsid w:val="00D461F0"/>
    <w:rsid w:val="00D46FD9"/>
    <w:rsid w:val="00D47390"/>
    <w:rsid w:val="00D51336"/>
    <w:rsid w:val="00D51409"/>
    <w:rsid w:val="00D52C18"/>
    <w:rsid w:val="00D52EC5"/>
    <w:rsid w:val="00D53BA3"/>
    <w:rsid w:val="00D562AF"/>
    <w:rsid w:val="00D56FAA"/>
    <w:rsid w:val="00D57650"/>
    <w:rsid w:val="00D61310"/>
    <w:rsid w:val="00D619C0"/>
    <w:rsid w:val="00D62D43"/>
    <w:rsid w:val="00D63139"/>
    <w:rsid w:val="00D633DA"/>
    <w:rsid w:val="00D6361D"/>
    <w:rsid w:val="00D6447E"/>
    <w:rsid w:val="00D65DDD"/>
    <w:rsid w:val="00D7269A"/>
    <w:rsid w:val="00D72BAD"/>
    <w:rsid w:val="00D73F87"/>
    <w:rsid w:val="00D74AF8"/>
    <w:rsid w:val="00D74F6F"/>
    <w:rsid w:val="00D76D55"/>
    <w:rsid w:val="00D76D5E"/>
    <w:rsid w:val="00D80313"/>
    <w:rsid w:val="00D83911"/>
    <w:rsid w:val="00D84476"/>
    <w:rsid w:val="00D8544F"/>
    <w:rsid w:val="00D863C9"/>
    <w:rsid w:val="00D86AB2"/>
    <w:rsid w:val="00D90ABC"/>
    <w:rsid w:val="00D910DC"/>
    <w:rsid w:val="00D9153D"/>
    <w:rsid w:val="00D91B00"/>
    <w:rsid w:val="00D945E1"/>
    <w:rsid w:val="00D9611C"/>
    <w:rsid w:val="00D97018"/>
    <w:rsid w:val="00DA2754"/>
    <w:rsid w:val="00DA564D"/>
    <w:rsid w:val="00DA5893"/>
    <w:rsid w:val="00DA5E57"/>
    <w:rsid w:val="00DA6D1E"/>
    <w:rsid w:val="00DA6E2E"/>
    <w:rsid w:val="00DB4128"/>
    <w:rsid w:val="00DB574F"/>
    <w:rsid w:val="00DB58EB"/>
    <w:rsid w:val="00DB5E5A"/>
    <w:rsid w:val="00DC081C"/>
    <w:rsid w:val="00DC182B"/>
    <w:rsid w:val="00DC195E"/>
    <w:rsid w:val="00DC2C11"/>
    <w:rsid w:val="00DC340C"/>
    <w:rsid w:val="00DC3FBB"/>
    <w:rsid w:val="00DC6F95"/>
    <w:rsid w:val="00DC75DD"/>
    <w:rsid w:val="00DD0D2B"/>
    <w:rsid w:val="00DD1C9F"/>
    <w:rsid w:val="00DD3D86"/>
    <w:rsid w:val="00DD4872"/>
    <w:rsid w:val="00DD4AEB"/>
    <w:rsid w:val="00DD726A"/>
    <w:rsid w:val="00DD7548"/>
    <w:rsid w:val="00DE33C2"/>
    <w:rsid w:val="00DE3748"/>
    <w:rsid w:val="00DE4D1C"/>
    <w:rsid w:val="00DE551A"/>
    <w:rsid w:val="00DE5C0E"/>
    <w:rsid w:val="00DE6E1C"/>
    <w:rsid w:val="00DF0011"/>
    <w:rsid w:val="00DF02C2"/>
    <w:rsid w:val="00DF23BC"/>
    <w:rsid w:val="00DF2DC6"/>
    <w:rsid w:val="00DF3814"/>
    <w:rsid w:val="00DF3A8F"/>
    <w:rsid w:val="00DF3F07"/>
    <w:rsid w:val="00DF3F68"/>
    <w:rsid w:val="00DF4675"/>
    <w:rsid w:val="00DF4990"/>
    <w:rsid w:val="00DF5660"/>
    <w:rsid w:val="00DF5D54"/>
    <w:rsid w:val="00E00014"/>
    <w:rsid w:val="00E0031C"/>
    <w:rsid w:val="00E01FD9"/>
    <w:rsid w:val="00E03198"/>
    <w:rsid w:val="00E03DC1"/>
    <w:rsid w:val="00E03F9C"/>
    <w:rsid w:val="00E042AC"/>
    <w:rsid w:val="00E0443D"/>
    <w:rsid w:val="00E05033"/>
    <w:rsid w:val="00E05088"/>
    <w:rsid w:val="00E0611D"/>
    <w:rsid w:val="00E07060"/>
    <w:rsid w:val="00E0766E"/>
    <w:rsid w:val="00E07884"/>
    <w:rsid w:val="00E10DB1"/>
    <w:rsid w:val="00E11551"/>
    <w:rsid w:val="00E157B0"/>
    <w:rsid w:val="00E1769A"/>
    <w:rsid w:val="00E204EC"/>
    <w:rsid w:val="00E2057A"/>
    <w:rsid w:val="00E21B64"/>
    <w:rsid w:val="00E221AE"/>
    <w:rsid w:val="00E22F61"/>
    <w:rsid w:val="00E23576"/>
    <w:rsid w:val="00E24224"/>
    <w:rsid w:val="00E245D1"/>
    <w:rsid w:val="00E24D3F"/>
    <w:rsid w:val="00E25620"/>
    <w:rsid w:val="00E2656B"/>
    <w:rsid w:val="00E26BEC"/>
    <w:rsid w:val="00E27597"/>
    <w:rsid w:val="00E3143D"/>
    <w:rsid w:val="00E31FEF"/>
    <w:rsid w:val="00E3510C"/>
    <w:rsid w:val="00E402B1"/>
    <w:rsid w:val="00E4164B"/>
    <w:rsid w:val="00E41762"/>
    <w:rsid w:val="00E4489B"/>
    <w:rsid w:val="00E45BAB"/>
    <w:rsid w:val="00E47E20"/>
    <w:rsid w:val="00E504FE"/>
    <w:rsid w:val="00E51C8A"/>
    <w:rsid w:val="00E5397C"/>
    <w:rsid w:val="00E54F67"/>
    <w:rsid w:val="00E550C8"/>
    <w:rsid w:val="00E552CC"/>
    <w:rsid w:val="00E5623B"/>
    <w:rsid w:val="00E56520"/>
    <w:rsid w:val="00E578B3"/>
    <w:rsid w:val="00E61ED7"/>
    <w:rsid w:val="00E65814"/>
    <w:rsid w:val="00E70C75"/>
    <w:rsid w:val="00E70F75"/>
    <w:rsid w:val="00E717A0"/>
    <w:rsid w:val="00E718E1"/>
    <w:rsid w:val="00E72B11"/>
    <w:rsid w:val="00E73973"/>
    <w:rsid w:val="00E73EB3"/>
    <w:rsid w:val="00E746BB"/>
    <w:rsid w:val="00E77D61"/>
    <w:rsid w:val="00E77D86"/>
    <w:rsid w:val="00E80B1F"/>
    <w:rsid w:val="00E81ABC"/>
    <w:rsid w:val="00E836EB"/>
    <w:rsid w:val="00E83DA7"/>
    <w:rsid w:val="00E84FD4"/>
    <w:rsid w:val="00E857AC"/>
    <w:rsid w:val="00E85813"/>
    <w:rsid w:val="00E869FF"/>
    <w:rsid w:val="00E91F23"/>
    <w:rsid w:val="00E931ED"/>
    <w:rsid w:val="00E93932"/>
    <w:rsid w:val="00E94ABA"/>
    <w:rsid w:val="00E94C5D"/>
    <w:rsid w:val="00E9774A"/>
    <w:rsid w:val="00E97A75"/>
    <w:rsid w:val="00EA17DD"/>
    <w:rsid w:val="00EA48AD"/>
    <w:rsid w:val="00EA648C"/>
    <w:rsid w:val="00EA7D45"/>
    <w:rsid w:val="00EB0245"/>
    <w:rsid w:val="00EB07F1"/>
    <w:rsid w:val="00EB1A53"/>
    <w:rsid w:val="00EB3038"/>
    <w:rsid w:val="00EB3C40"/>
    <w:rsid w:val="00EB7246"/>
    <w:rsid w:val="00EC0C8B"/>
    <w:rsid w:val="00EC0E5B"/>
    <w:rsid w:val="00EC1828"/>
    <w:rsid w:val="00EC1ED7"/>
    <w:rsid w:val="00EC3079"/>
    <w:rsid w:val="00EC3DC7"/>
    <w:rsid w:val="00EC4136"/>
    <w:rsid w:val="00EC446D"/>
    <w:rsid w:val="00EC5066"/>
    <w:rsid w:val="00EC62AA"/>
    <w:rsid w:val="00EC6E60"/>
    <w:rsid w:val="00EC71F4"/>
    <w:rsid w:val="00ED2190"/>
    <w:rsid w:val="00ED2AB4"/>
    <w:rsid w:val="00ED2F2E"/>
    <w:rsid w:val="00ED3460"/>
    <w:rsid w:val="00ED3CFD"/>
    <w:rsid w:val="00ED4ADC"/>
    <w:rsid w:val="00ED66D4"/>
    <w:rsid w:val="00ED6EB1"/>
    <w:rsid w:val="00EE1298"/>
    <w:rsid w:val="00EE19CC"/>
    <w:rsid w:val="00EE1C4D"/>
    <w:rsid w:val="00EE1DF1"/>
    <w:rsid w:val="00EE361B"/>
    <w:rsid w:val="00EE4652"/>
    <w:rsid w:val="00EE5017"/>
    <w:rsid w:val="00EE5D1F"/>
    <w:rsid w:val="00EF0780"/>
    <w:rsid w:val="00EF1929"/>
    <w:rsid w:val="00EF3522"/>
    <w:rsid w:val="00F01153"/>
    <w:rsid w:val="00F01979"/>
    <w:rsid w:val="00F01EF6"/>
    <w:rsid w:val="00F0344E"/>
    <w:rsid w:val="00F0458A"/>
    <w:rsid w:val="00F058CE"/>
    <w:rsid w:val="00F05A82"/>
    <w:rsid w:val="00F06FED"/>
    <w:rsid w:val="00F07388"/>
    <w:rsid w:val="00F07CED"/>
    <w:rsid w:val="00F07E46"/>
    <w:rsid w:val="00F11961"/>
    <w:rsid w:val="00F13375"/>
    <w:rsid w:val="00F1361E"/>
    <w:rsid w:val="00F13722"/>
    <w:rsid w:val="00F1399F"/>
    <w:rsid w:val="00F139E0"/>
    <w:rsid w:val="00F14AD8"/>
    <w:rsid w:val="00F159D2"/>
    <w:rsid w:val="00F20E08"/>
    <w:rsid w:val="00F216E0"/>
    <w:rsid w:val="00F21A6A"/>
    <w:rsid w:val="00F231DD"/>
    <w:rsid w:val="00F24609"/>
    <w:rsid w:val="00F25B46"/>
    <w:rsid w:val="00F30FEA"/>
    <w:rsid w:val="00F31542"/>
    <w:rsid w:val="00F32BF2"/>
    <w:rsid w:val="00F34212"/>
    <w:rsid w:val="00F3567B"/>
    <w:rsid w:val="00F35801"/>
    <w:rsid w:val="00F36EED"/>
    <w:rsid w:val="00F40389"/>
    <w:rsid w:val="00F40E44"/>
    <w:rsid w:val="00F41D9B"/>
    <w:rsid w:val="00F42345"/>
    <w:rsid w:val="00F43BC1"/>
    <w:rsid w:val="00F44689"/>
    <w:rsid w:val="00F45E1C"/>
    <w:rsid w:val="00F46B16"/>
    <w:rsid w:val="00F47306"/>
    <w:rsid w:val="00F47308"/>
    <w:rsid w:val="00F52958"/>
    <w:rsid w:val="00F57150"/>
    <w:rsid w:val="00F5716B"/>
    <w:rsid w:val="00F574FB"/>
    <w:rsid w:val="00F57727"/>
    <w:rsid w:val="00F605B2"/>
    <w:rsid w:val="00F632FC"/>
    <w:rsid w:val="00F63E76"/>
    <w:rsid w:val="00F64520"/>
    <w:rsid w:val="00F6455F"/>
    <w:rsid w:val="00F7011F"/>
    <w:rsid w:val="00F70907"/>
    <w:rsid w:val="00F709AA"/>
    <w:rsid w:val="00F70C34"/>
    <w:rsid w:val="00F70E94"/>
    <w:rsid w:val="00F728B2"/>
    <w:rsid w:val="00F72947"/>
    <w:rsid w:val="00F741C8"/>
    <w:rsid w:val="00F82647"/>
    <w:rsid w:val="00F8401F"/>
    <w:rsid w:val="00F844A7"/>
    <w:rsid w:val="00F8454C"/>
    <w:rsid w:val="00F85284"/>
    <w:rsid w:val="00F8606E"/>
    <w:rsid w:val="00F861C9"/>
    <w:rsid w:val="00F8674D"/>
    <w:rsid w:val="00F87A7D"/>
    <w:rsid w:val="00F900CE"/>
    <w:rsid w:val="00F91DBB"/>
    <w:rsid w:val="00F91E9E"/>
    <w:rsid w:val="00F93665"/>
    <w:rsid w:val="00F93E85"/>
    <w:rsid w:val="00F94436"/>
    <w:rsid w:val="00F95774"/>
    <w:rsid w:val="00FA0499"/>
    <w:rsid w:val="00FA12C7"/>
    <w:rsid w:val="00FA2296"/>
    <w:rsid w:val="00FA4042"/>
    <w:rsid w:val="00FA481D"/>
    <w:rsid w:val="00FB03B5"/>
    <w:rsid w:val="00FB48F4"/>
    <w:rsid w:val="00FB5F9D"/>
    <w:rsid w:val="00FB6E88"/>
    <w:rsid w:val="00FC0677"/>
    <w:rsid w:val="00FC1AA4"/>
    <w:rsid w:val="00FC2845"/>
    <w:rsid w:val="00FC2D3A"/>
    <w:rsid w:val="00FC39FF"/>
    <w:rsid w:val="00FC4B13"/>
    <w:rsid w:val="00FC7ADE"/>
    <w:rsid w:val="00FD0C02"/>
    <w:rsid w:val="00FD1C7B"/>
    <w:rsid w:val="00FD2016"/>
    <w:rsid w:val="00FD20DB"/>
    <w:rsid w:val="00FD257D"/>
    <w:rsid w:val="00FD27D7"/>
    <w:rsid w:val="00FD41FC"/>
    <w:rsid w:val="00FD56E4"/>
    <w:rsid w:val="00FD5C67"/>
    <w:rsid w:val="00FD5E11"/>
    <w:rsid w:val="00FD66FC"/>
    <w:rsid w:val="00FE00DC"/>
    <w:rsid w:val="00FE1D87"/>
    <w:rsid w:val="00FE286E"/>
    <w:rsid w:val="00FE2E31"/>
    <w:rsid w:val="00FE31BC"/>
    <w:rsid w:val="00FE3505"/>
    <w:rsid w:val="00FE3D9C"/>
    <w:rsid w:val="00FE3FFD"/>
    <w:rsid w:val="00FE5614"/>
    <w:rsid w:val="00FE5A5E"/>
    <w:rsid w:val="00FE6759"/>
    <w:rsid w:val="00FE7BA9"/>
    <w:rsid w:val="00FF0729"/>
    <w:rsid w:val="00FF1D1B"/>
    <w:rsid w:val="00FF4DF7"/>
    <w:rsid w:val="00FF6827"/>
    <w:rsid w:val="00FF73E7"/>
    <w:rsid w:val="00FF7541"/>
    <w:rsid w:val="00FF7929"/>
    <w:rsid w:val="0117D60B"/>
    <w:rsid w:val="0121802C"/>
    <w:rsid w:val="01BF9C1A"/>
    <w:rsid w:val="02C47536"/>
    <w:rsid w:val="03273428"/>
    <w:rsid w:val="0386CA58"/>
    <w:rsid w:val="058055F9"/>
    <w:rsid w:val="0A17500D"/>
    <w:rsid w:val="0A648B66"/>
    <w:rsid w:val="0A75F5A2"/>
    <w:rsid w:val="0ADBA250"/>
    <w:rsid w:val="0AEB0F9E"/>
    <w:rsid w:val="0B0A364F"/>
    <w:rsid w:val="0B9C370F"/>
    <w:rsid w:val="0CA2D79E"/>
    <w:rsid w:val="0CD0D7F0"/>
    <w:rsid w:val="0CEDF335"/>
    <w:rsid w:val="0D795E81"/>
    <w:rsid w:val="0E378907"/>
    <w:rsid w:val="0EBBA91F"/>
    <w:rsid w:val="0EFCC207"/>
    <w:rsid w:val="0F70594D"/>
    <w:rsid w:val="103BAB80"/>
    <w:rsid w:val="1057BEB7"/>
    <w:rsid w:val="10989A73"/>
    <w:rsid w:val="109FE512"/>
    <w:rsid w:val="10AF0A9A"/>
    <w:rsid w:val="11618060"/>
    <w:rsid w:val="117DFB26"/>
    <w:rsid w:val="125B82C4"/>
    <w:rsid w:val="12C9C261"/>
    <w:rsid w:val="13914A87"/>
    <w:rsid w:val="13C1F000"/>
    <w:rsid w:val="13D30749"/>
    <w:rsid w:val="142B9E84"/>
    <w:rsid w:val="14DB7D3A"/>
    <w:rsid w:val="15AD9914"/>
    <w:rsid w:val="16734E77"/>
    <w:rsid w:val="16D5B1A5"/>
    <w:rsid w:val="16F15888"/>
    <w:rsid w:val="17537CAA"/>
    <w:rsid w:val="176702DD"/>
    <w:rsid w:val="184412A4"/>
    <w:rsid w:val="188BB6B3"/>
    <w:rsid w:val="18F3079F"/>
    <w:rsid w:val="19E199CF"/>
    <w:rsid w:val="19F8F12F"/>
    <w:rsid w:val="19FDA5C4"/>
    <w:rsid w:val="1A568D28"/>
    <w:rsid w:val="1A94A8F4"/>
    <w:rsid w:val="1ACDAD55"/>
    <w:rsid w:val="1B20D30A"/>
    <w:rsid w:val="1B412092"/>
    <w:rsid w:val="1C1FB6F7"/>
    <w:rsid w:val="1C612C81"/>
    <w:rsid w:val="1E9A95CE"/>
    <w:rsid w:val="1EAAD47C"/>
    <w:rsid w:val="1F2B0B24"/>
    <w:rsid w:val="20FA9F78"/>
    <w:rsid w:val="2215D468"/>
    <w:rsid w:val="22377D8B"/>
    <w:rsid w:val="22B95633"/>
    <w:rsid w:val="23BDB932"/>
    <w:rsid w:val="23D27566"/>
    <w:rsid w:val="23D9622E"/>
    <w:rsid w:val="24566CFA"/>
    <w:rsid w:val="24D19956"/>
    <w:rsid w:val="254448E6"/>
    <w:rsid w:val="260F40A0"/>
    <w:rsid w:val="265A7E24"/>
    <w:rsid w:val="26756FF4"/>
    <w:rsid w:val="26B4AB9C"/>
    <w:rsid w:val="26D5DEF0"/>
    <w:rsid w:val="26E41002"/>
    <w:rsid w:val="27D768E9"/>
    <w:rsid w:val="28AFDB36"/>
    <w:rsid w:val="2936F8FF"/>
    <w:rsid w:val="2A274F63"/>
    <w:rsid w:val="2A3A1C24"/>
    <w:rsid w:val="2A7DF5C6"/>
    <w:rsid w:val="2A8CA407"/>
    <w:rsid w:val="2BB40FD4"/>
    <w:rsid w:val="2C987139"/>
    <w:rsid w:val="2D0500E3"/>
    <w:rsid w:val="2D6814CB"/>
    <w:rsid w:val="2D6F3E50"/>
    <w:rsid w:val="2DB8D4C4"/>
    <w:rsid w:val="2DBE87F7"/>
    <w:rsid w:val="2E2D4FBF"/>
    <w:rsid w:val="2E2FCEB2"/>
    <w:rsid w:val="2E409179"/>
    <w:rsid w:val="2E49F193"/>
    <w:rsid w:val="2E7F2376"/>
    <w:rsid w:val="2F705B74"/>
    <w:rsid w:val="303A280F"/>
    <w:rsid w:val="3067483B"/>
    <w:rsid w:val="312EA457"/>
    <w:rsid w:val="3159A943"/>
    <w:rsid w:val="3214D180"/>
    <w:rsid w:val="32E0A13A"/>
    <w:rsid w:val="33527205"/>
    <w:rsid w:val="3361F822"/>
    <w:rsid w:val="33631B95"/>
    <w:rsid w:val="33C1B37A"/>
    <w:rsid w:val="33F60D14"/>
    <w:rsid w:val="35E6DB41"/>
    <w:rsid w:val="36A881C9"/>
    <w:rsid w:val="36EED5C4"/>
    <w:rsid w:val="3730D25A"/>
    <w:rsid w:val="37C39278"/>
    <w:rsid w:val="38307384"/>
    <w:rsid w:val="393AF5E3"/>
    <w:rsid w:val="3A2E8547"/>
    <w:rsid w:val="3A3E02B7"/>
    <w:rsid w:val="3A4F7681"/>
    <w:rsid w:val="3A5F2564"/>
    <w:rsid w:val="3AD28B29"/>
    <w:rsid w:val="3AED5A26"/>
    <w:rsid w:val="3AF92992"/>
    <w:rsid w:val="3BCDD39B"/>
    <w:rsid w:val="3C763B98"/>
    <w:rsid w:val="3CADBD60"/>
    <w:rsid w:val="3CD0D0E4"/>
    <w:rsid w:val="3D601596"/>
    <w:rsid w:val="3D829CF2"/>
    <w:rsid w:val="3DB7785C"/>
    <w:rsid w:val="3DD752C4"/>
    <w:rsid w:val="3DFD7E1D"/>
    <w:rsid w:val="3EE927F8"/>
    <w:rsid w:val="3EEC66D4"/>
    <w:rsid w:val="3F04B981"/>
    <w:rsid w:val="40C7EA79"/>
    <w:rsid w:val="40CD5F22"/>
    <w:rsid w:val="40DE4C4E"/>
    <w:rsid w:val="4159A038"/>
    <w:rsid w:val="4201C828"/>
    <w:rsid w:val="42815100"/>
    <w:rsid w:val="42BD1FB6"/>
    <w:rsid w:val="43724319"/>
    <w:rsid w:val="438E86E7"/>
    <w:rsid w:val="45606260"/>
    <w:rsid w:val="4591B84A"/>
    <w:rsid w:val="464DFF86"/>
    <w:rsid w:val="46ECFCCE"/>
    <w:rsid w:val="478BA6A9"/>
    <w:rsid w:val="4A21AC11"/>
    <w:rsid w:val="4A980CAA"/>
    <w:rsid w:val="4AD91A8C"/>
    <w:rsid w:val="4B2CF9CC"/>
    <w:rsid w:val="4B4FEBA9"/>
    <w:rsid w:val="4B6F0CDC"/>
    <w:rsid w:val="4C30E1C3"/>
    <w:rsid w:val="4D4827B4"/>
    <w:rsid w:val="4E73F31E"/>
    <w:rsid w:val="4F29F196"/>
    <w:rsid w:val="4FB103D0"/>
    <w:rsid w:val="4FD79A72"/>
    <w:rsid w:val="500E3EE4"/>
    <w:rsid w:val="5029DD88"/>
    <w:rsid w:val="5049AB76"/>
    <w:rsid w:val="50ACC9D0"/>
    <w:rsid w:val="52156D98"/>
    <w:rsid w:val="52E637AE"/>
    <w:rsid w:val="5395BE12"/>
    <w:rsid w:val="53CA5248"/>
    <w:rsid w:val="53DA695F"/>
    <w:rsid w:val="54F3673E"/>
    <w:rsid w:val="5505EA3F"/>
    <w:rsid w:val="5507DEDD"/>
    <w:rsid w:val="551D7069"/>
    <w:rsid w:val="55B5E323"/>
    <w:rsid w:val="569AD807"/>
    <w:rsid w:val="5770A0BE"/>
    <w:rsid w:val="582876E3"/>
    <w:rsid w:val="584F71CD"/>
    <w:rsid w:val="58C53DC6"/>
    <w:rsid w:val="593AE56B"/>
    <w:rsid w:val="59820551"/>
    <w:rsid w:val="59C764CE"/>
    <w:rsid w:val="5A1ACE45"/>
    <w:rsid w:val="5B49BDB4"/>
    <w:rsid w:val="5B87E96D"/>
    <w:rsid w:val="5C3E7ECF"/>
    <w:rsid w:val="5C54AA5F"/>
    <w:rsid w:val="5CE1EFB0"/>
    <w:rsid w:val="5CF50436"/>
    <w:rsid w:val="5E03749A"/>
    <w:rsid w:val="5EF7C891"/>
    <w:rsid w:val="60C66607"/>
    <w:rsid w:val="60F49769"/>
    <w:rsid w:val="616D980C"/>
    <w:rsid w:val="625EF062"/>
    <w:rsid w:val="627AC4A3"/>
    <w:rsid w:val="62A84DC7"/>
    <w:rsid w:val="6371A61E"/>
    <w:rsid w:val="637A9009"/>
    <w:rsid w:val="63C9135E"/>
    <w:rsid w:val="63EE7940"/>
    <w:rsid w:val="643DA642"/>
    <w:rsid w:val="64C60930"/>
    <w:rsid w:val="64EB7ED5"/>
    <w:rsid w:val="65A7276F"/>
    <w:rsid w:val="6620A8F3"/>
    <w:rsid w:val="66410DB1"/>
    <w:rsid w:val="669264E7"/>
    <w:rsid w:val="669EABE4"/>
    <w:rsid w:val="678C338D"/>
    <w:rsid w:val="6801F13E"/>
    <w:rsid w:val="6806BB40"/>
    <w:rsid w:val="6810AF98"/>
    <w:rsid w:val="69080F66"/>
    <w:rsid w:val="6957D3B3"/>
    <w:rsid w:val="698B11AD"/>
    <w:rsid w:val="6B2A93E2"/>
    <w:rsid w:val="6BA5FED3"/>
    <w:rsid w:val="6C2A0A4E"/>
    <w:rsid w:val="6E0F3FE7"/>
    <w:rsid w:val="6F591E44"/>
    <w:rsid w:val="6F9F4295"/>
    <w:rsid w:val="7034CDA9"/>
    <w:rsid w:val="706ED632"/>
    <w:rsid w:val="70B58731"/>
    <w:rsid w:val="70CE44FC"/>
    <w:rsid w:val="715C99B2"/>
    <w:rsid w:val="71B2C823"/>
    <w:rsid w:val="737EA588"/>
    <w:rsid w:val="73AE403A"/>
    <w:rsid w:val="73E6DF5D"/>
    <w:rsid w:val="74DAD60D"/>
    <w:rsid w:val="74F5DB30"/>
    <w:rsid w:val="77512EC1"/>
    <w:rsid w:val="78430677"/>
    <w:rsid w:val="788D73BF"/>
    <w:rsid w:val="78A35094"/>
    <w:rsid w:val="78B65DA6"/>
    <w:rsid w:val="78B7DA5B"/>
    <w:rsid w:val="78E51F7C"/>
    <w:rsid w:val="7A03B237"/>
    <w:rsid w:val="7A06BDFE"/>
    <w:rsid w:val="7A48FD62"/>
    <w:rsid w:val="7AA8364C"/>
    <w:rsid w:val="7AC40FAE"/>
    <w:rsid w:val="7AE68614"/>
    <w:rsid w:val="7B817572"/>
    <w:rsid w:val="7B8760D8"/>
    <w:rsid w:val="7BAC1AE0"/>
    <w:rsid w:val="7BC1AFFF"/>
    <w:rsid w:val="7BE24DC6"/>
    <w:rsid w:val="7BF0E884"/>
    <w:rsid w:val="7C3AFA44"/>
    <w:rsid w:val="7C6B0C9E"/>
    <w:rsid w:val="7D961E79"/>
    <w:rsid w:val="7DEE87C4"/>
    <w:rsid w:val="7EB4626F"/>
    <w:rsid w:val="7EBD30F4"/>
    <w:rsid w:val="7EBF4119"/>
    <w:rsid w:val="7F85ED53"/>
    <w:rsid w:val="7F912E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242F5"/>
  <w15:chartTrackingRefBased/>
  <w15:docId w15:val="{AA34D078-F126-47B3-B77F-C1C5C0C3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DC"/>
    <w:pPr>
      <w:spacing w:line="259" w:lineRule="auto"/>
    </w:pPr>
    <w:rPr>
      <w:rFonts w:eastAsiaTheme="minorEastAsia"/>
      <w:sz w:val="22"/>
      <w:szCs w:val="22"/>
      <w:lang w:eastAsia="ja-JP"/>
    </w:rPr>
  </w:style>
  <w:style w:type="paragraph" w:styleId="Heading1">
    <w:name w:val="heading 1"/>
    <w:basedOn w:val="Normal"/>
    <w:next w:val="Normal"/>
    <w:link w:val="Heading1Char"/>
    <w:uiPriority w:val="9"/>
    <w:qFormat/>
    <w:rsid w:val="00032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2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2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DC"/>
    <w:rPr>
      <w:rFonts w:eastAsiaTheme="majorEastAsia" w:cstheme="majorBidi"/>
      <w:color w:val="272727" w:themeColor="text1" w:themeTint="D8"/>
    </w:rPr>
  </w:style>
  <w:style w:type="paragraph" w:styleId="Title">
    <w:name w:val="Title"/>
    <w:basedOn w:val="Normal"/>
    <w:next w:val="Normal"/>
    <w:link w:val="TitleChar"/>
    <w:uiPriority w:val="10"/>
    <w:qFormat/>
    <w:rsid w:val="00032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DC"/>
    <w:pPr>
      <w:spacing w:before="160"/>
      <w:jc w:val="center"/>
    </w:pPr>
    <w:rPr>
      <w:i/>
      <w:iCs/>
      <w:color w:val="404040" w:themeColor="text1" w:themeTint="BF"/>
    </w:rPr>
  </w:style>
  <w:style w:type="character" w:customStyle="1" w:styleId="QuoteChar">
    <w:name w:val="Quote Char"/>
    <w:basedOn w:val="DefaultParagraphFont"/>
    <w:link w:val="Quote"/>
    <w:uiPriority w:val="29"/>
    <w:rsid w:val="000323DC"/>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323DC"/>
    <w:pPr>
      <w:ind w:left="720"/>
      <w:contextualSpacing/>
    </w:pPr>
  </w:style>
  <w:style w:type="character" w:styleId="IntenseEmphasis">
    <w:name w:val="Intense Emphasis"/>
    <w:basedOn w:val="DefaultParagraphFont"/>
    <w:uiPriority w:val="21"/>
    <w:qFormat/>
    <w:rsid w:val="000323DC"/>
    <w:rPr>
      <w:i/>
      <w:iCs/>
      <w:color w:val="0F4761" w:themeColor="accent1" w:themeShade="BF"/>
    </w:rPr>
  </w:style>
  <w:style w:type="paragraph" w:styleId="IntenseQuote">
    <w:name w:val="Intense Quote"/>
    <w:basedOn w:val="Normal"/>
    <w:next w:val="Normal"/>
    <w:link w:val="IntenseQuoteChar"/>
    <w:uiPriority w:val="30"/>
    <w:qFormat/>
    <w:rsid w:val="00032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DC"/>
    <w:rPr>
      <w:i/>
      <w:iCs/>
      <w:color w:val="0F4761" w:themeColor="accent1" w:themeShade="BF"/>
    </w:rPr>
  </w:style>
  <w:style w:type="character" w:styleId="IntenseReference">
    <w:name w:val="Intense Reference"/>
    <w:basedOn w:val="DefaultParagraphFont"/>
    <w:uiPriority w:val="32"/>
    <w:qFormat/>
    <w:rsid w:val="000323DC"/>
    <w:rPr>
      <w:b/>
      <w:bCs/>
      <w:smallCaps/>
      <w:color w:val="0F4761" w:themeColor="accent1" w:themeShade="BF"/>
      <w:spacing w:val="5"/>
    </w:rPr>
  </w:style>
  <w:style w:type="paragraph" w:styleId="FootnoteText">
    <w:name w:val="footnote text"/>
    <w:basedOn w:val="Normal"/>
    <w:link w:val="FootnoteTextChar"/>
    <w:uiPriority w:val="99"/>
    <w:semiHidden/>
    <w:unhideWhenUsed/>
    <w:rsid w:val="00032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3DC"/>
    <w:rPr>
      <w:rFonts w:eastAsiaTheme="minorEastAsia"/>
      <w:sz w:val="20"/>
      <w:szCs w:val="20"/>
      <w:lang w:eastAsia="ja-JP"/>
    </w:rPr>
  </w:style>
  <w:style w:type="table" w:styleId="TableGrid">
    <w:name w:val="Table Grid"/>
    <w:basedOn w:val="TableNormal"/>
    <w:uiPriority w:val="39"/>
    <w:rsid w:val="000323DC"/>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0323DC"/>
  </w:style>
  <w:style w:type="paragraph" w:customStyle="1" w:styleId="ImplementationPlan1">
    <w:name w:val="Implementation Plan 1"/>
    <w:basedOn w:val="ListParagraph"/>
    <w:link w:val="ImplementationPlan1Char"/>
    <w:qFormat/>
    <w:rsid w:val="000323DC"/>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0323DC"/>
    <w:rPr>
      <w:rFonts w:ascii="Corbel" w:eastAsia="Corbel" w:hAnsi="Corbel" w:cs="Corbel"/>
      <w:b/>
      <w:bCs/>
      <w:caps/>
      <w:color w:val="980033"/>
      <w:sz w:val="22"/>
      <w:szCs w:val="22"/>
      <w:lang w:eastAsia="ja-JP"/>
    </w:rPr>
  </w:style>
  <w:style w:type="table" w:customStyle="1" w:styleId="TableGrid1">
    <w:name w:val="Table Grid1"/>
    <w:basedOn w:val="TableNormal"/>
    <w:next w:val="TableGrid"/>
    <w:uiPriority w:val="59"/>
    <w:rsid w:val="000323D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0323DC"/>
    <w:pPr>
      <w:numPr>
        <w:numId w:val="2"/>
      </w:numPr>
      <w:spacing w:after="60" w:line="240" w:lineRule="auto"/>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0323DC"/>
    <w:rPr>
      <w:rFonts w:ascii="Times New Roman" w:eastAsiaTheme="minorEastAsia" w:hAnsi="Times New Roman" w:cs="Times New Roman"/>
      <w:kern w:val="0"/>
      <w:sz w:val="22"/>
      <w:szCs w:val="22"/>
      <w:lang w:eastAsia="ja-JP"/>
      <w14:ligatures w14:val="none"/>
    </w:rPr>
  </w:style>
  <w:style w:type="character" w:styleId="FootnoteReference">
    <w:name w:val="footnote reference"/>
    <w:basedOn w:val="DefaultParagraphFont"/>
    <w:uiPriority w:val="99"/>
    <w:semiHidden/>
    <w:unhideWhenUsed/>
    <w:rsid w:val="000323DC"/>
    <w:rPr>
      <w:vertAlign w:val="superscript"/>
    </w:rPr>
  </w:style>
  <w:style w:type="paragraph" w:styleId="Header">
    <w:name w:val="header"/>
    <w:basedOn w:val="Normal"/>
    <w:link w:val="HeaderChar"/>
    <w:uiPriority w:val="99"/>
    <w:unhideWhenUsed/>
    <w:rsid w:val="00032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DC"/>
    <w:rPr>
      <w:rFonts w:eastAsiaTheme="minorEastAsia"/>
      <w:sz w:val="22"/>
      <w:szCs w:val="22"/>
      <w:lang w:eastAsia="ja-JP"/>
    </w:rPr>
  </w:style>
  <w:style w:type="paragraph" w:styleId="Footer">
    <w:name w:val="footer"/>
    <w:basedOn w:val="Normal"/>
    <w:link w:val="FooterChar"/>
    <w:uiPriority w:val="99"/>
    <w:unhideWhenUsed/>
    <w:rsid w:val="00032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DC"/>
    <w:rPr>
      <w:rFonts w:eastAsiaTheme="minorEastAsia"/>
      <w:sz w:val="22"/>
      <w:szCs w:val="22"/>
      <w:lang w:eastAsia="ja-JP"/>
    </w:rPr>
  </w:style>
  <w:style w:type="character" w:styleId="CommentReference">
    <w:name w:val="annotation reference"/>
    <w:basedOn w:val="DefaultParagraphFont"/>
    <w:uiPriority w:val="99"/>
    <w:semiHidden/>
    <w:unhideWhenUsed/>
    <w:rsid w:val="0022444B"/>
    <w:rPr>
      <w:sz w:val="16"/>
      <w:szCs w:val="16"/>
    </w:rPr>
  </w:style>
  <w:style w:type="paragraph" w:styleId="CommentText">
    <w:name w:val="annotation text"/>
    <w:basedOn w:val="Normal"/>
    <w:link w:val="CommentTextChar"/>
    <w:uiPriority w:val="99"/>
    <w:unhideWhenUsed/>
    <w:rsid w:val="0022444B"/>
    <w:pPr>
      <w:spacing w:line="240" w:lineRule="auto"/>
    </w:pPr>
    <w:rPr>
      <w:sz w:val="20"/>
      <w:szCs w:val="20"/>
    </w:rPr>
  </w:style>
  <w:style w:type="character" w:customStyle="1" w:styleId="CommentTextChar">
    <w:name w:val="Comment Text Char"/>
    <w:basedOn w:val="DefaultParagraphFont"/>
    <w:link w:val="CommentText"/>
    <w:uiPriority w:val="99"/>
    <w:rsid w:val="0022444B"/>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22444B"/>
    <w:rPr>
      <w:b/>
      <w:bCs/>
    </w:rPr>
  </w:style>
  <w:style w:type="character" w:customStyle="1" w:styleId="CommentSubjectChar">
    <w:name w:val="Comment Subject Char"/>
    <w:basedOn w:val="CommentTextChar"/>
    <w:link w:val="CommentSubject"/>
    <w:uiPriority w:val="99"/>
    <w:semiHidden/>
    <w:rsid w:val="0022444B"/>
    <w:rPr>
      <w:rFonts w:eastAsiaTheme="minorEastAsia"/>
      <w:b/>
      <w:bCs/>
      <w:sz w:val="20"/>
      <w:szCs w:val="20"/>
      <w:lang w:eastAsia="ja-JP"/>
    </w:rPr>
  </w:style>
  <w:style w:type="character" w:styleId="Mention">
    <w:name w:val="Mention"/>
    <w:basedOn w:val="DefaultParagraphFont"/>
    <w:uiPriority w:val="99"/>
    <w:unhideWhenUsed/>
    <w:rsid w:val="0022444B"/>
    <w:rPr>
      <w:color w:val="2B579A"/>
      <w:shd w:val="clear" w:color="auto" w:fill="E1DFDD"/>
    </w:rPr>
  </w:style>
  <w:style w:type="paragraph" w:customStyle="1" w:styleId="Bullet1">
    <w:name w:val="Bullet 1"/>
    <w:uiPriority w:val="1"/>
    <w:qFormat/>
    <w:rsid w:val="001F4702"/>
    <w:pPr>
      <w:numPr>
        <w:numId w:val="12"/>
      </w:numPr>
      <w:spacing w:before="100" w:after="100" w:line="264" w:lineRule="auto"/>
      <w:contextualSpacing/>
    </w:pPr>
    <w:rPr>
      <w:rFonts w:eastAsia="Times New Roman" w:cs="Calibri"/>
      <w:color w:val="000000" w:themeColor="text1"/>
      <w:kern w:val="0"/>
      <w:sz w:val="20"/>
      <w:szCs w:val="20"/>
      <w:lang w:eastAsia="en-AU"/>
      <w14:ligatures w14:val="none"/>
    </w:rPr>
  </w:style>
  <w:style w:type="paragraph" w:customStyle="1" w:styleId="Bulletindent">
    <w:name w:val="Bullet indent"/>
    <w:basedOn w:val="Normal"/>
    <w:uiPriority w:val="9"/>
    <w:qFormat/>
    <w:rsid w:val="001F4702"/>
    <w:pPr>
      <w:numPr>
        <w:ilvl w:val="2"/>
        <w:numId w:val="12"/>
      </w:numPr>
      <w:spacing w:before="100" w:after="100" w:line="264" w:lineRule="auto"/>
      <w:contextualSpacing/>
    </w:pPr>
    <w:rPr>
      <w:rFonts w:eastAsia="Times New Roman" w:cs="Calibri"/>
      <w:color w:val="000000" w:themeColor="text1"/>
      <w:kern w:val="0"/>
      <w:sz w:val="20"/>
      <w:szCs w:val="20"/>
      <w:lang w:eastAsia="en-AU"/>
      <w14:ligatures w14:val="none"/>
    </w:rPr>
  </w:style>
  <w:style w:type="paragraph" w:customStyle="1" w:styleId="Bulletindent2">
    <w:name w:val="Bullet indent 2"/>
    <w:basedOn w:val="Normal"/>
    <w:uiPriority w:val="9"/>
    <w:qFormat/>
    <w:rsid w:val="001F4702"/>
    <w:pPr>
      <w:numPr>
        <w:ilvl w:val="3"/>
        <w:numId w:val="12"/>
      </w:numPr>
      <w:spacing w:before="100" w:after="120" w:line="264" w:lineRule="auto"/>
      <w:contextualSpacing/>
    </w:pPr>
    <w:rPr>
      <w:color w:val="000000" w:themeColor="text1"/>
      <w:kern w:val="0"/>
      <w:sz w:val="20"/>
      <w:szCs w:val="20"/>
      <w:lang w:eastAsia="en-AU"/>
      <w14:ligatures w14:val="none"/>
    </w:rPr>
  </w:style>
  <w:style w:type="paragraph" w:styleId="Revision">
    <w:name w:val="Revision"/>
    <w:hidden/>
    <w:uiPriority w:val="99"/>
    <w:semiHidden/>
    <w:rsid w:val="00973074"/>
    <w:pPr>
      <w:spacing w:after="0" w:line="240" w:lineRule="auto"/>
    </w:pPr>
    <w:rPr>
      <w:rFonts w:eastAsiaTheme="minorEastAsia"/>
      <w:sz w:val="22"/>
      <w:szCs w:val="22"/>
      <w:lang w:eastAsia="ja-JP"/>
    </w:rPr>
  </w:style>
  <w:style w:type="character" w:styleId="Hyperlink">
    <w:name w:val="Hyperlink"/>
    <w:basedOn w:val="DefaultParagraphFont"/>
    <w:uiPriority w:val="99"/>
    <w:unhideWhenUsed/>
    <w:rsid w:val="00031CDE"/>
    <w:rPr>
      <w:color w:val="467886" w:themeColor="hyperlink"/>
      <w:u w:val="single"/>
    </w:rPr>
  </w:style>
  <w:style w:type="character" w:styleId="UnresolvedMention">
    <w:name w:val="Unresolved Mention"/>
    <w:basedOn w:val="DefaultParagraphFont"/>
    <w:uiPriority w:val="99"/>
    <w:semiHidden/>
    <w:unhideWhenUsed/>
    <w:rsid w:val="00031CDE"/>
    <w:rPr>
      <w:color w:val="605E5C"/>
      <w:shd w:val="clear" w:color="auto" w:fill="E1DFDD"/>
    </w:rPr>
  </w:style>
  <w:style w:type="paragraph" w:styleId="NormalWeb">
    <w:name w:val="Normal (Web)"/>
    <w:basedOn w:val="Normal"/>
    <w:uiPriority w:val="99"/>
    <w:semiHidden/>
    <w:unhideWhenUsed/>
    <w:rsid w:val="00623F7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cheduleA">
    <w:name w:val="ScheduleA"/>
    <w:basedOn w:val="Normal"/>
    <w:next w:val="Normal"/>
    <w:qFormat/>
    <w:rsid w:val="00EC62AA"/>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paragraph" w:customStyle="1" w:styleId="SingleParagraph">
    <w:name w:val="Single Paragraph"/>
    <w:basedOn w:val="Normal"/>
    <w:rsid w:val="00C16AD0"/>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C16AD0"/>
    <w:rPr>
      <w:b/>
    </w:rPr>
  </w:style>
  <w:style w:type="paragraph" w:customStyle="1" w:styleId="Signed">
    <w:name w:val="Signed"/>
    <w:basedOn w:val="Normal"/>
    <w:rsid w:val="00C16AD0"/>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C16AD0"/>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C16AD0"/>
    <w:rPr>
      <w:b/>
      <w:i/>
    </w:rPr>
  </w:style>
  <w:style w:type="paragraph" w:customStyle="1" w:styleId="LineForSignature">
    <w:name w:val="LineForSignature"/>
    <w:basedOn w:val="Normal"/>
    <w:rsid w:val="00C16AD0"/>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0907">
      <w:bodyDiv w:val="1"/>
      <w:marLeft w:val="0"/>
      <w:marRight w:val="0"/>
      <w:marTop w:val="0"/>
      <w:marBottom w:val="0"/>
      <w:divBdr>
        <w:top w:val="none" w:sz="0" w:space="0" w:color="auto"/>
        <w:left w:val="none" w:sz="0" w:space="0" w:color="auto"/>
        <w:bottom w:val="none" w:sz="0" w:space="0" w:color="auto"/>
        <w:right w:val="none" w:sz="0" w:space="0" w:color="auto"/>
      </w:divBdr>
    </w:div>
    <w:div w:id="141309637">
      <w:bodyDiv w:val="1"/>
      <w:marLeft w:val="0"/>
      <w:marRight w:val="0"/>
      <w:marTop w:val="0"/>
      <w:marBottom w:val="0"/>
      <w:divBdr>
        <w:top w:val="none" w:sz="0" w:space="0" w:color="auto"/>
        <w:left w:val="none" w:sz="0" w:space="0" w:color="auto"/>
        <w:bottom w:val="none" w:sz="0" w:space="0" w:color="auto"/>
        <w:right w:val="none" w:sz="0" w:space="0" w:color="auto"/>
      </w:divBdr>
    </w:div>
    <w:div w:id="535893033">
      <w:bodyDiv w:val="1"/>
      <w:marLeft w:val="0"/>
      <w:marRight w:val="0"/>
      <w:marTop w:val="0"/>
      <w:marBottom w:val="0"/>
      <w:divBdr>
        <w:top w:val="none" w:sz="0" w:space="0" w:color="auto"/>
        <w:left w:val="none" w:sz="0" w:space="0" w:color="auto"/>
        <w:bottom w:val="none" w:sz="0" w:space="0" w:color="auto"/>
        <w:right w:val="none" w:sz="0" w:space="0" w:color="auto"/>
      </w:divBdr>
    </w:div>
    <w:div w:id="564338807">
      <w:bodyDiv w:val="1"/>
      <w:marLeft w:val="0"/>
      <w:marRight w:val="0"/>
      <w:marTop w:val="0"/>
      <w:marBottom w:val="0"/>
      <w:divBdr>
        <w:top w:val="none" w:sz="0" w:space="0" w:color="auto"/>
        <w:left w:val="none" w:sz="0" w:space="0" w:color="auto"/>
        <w:bottom w:val="none" w:sz="0" w:space="0" w:color="auto"/>
        <w:right w:val="none" w:sz="0" w:space="0" w:color="auto"/>
      </w:divBdr>
    </w:div>
    <w:div w:id="587495701">
      <w:bodyDiv w:val="1"/>
      <w:marLeft w:val="0"/>
      <w:marRight w:val="0"/>
      <w:marTop w:val="0"/>
      <w:marBottom w:val="0"/>
      <w:divBdr>
        <w:top w:val="none" w:sz="0" w:space="0" w:color="auto"/>
        <w:left w:val="none" w:sz="0" w:space="0" w:color="auto"/>
        <w:bottom w:val="none" w:sz="0" w:space="0" w:color="auto"/>
        <w:right w:val="none" w:sz="0" w:space="0" w:color="auto"/>
      </w:divBdr>
    </w:div>
    <w:div w:id="606280508">
      <w:bodyDiv w:val="1"/>
      <w:marLeft w:val="0"/>
      <w:marRight w:val="0"/>
      <w:marTop w:val="0"/>
      <w:marBottom w:val="0"/>
      <w:divBdr>
        <w:top w:val="none" w:sz="0" w:space="0" w:color="auto"/>
        <w:left w:val="none" w:sz="0" w:space="0" w:color="auto"/>
        <w:bottom w:val="none" w:sz="0" w:space="0" w:color="auto"/>
        <w:right w:val="none" w:sz="0" w:space="0" w:color="auto"/>
      </w:divBdr>
    </w:div>
    <w:div w:id="609170907">
      <w:bodyDiv w:val="1"/>
      <w:marLeft w:val="0"/>
      <w:marRight w:val="0"/>
      <w:marTop w:val="0"/>
      <w:marBottom w:val="0"/>
      <w:divBdr>
        <w:top w:val="none" w:sz="0" w:space="0" w:color="auto"/>
        <w:left w:val="none" w:sz="0" w:space="0" w:color="auto"/>
        <w:bottom w:val="none" w:sz="0" w:space="0" w:color="auto"/>
        <w:right w:val="none" w:sz="0" w:space="0" w:color="auto"/>
      </w:divBdr>
    </w:div>
    <w:div w:id="674840298">
      <w:bodyDiv w:val="1"/>
      <w:marLeft w:val="0"/>
      <w:marRight w:val="0"/>
      <w:marTop w:val="0"/>
      <w:marBottom w:val="0"/>
      <w:divBdr>
        <w:top w:val="none" w:sz="0" w:space="0" w:color="auto"/>
        <w:left w:val="none" w:sz="0" w:space="0" w:color="auto"/>
        <w:bottom w:val="none" w:sz="0" w:space="0" w:color="auto"/>
        <w:right w:val="none" w:sz="0" w:space="0" w:color="auto"/>
      </w:divBdr>
    </w:div>
    <w:div w:id="834535993">
      <w:bodyDiv w:val="1"/>
      <w:marLeft w:val="0"/>
      <w:marRight w:val="0"/>
      <w:marTop w:val="0"/>
      <w:marBottom w:val="0"/>
      <w:divBdr>
        <w:top w:val="none" w:sz="0" w:space="0" w:color="auto"/>
        <w:left w:val="none" w:sz="0" w:space="0" w:color="auto"/>
        <w:bottom w:val="none" w:sz="0" w:space="0" w:color="auto"/>
        <w:right w:val="none" w:sz="0" w:space="0" w:color="auto"/>
      </w:divBdr>
    </w:div>
    <w:div w:id="936206200">
      <w:bodyDiv w:val="1"/>
      <w:marLeft w:val="0"/>
      <w:marRight w:val="0"/>
      <w:marTop w:val="0"/>
      <w:marBottom w:val="0"/>
      <w:divBdr>
        <w:top w:val="none" w:sz="0" w:space="0" w:color="auto"/>
        <w:left w:val="none" w:sz="0" w:space="0" w:color="auto"/>
        <w:bottom w:val="none" w:sz="0" w:space="0" w:color="auto"/>
        <w:right w:val="none" w:sz="0" w:space="0" w:color="auto"/>
      </w:divBdr>
    </w:div>
    <w:div w:id="1127579213">
      <w:bodyDiv w:val="1"/>
      <w:marLeft w:val="0"/>
      <w:marRight w:val="0"/>
      <w:marTop w:val="0"/>
      <w:marBottom w:val="0"/>
      <w:divBdr>
        <w:top w:val="none" w:sz="0" w:space="0" w:color="auto"/>
        <w:left w:val="none" w:sz="0" w:space="0" w:color="auto"/>
        <w:bottom w:val="none" w:sz="0" w:space="0" w:color="auto"/>
        <w:right w:val="none" w:sz="0" w:space="0" w:color="auto"/>
      </w:divBdr>
    </w:div>
    <w:div w:id="1183857818">
      <w:bodyDiv w:val="1"/>
      <w:marLeft w:val="0"/>
      <w:marRight w:val="0"/>
      <w:marTop w:val="0"/>
      <w:marBottom w:val="0"/>
      <w:divBdr>
        <w:top w:val="none" w:sz="0" w:space="0" w:color="auto"/>
        <w:left w:val="none" w:sz="0" w:space="0" w:color="auto"/>
        <w:bottom w:val="none" w:sz="0" w:space="0" w:color="auto"/>
        <w:right w:val="none" w:sz="0" w:space="0" w:color="auto"/>
      </w:divBdr>
    </w:div>
    <w:div w:id="1200431463">
      <w:bodyDiv w:val="1"/>
      <w:marLeft w:val="0"/>
      <w:marRight w:val="0"/>
      <w:marTop w:val="0"/>
      <w:marBottom w:val="0"/>
      <w:divBdr>
        <w:top w:val="none" w:sz="0" w:space="0" w:color="auto"/>
        <w:left w:val="none" w:sz="0" w:space="0" w:color="auto"/>
        <w:bottom w:val="none" w:sz="0" w:space="0" w:color="auto"/>
        <w:right w:val="none" w:sz="0" w:space="0" w:color="auto"/>
      </w:divBdr>
    </w:div>
    <w:div w:id="1262107021">
      <w:bodyDiv w:val="1"/>
      <w:marLeft w:val="0"/>
      <w:marRight w:val="0"/>
      <w:marTop w:val="0"/>
      <w:marBottom w:val="0"/>
      <w:divBdr>
        <w:top w:val="none" w:sz="0" w:space="0" w:color="auto"/>
        <w:left w:val="none" w:sz="0" w:space="0" w:color="auto"/>
        <w:bottom w:val="none" w:sz="0" w:space="0" w:color="auto"/>
        <w:right w:val="none" w:sz="0" w:space="0" w:color="auto"/>
      </w:divBdr>
    </w:div>
    <w:div w:id="1336961193">
      <w:bodyDiv w:val="1"/>
      <w:marLeft w:val="0"/>
      <w:marRight w:val="0"/>
      <w:marTop w:val="0"/>
      <w:marBottom w:val="0"/>
      <w:divBdr>
        <w:top w:val="none" w:sz="0" w:space="0" w:color="auto"/>
        <w:left w:val="none" w:sz="0" w:space="0" w:color="auto"/>
        <w:bottom w:val="none" w:sz="0" w:space="0" w:color="auto"/>
        <w:right w:val="none" w:sz="0" w:space="0" w:color="auto"/>
      </w:divBdr>
    </w:div>
    <w:div w:id="1728912942">
      <w:bodyDiv w:val="1"/>
      <w:marLeft w:val="0"/>
      <w:marRight w:val="0"/>
      <w:marTop w:val="0"/>
      <w:marBottom w:val="0"/>
      <w:divBdr>
        <w:top w:val="none" w:sz="0" w:space="0" w:color="auto"/>
        <w:left w:val="none" w:sz="0" w:space="0" w:color="auto"/>
        <w:bottom w:val="none" w:sz="0" w:space="0" w:color="auto"/>
        <w:right w:val="none" w:sz="0" w:space="0" w:color="auto"/>
      </w:divBdr>
    </w:div>
    <w:div w:id="1729303627">
      <w:bodyDiv w:val="1"/>
      <w:marLeft w:val="0"/>
      <w:marRight w:val="0"/>
      <w:marTop w:val="0"/>
      <w:marBottom w:val="0"/>
      <w:divBdr>
        <w:top w:val="none" w:sz="0" w:space="0" w:color="auto"/>
        <w:left w:val="none" w:sz="0" w:space="0" w:color="auto"/>
        <w:bottom w:val="none" w:sz="0" w:space="0" w:color="auto"/>
        <w:right w:val="none" w:sz="0" w:space="0" w:color="auto"/>
      </w:divBdr>
    </w:div>
    <w:div w:id="1864711316">
      <w:bodyDiv w:val="1"/>
      <w:marLeft w:val="0"/>
      <w:marRight w:val="0"/>
      <w:marTop w:val="0"/>
      <w:marBottom w:val="0"/>
      <w:divBdr>
        <w:top w:val="none" w:sz="0" w:space="0" w:color="auto"/>
        <w:left w:val="none" w:sz="0" w:space="0" w:color="auto"/>
        <w:bottom w:val="none" w:sz="0" w:space="0" w:color="auto"/>
        <w:right w:val="none" w:sz="0" w:space="0" w:color="auto"/>
      </w:divBdr>
    </w:div>
    <w:div w:id="1961035197">
      <w:bodyDiv w:val="1"/>
      <w:marLeft w:val="0"/>
      <w:marRight w:val="0"/>
      <w:marTop w:val="0"/>
      <w:marBottom w:val="0"/>
      <w:divBdr>
        <w:top w:val="none" w:sz="0" w:space="0" w:color="auto"/>
        <w:left w:val="none" w:sz="0" w:space="0" w:color="auto"/>
        <w:bottom w:val="none" w:sz="0" w:space="0" w:color="auto"/>
        <w:right w:val="none" w:sz="0" w:space="0" w:color="auto"/>
      </w:divBdr>
    </w:div>
    <w:div w:id="19941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isingexpectations.com.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0977D-CCC0-4A72-B1F8-87A41E279C79}">
  <ds:schemaRefs>
    <ds:schemaRef ds:uri="http://schemas.openxmlformats.org/officeDocument/2006/bibliography"/>
  </ds:schemaRefs>
</ds:datastoreItem>
</file>

<file path=customXml/itemProps2.xml><?xml version="1.0" encoding="utf-8"?>
<ds:datastoreItem xmlns:ds="http://schemas.openxmlformats.org/officeDocument/2006/customXml" ds:itemID="{D4A6F712-0E3C-45D5-874E-0F6B634D2A66}"/>
</file>

<file path=customXml/itemProps3.xml><?xml version="1.0" encoding="utf-8"?>
<ds:datastoreItem xmlns:ds="http://schemas.openxmlformats.org/officeDocument/2006/customXml" ds:itemID="{7DDC45E7-92FA-46C9-9BE8-FFAE0E648FCC}">
  <ds:schemaRefs>
    <ds:schemaRef ds:uri="http://schemas.microsoft.com/office/2006/metadata/properties"/>
    <ds:schemaRef ds:uri="http://schemas.microsoft.com/office/infopath/2007/PartnerControls"/>
    <ds:schemaRef ds:uri="be96e55a-36d2-4757-91fa-c0ca33d66d44"/>
    <ds:schemaRef ds:uri="62f99aae-1849-4d05-98dd-d38cdfd7b4e6"/>
  </ds:schemaRefs>
</ds:datastoreItem>
</file>

<file path=customXml/itemProps4.xml><?xml version="1.0" encoding="utf-8"?>
<ds:datastoreItem xmlns:ds="http://schemas.openxmlformats.org/officeDocument/2006/customXml" ds:itemID="{B495EC1E-7655-44A8-99B0-CFBA40C2E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4306</Words>
  <Characters>26228</Characters>
  <Application>Microsoft Office Word</Application>
  <DocSecurity>0</DocSecurity>
  <Lines>624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Links>
    <vt:vector size="12" baseType="variant">
      <vt:variant>
        <vt:i4>4063291</vt:i4>
      </vt:variant>
      <vt:variant>
        <vt:i4>3</vt:i4>
      </vt:variant>
      <vt:variant>
        <vt:i4>0</vt:i4>
      </vt:variant>
      <vt:variant>
        <vt:i4>5</vt:i4>
      </vt:variant>
      <vt:variant>
        <vt:lpwstr>https://www.raisingexpectations.com.au/</vt:lpwstr>
      </vt:variant>
      <vt:variant>
        <vt:lpwstr/>
      </vt: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Cole (DJSIR)</dc:creator>
  <cp:keywords/>
  <dc:description/>
  <cp:lastModifiedBy>KC Pratika </cp:lastModifiedBy>
  <cp:revision>9</cp:revision>
  <cp:lastPrinted>2025-03-25T04:00:00Z</cp:lastPrinted>
  <dcterms:created xsi:type="dcterms:W3CDTF">2025-02-28T08:51:00Z</dcterms:created>
  <dcterms:modified xsi:type="dcterms:W3CDTF">2025-03-25T04:00:00Z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221c8e1c,8a07877,62959b12</vt:lpwstr>
  </property>
  <property fmtid="{D5CDD505-2E9C-101B-9397-08002B2CF9AE}" pid="3" name="ClassificationContentMarkingHeaderFontProps">
    <vt:lpwstr>#000000,12,Arial</vt:lpwstr>
  </property>
  <property fmtid="{D5CDD505-2E9C-101B-9397-08002B2CF9AE}" pid="4" name="ClassificationContentMarkingHeaderText">
    <vt:lpwstr>OFFICIAL: Sensitive</vt:lpwstr>
  </property>
  <property fmtid="{D5CDD505-2E9C-101B-9397-08002B2CF9AE}" pid="5" name="ClassificationContentMarkingFooterShapeIds">
    <vt:lpwstr>2a7b8839,13193ce1,145b3558</vt:lpwstr>
  </property>
  <property fmtid="{D5CDD505-2E9C-101B-9397-08002B2CF9AE}" pid="6" name="ClassificationContentMarkingFooterFontProps">
    <vt:lpwstr>#000000,12,Arial</vt:lpwstr>
  </property>
  <property fmtid="{D5CDD505-2E9C-101B-9397-08002B2CF9AE}" pid="7" name="ClassificationContentMarkingFooterText">
    <vt:lpwstr>OFFICIAL: Sensitive</vt:lpwstr>
  </property>
  <property fmtid="{D5CDD505-2E9C-101B-9397-08002B2CF9AE}" pid="8" name="MSIP_Label_1112e48c-f0e0-48fb-b5c1-02479cac7f09_ActionId">
    <vt:lpwstr>95ee080f-f359-4f99-87e6-441141967535</vt:lpwstr>
  </property>
  <property fmtid="{D5CDD505-2E9C-101B-9397-08002B2CF9AE}" pid="9" name="MSIP_Label_1112e48c-f0e0-48fb-b5c1-02479cac7f09_Name">
    <vt:lpwstr>OFFICIAL Sensitive \ OFFICIAL Sensitive</vt:lpwstr>
  </property>
  <property fmtid="{D5CDD505-2E9C-101B-9397-08002B2CF9AE}" pid="10" name="MSIP_Label_1112e48c-f0e0-48fb-b5c1-02479cac7f09_SetDate">
    <vt:lpwstr>2025-02-05T22:54:05Z</vt:lpwstr>
  </property>
  <property fmtid="{D5CDD505-2E9C-101B-9397-08002B2CF9AE}" pid="11" name="MSIP_Label_1112e48c-f0e0-48fb-b5c1-02479cac7f09_SiteId">
    <vt:lpwstr>dd0cfd15-4558-4b12-8bad-ea26984fc417</vt:lpwstr>
  </property>
  <property fmtid="{D5CDD505-2E9C-101B-9397-08002B2CF9AE}" pid="12" name="MSIP_Label_1112e48c-f0e0-48fb-b5c1-02479cac7f09_Enabled">
    <vt:lpwstr>True</vt:lpwstr>
  </property>
  <property fmtid="{D5CDD505-2E9C-101B-9397-08002B2CF9AE}" pid="13" name="ContentTypeId">
    <vt:lpwstr>0x0101001EEA16474147224CBD5FB53A098FAF74</vt:lpwstr>
  </property>
  <property fmtid="{D5CDD505-2E9C-101B-9397-08002B2CF9AE}" pid="14" name="MediaServiceImageTags">
    <vt:lpwstr/>
  </property>
  <property fmtid="{D5CDD505-2E9C-101B-9397-08002B2CF9AE}" pid="15" name="MSIP_Label_1112e48c-f0e0-48fb-b5c1-02479cac7f09_Removed">
    <vt:lpwstr>False</vt:lpwstr>
  </property>
  <property fmtid="{D5CDD505-2E9C-101B-9397-08002B2CF9AE}" pid="16" name="MSIP_Label_1112e48c-f0e0-48fb-b5c1-02479cac7f09_Parent">
    <vt:lpwstr>acc8e1d3-1a3c-495c-82f0-24b8f466bc9f</vt:lpwstr>
  </property>
  <property fmtid="{D5CDD505-2E9C-101B-9397-08002B2CF9AE}" pid="17" name="MSIP_Label_1112e48c-f0e0-48fb-b5c1-02479cac7f09_Extended_MSFT_Method">
    <vt:lpwstr>Standard</vt:lpwstr>
  </property>
  <property fmtid="{D5CDD505-2E9C-101B-9397-08002B2CF9AE}" pid="18" name="MSIP_Label_acc8e1d3-1a3c-495c-82f0-24b8f466bc9f_Enabled">
    <vt:lpwstr>True</vt:lpwstr>
  </property>
  <property fmtid="{D5CDD505-2E9C-101B-9397-08002B2CF9AE}" pid="19" name="MSIP_Label_acc8e1d3-1a3c-495c-82f0-24b8f466bc9f_SiteId">
    <vt:lpwstr>dd0cfd15-4558-4b12-8bad-ea26984fc417</vt:lpwstr>
  </property>
  <property fmtid="{D5CDD505-2E9C-101B-9397-08002B2CF9AE}" pid="20" name="MSIP_Label_acc8e1d3-1a3c-495c-82f0-24b8f466bc9f_SetDate">
    <vt:lpwstr>2025-02-05T22:54:05Z</vt:lpwstr>
  </property>
  <property fmtid="{D5CDD505-2E9C-101B-9397-08002B2CF9AE}" pid="21" name="MSIP_Label_acc8e1d3-1a3c-495c-82f0-24b8f466bc9f_Name">
    <vt:lpwstr>OFFICIAL Sensitive</vt:lpwstr>
  </property>
  <property fmtid="{D5CDD505-2E9C-101B-9397-08002B2CF9AE}" pid="22" name="MSIP_Label_acc8e1d3-1a3c-495c-82f0-24b8f466bc9f_ActionId">
    <vt:lpwstr>ec79506e-14b6-4137-b877-4f663feeff70</vt:lpwstr>
  </property>
  <property fmtid="{D5CDD505-2E9C-101B-9397-08002B2CF9AE}" pid="23" name="MSIP_Label_acc8e1d3-1a3c-495c-82f0-24b8f466bc9f_Extended_MSFT_Method">
    <vt:lpwstr>Standard</vt:lpwstr>
  </property>
  <property fmtid="{D5CDD505-2E9C-101B-9397-08002B2CF9AE}" pid="24" name="MSIP_Label_aa68e262-e170-41e9-aa6c-458b7c5d1ee8_Enabled">
    <vt:lpwstr>true</vt:lpwstr>
  </property>
  <property fmtid="{D5CDD505-2E9C-101B-9397-08002B2CF9AE}" pid="25" name="MSIP_Label_aa68e262-e170-41e9-aa6c-458b7c5d1ee8_SetDate">
    <vt:lpwstr>2025-02-10T04:08:57Z</vt:lpwstr>
  </property>
  <property fmtid="{D5CDD505-2E9C-101B-9397-08002B2CF9AE}" pid="26" name="MSIP_Label_aa68e262-e170-41e9-aa6c-458b7c5d1ee8_Method">
    <vt:lpwstr>Privileged</vt:lpwstr>
  </property>
  <property fmtid="{D5CDD505-2E9C-101B-9397-08002B2CF9AE}" pid="27" name="MSIP_Label_aa68e262-e170-41e9-aa6c-458b7c5d1ee8_Name">
    <vt:lpwstr>OFFICIAL-SENSITIVE (DJPR)</vt:lpwstr>
  </property>
  <property fmtid="{D5CDD505-2E9C-101B-9397-08002B2CF9AE}" pid="28" name="MSIP_Label_aa68e262-e170-41e9-aa6c-458b7c5d1ee8_SiteId">
    <vt:lpwstr>722ea0be-3e1c-4b11-ad6f-9401d6856e24</vt:lpwstr>
  </property>
  <property fmtid="{D5CDD505-2E9C-101B-9397-08002B2CF9AE}" pid="29" name="MSIP_Label_aa68e262-e170-41e9-aa6c-458b7c5d1ee8_ActionId">
    <vt:lpwstr>4c96f996-6de2-4567-a8d3-567a032b9c02</vt:lpwstr>
  </property>
  <property fmtid="{D5CDD505-2E9C-101B-9397-08002B2CF9AE}" pid="30" name="MSIP_Label_aa68e262-e170-41e9-aa6c-458b7c5d1ee8_ContentBits">
    <vt:lpwstr>3</vt:lpwstr>
  </property>
</Properties>
</file>