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562AE" w14:textId="2B681CB9" w:rsidR="00C91B5F" w:rsidRPr="00F1227F" w:rsidRDefault="00317FB3" w:rsidP="00C91B5F">
      <w:pPr>
        <w:pStyle w:val="Heading9"/>
        <w:jc w:val="right"/>
        <w:rPr>
          <w:rStyle w:val="ParagraphnumberingChar"/>
          <w:rFonts w:eastAsiaTheme="majorEastAsia"/>
          <w:i w:val="0"/>
          <w:sz w:val="28"/>
          <w:szCs w:val="28"/>
        </w:rPr>
      </w:pPr>
      <w:r>
        <w:rPr>
          <w:i w:val="0"/>
          <w:sz w:val="28"/>
          <w:szCs w:val="28"/>
        </w:rPr>
        <w:t>Schedule</w:t>
      </w:r>
    </w:p>
    <w:p w14:paraId="52A7986F" w14:textId="4DE56244" w:rsidR="00C91B5F" w:rsidRPr="001E20F4" w:rsidRDefault="009F39B3" w:rsidP="001B66DE">
      <w:pPr>
        <w:pStyle w:val="Title"/>
        <w:tabs>
          <w:tab w:val="left" w:pos="8707"/>
        </w:tabs>
      </w:pPr>
      <w:r>
        <w:t>Essential Vaccines</w:t>
      </w:r>
      <w:r w:rsidR="009D33DD">
        <w:t xml:space="preserve"> (</w:t>
      </w:r>
      <w:r w:rsidR="003248DF">
        <w:t>2024-25</w:t>
      </w:r>
      <w:r w:rsidR="009D33DD">
        <w:t xml:space="preserve"> variation)</w:t>
      </w:r>
      <w:r w:rsidR="001B66DE">
        <w:tab/>
      </w:r>
    </w:p>
    <w:p w14:paraId="028FB178" w14:textId="5E6F3DF2" w:rsidR="00C91B5F" w:rsidRPr="00BE249A" w:rsidRDefault="00D54783" w:rsidP="00C91B5F">
      <w:pPr>
        <w:pStyle w:val="Subtitle"/>
      </w:pPr>
      <w:r>
        <w:t>FEDERATION FUNDING AGREEMENT – HEALTH</w:t>
      </w:r>
    </w:p>
    <w:tbl>
      <w:tblPr>
        <w:tblW w:w="96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833"/>
        <w:gridCol w:w="7796"/>
      </w:tblGrid>
      <w:tr w:rsidR="00C91B5F" w:rsidRPr="00F00A18" w14:paraId="2C1B1FCA" w14:textId="77777777" w:rsidTr="00EA63BE">
        <w:tc>
          <w:tcPr>
            <w:tcW w:w="9629" w:type="dxa"/>
            <w:gridSpan w:val="2"/>
            <w:shd w:val="clear" w:color="auto" w:fill="DEEAF6" w:themeFill="accent1" w:themeFillTint="33"/>
          </w:tcPr>
          <w:p w14:paraId="5D980595" w14:textId="29B82CDF" w:rsidR="00C91B5F" w:rsidRPr="00F00A18" w:rsidRDefault="00C91B5F" w:rsidP="00EA63BE">
            <w:pPr>
              <w:pStyle w:val="Tableformat"/>
              <w:rPr>
                <w:b/>
                <w:color w:val="auto"/>
              </w:rPr>
            </w:pPr>
            <w:r w:rsidRPr="00F00A18">
              <w:rPr>
                <w:b/>
                <w:color w:val="auto"/>
              </w:rPr>
              <w:t>Table 1: Formalities and operation of schedule</w:t>
            </w:r>
          </w:p>
        </w:tc>
      </w:tr>
      <w:tr w:rsidR="00C91B5F" w:rsidRPr="00F00A18" w14:paraId="65A8E909" w14:textId="77777777" w:rsidTr="0041571E">
        <w:tc>
          <w:tcPr>
            <w:tcW w:w="1833" w:type="dxa"/>
            <w:shd w:val="clear" w:color="auto" w:fill="auto"/>
          </w:tcPr>
          <w:p w14:paraId="279F6020" w14:textId="77777777" w:rsidR="00C91B5F" w:rsidRPr="00F00A18" w:rsidRDefault="00C91B5F" w:rsidP="00EA63BE">
            <w:pPr>
              <w:pStyle w:val="Tableformat"/>
              <w:rPr>
                <w:color w:val="auto"/>
              </w:rPr>
            </w:pPr>
            <w:r w:rsidRPr="00F00A18">
              <w:rPr>
                <w:color w:val="auto"/>
              </w:rPr>
              <w:t>Parties</w:t>
            </w:r>
          </w:p>
        </w:tc>
        <w:tc>
          <w:tcPr>
            <w:tcW w:w="7796" w:type="dxa"/>
            <w:shd w:val="clear" w:color="auto" w:fill="auto"/>
          </w:tcPr>
          <w:p w14:paraId="28377A00" w14:textId="112A317F" w:rsidR="00C91B5F" w:rsidRPr="00F00A18" w:rsidRDefault="00C91B5F" w:rsidP="00EA63BE">
            <w:pPr>
              <w:pStyle w:val="Tableformat"/>
              <w:rPr>
                <w:color w:val="auto"/>
              </w:rPr>
            </w:pPr>
            <w:r w:rsidRPr="00F00A18">
              <w:rPr>
                <w:color w:val="auto"/>
              </w:rPr>
              <w:t>Commonwealth</w:t>
            </w:r>
          </w:p>
          <w:p w14:paraId="21B4309F" w14:textId="1AB9823F" w:rsidR="002208E1" w:rsidRDefault="002208E1" w:rsidP="00EA63BE">
            <w:pPr>
              <w:pStyle w:val="Tableformat"/>
              <w:rPr>
                <w:color w:val="auto"/>
              </w:rPr>
            </w:pPr>
            <w:r>
              <w:rPr>
                <w:color w:val="auto"/>
              </w:rPr>
              <w:t>States and Territories</w:t>
            </w:r>
            <w:r w:rsidR="00543CC9">
              <w:rPr>
                <w:color w:val="auto"/>
              </w:rPr>
              <w:t xml:space="preserve"> (the States)</w:t>
            </w:r>
            <w:r>
              <w:rPr>
                <w:color w:val="auto"/>
              </w:rPr>
              <w:t>:</w:t>
            </w:r>
          </w:p>
          <w:p w14:paraId="50722159" w14:textId="77777777" w:rsidR="00543CC9" w:rsidRDefault="00543CC9" w:rsidP="00543CC9">
            <w:pPr>
              <w:pStyle w:val="Tableformat"/>
              <w:spacing w:before="0" w:after="40"/>
              <w:ind w:left="357"/>
              <w:rPr>
                <w:color w:val="auto"/>
              </w:rPr>
            </w:pPr>
            <w:r>
              <w:rPr>
                <w:color w:val="auto"/>
              </w:rPr>
              <w:t>New South Wales</w:t>
            </w:r>
          </w:p>
          <w:p w14:paraId="3D19A1E9" w14:textId="77777777" w:rsidR="00543CC9" w:rsidRDefault="00543CC9" w:rsidP="00543CC9">
            <w:pPr>
              <w:pStyle w:val="Tableformat"/>
              <w:spacing w:before="0" w:after="40"/>
              <w:ind w:left="357"/>
              <w:rPr>
                <w:color w:val="auto"/>
              </w:rPr>
            </w:pPr>
            <w:r>
              <w:rPr>
                <w:color w:val="auto"/>
              </w:rPr>
              <w:t>Victoria</w:t>
            </w:r>
          </w:p>
          <w:p w14:paraId="165A1645" w14:textId="77777777" w:rsidR="00543CC9" w:rsidRDefault="00543CC9" w:rsidP="00543CC9">
            <w:pPr>
              <w:pStyle w:val="Tableformat"/>
              <w:spacing w:before="0" w:after="40"/>
              <w:ind w:left="357"/>
              <w:rPr>
                <w:color w:val="auto"/>
              </w:rPr>
            </w:pPr>
            <w:r>
              <w:rPr>
                <w:color w:val="auto"/>
              </w:rPr>
              <w:t>Queensland</w:t>
            </w:r>
          </w:p>
          <w:p w14:paraId="731E21FF" w14:textId="2A2C255B" w:rsidR="002208E1" w:rsidRDefault="00543CC9" w:rsidP="006B58EB">
            <w:pPr>
              <w:pStyle w:val="Tableformat"/>
              <w:spacing w:before="0" w:after="40"/>
              <w:ind w:left="357"/>
              <w:rPr>
                <w:color w:val="auto"/>
              </w:rPr>
            </w:pPr>
            <w:r>
              <w:rPr>
                <w:color w:val="auto"/>
              </w:rPr>
              <w:t>Western Australia</w:t>
            </w:r>
            <w:r w:rsidRPr="00F00A18">
              <w:rPr>
                <w:color w:val="auto"/>
              </w:rPr>
              <w:t xml:space="preserve"> </w:t>
            </w:r>
          </w:p>
          <w:p w14:paraId="04241EE4" w14:textId="77777777" w:rsidR="00543CC9" w:rsidRDefault="00543CC9" w:rsidP="00543CC9">
            <w:pPr>
              <w:pStyle w:val="Tableformat"/>
              <w:spacing w:before="0" w:after="40"/>
              <w:ind w:left="357"/>
              <w:rPr>
                <w:color w:val="auto"/>
              </w:rPr>
            </w:pPr>
            <w:r>
              <w:rPr>
                <w:color w:val="auto"/>
              </w:rPr>
              <w:t>South Australia</w:t>
            </w:r>
          </w:p>
          <w:p w14:paraId="197CCAC2" w14:textId="77777777" w:rsidR="00543CC9" w:rsidRDefault="00543CC9" w:rsidP="00543CC9">
            <w:pPr>
              <w:pStyle w:val="Tableformat"/>
              <w:spacing w:before="0" w:after="40"/>
              <w:ind w:left="357"/>
              <w:rPr>
                <w:color w:val="auto"/>
              </w:rPr>
            </w:pPr>
            <w:r>
              <w:rPr>
                <w:color w:val="auto"/>
              </w:rPr>
              <w:t>Tasmania</w:t>
            </w:r>
          </w:p>
          <w:p w14:paraId="5203FD13" w14:textId="77777777" w:rsidR="00543CC9" w:rsidRDefault="00543CC9" w:rsidP="006B58EB">
            <w:pPr>
              <w:pStyle w:val="Tableformat"/>
              <w:spacing w:before="0" w:after="40"/>
              <w:ind w:left="357"/>
              <w:rPr>
                <w:color w:val="auto"/>
              </w:rPr>
            </w:pPr>
            <w:r>
              <w:rPr>
                <w:color w:val="auto"/>
              </w:rPr>
              <w:t xml:space="preserve">Australian Capital Territory </w:t>
            </w:r>
          </w:p>
          <w:p w14:paraId="73502BB0" w14:textId="5CE628B2" w:rsidR="00C91B5F" w:rsidRPr="00F00A18" w:rsidRDefault="002208E1" w:rsidP="00543CC9">
            <w:pPr>
              <w:pStyle w:val="Tableformat"/>
              <w:spacing w:before="0" w:after="40"/>
              <w:ind w:left="357"/>
              <w:rPr>
                <w:color w:val="auto"/>
              </w:rPr>
            </w:pPr>
            <w:r>
              <w:rPr>
                <w:color w:val="auto"/>
              </w:rPr>
              <w:t>Northern Territory</w:t>
            </w:r>
          </w:p>
        </w:tc>
      </w:tr>
      <w:tr w:rsidR="00C91B5F" w:rsidRPr="00F00A18" w14:paraId="0789EB7E" w14:textId="77777777" w:rsidTr="0041571E">
        <w:tc>
          <w:tcPr>
            <w:tcW w:w="1833" w:type="dxa"/>
            <w:shd w:val="clear" w:color="auto" w:fill="auto"/>
          </w:tcPr>
          <w:p w14:paraId="1C00DFE7" w14:textId="77777777" w:rsidR="00C91B5F" w:rsidRPr="00F00A18" w:rsidRDefault="00C91B5F" w:rsidP="00EA63BE">
            <w:pPr>
              <w:pStyle w:val="Tableformat"/>
              <w:rPr>
                <w:color w:val="auto"/>
              </w:rPr>
            </w:pPr>
            <w:r w:rsidRPr="00F00A18">
              <w:rPr>
                <w:color w:val="auto"/>
              </w:rPr>
              <w:t>Duration</w:t>
            </w:r>
          </w:p>
        </w:tc>
        <w:tc>
          <w:tcPr>
            <w:tcW w:w="7796" w:type="dxa"/>
            <w:shd w:val="clear" w:color="auto" w:fill="auto"/>
          </w:tcPr>
          <w:p w14:paraId="689A6E64" w14:textId="00BA9FCA" w:rsidR="00C91B5F" w:rsidRPr="00F00A18" w:rsidRDefault="00C91B5F" w:rsidP="00813356">
            <w:pPr>
              <w:pStyle w:val="Tableformat"/>
              <w:rPr>
                <w:color w:val="auto"/>
              </w:rPr>
            </w:pPr>
            <w:r w:rsidRPr="00F00A18">
              <w:rPr>
                <w:color w:val="auto"/>
              </w:rPr>
              <w:t>This Schedule</w:t>
            </w:r>
            <w:r w:rsidR="002208E1">
              <w:rPr>
                <w:color w:val="auto"/>
              </w:rPr>
              <w:t xml:space="preserve"> </w:t>
            </w:r>
            <w:r w:rsidR="00704270">
              <w:rPr>
                <w:color w:val="auto"/>
              </w:rPr>
              <w:t>varies</w:t>
            </w:r>
            <w:r w:rsidR="0041571E">
              <w:rPr>
                <w:color w:val="auto"/>
              </w:rPr>
              <w:t xml:space="preserve"> the second National Partnership on Essential Vaccines</w:t>
            </w:r>
            <w:r w:rsidR="00704270">
              <w:rPr>
                <w:color w:val="auto"/>
              </w:rPr>
              <w:t xml:space="preserve"> and</w:t>
            </w:r>
            <w:r w:rsidR="0041571E">
              <w:rPr>
                <w:color w:val="auto"/>
              </w:rPr>
              <w:t xml:space="preserve"> </w:t>
            </w:r>
            <w:r w:rsidR="002208E1">
              <w:rPr>
                <w:color w:val="auto"/>
              </w:rPr>
              <w:t>i</w:t>
            </w:r>
            <w:r w:rsidR="002A3A0D">
              <w:rPr>
                <w:color w:val="auto"/>
              </w:rPr>
              <w:t>s expected to expire on 30 June </w:t>
            </w:r>
            <w:r w:rsidR="003248DF">
              <w:rPr>
                <w:color w:val="auto"/>
              </w:rPr>
              <w:t>2025</w:t>
            </w:r>
            <w:r w:rsidRPr="00F00A18">
              <w:rPr>
                <w:color w:val="auto"/>
              </w:rPr>
              <w:t>.</w:t>
            </w:r>
            <w:r w:rsidR="00954CF3">
              <w:rPr>
                <w:color w:val="auto"/>
              </w:rPr>
              <w:t xml:space="preserve"> The second National Partnership on Essential Vaccines was effected in July 2017.</w:t>
            </w:r>
          </w:p>
        </w:tc>
      </w:tr>
      <w:tr w:rsidR="00C91B5F" w:rsidRPr="00F00A18" w14:paraId="516BC532" w14:textId="77777777" w:rsidTr="0041571E">
        <w:tc>
          <w:tcPr>
            <w:tcW w:w="1833" w:type="dxa"/>
            <w:shd w:val="clear" w:color="auto" w:fill="auto"/>
          </w:tcPr>
          <w:p w14:paraId="511BE93C" w14:textId="0CBDDF7F" w:rsidR="00C91B5F" w:rsidRPr="00F00A18" w:rsidRDefault="00C91B5F" w:rsidP="00EA63BE">
            <w:pPr>
              <w:pStyle w:val="Tableformat"/>
              <w:rPr>
                <w:color w:val="auto"/>
              </w:rPr>
            </w:pPr>
            <w:r w:rsidRPr="00F00A18">
              <w:rPr>
                <w:color w:val="auto"/>
              </w:rPr>
              <w:t>Purpose</w:t>
            </w:r>
          </w:p>
        </w:tc>
        <w:tc>
          <w:tcPr>
            <w:tcW w:w="7796" w:type="dxa"/>
            <w:shd w:val="clear" w:color="auto" w:fill="auto"/>
          </w:tcPr>
          <w:p w14:paraId="12687FB9" w14:textId="77777777" w:rsidR="005C3846" w:rsidRDefault="00C91B5F" w:rsidP="005C3846">
            <w:pPr>
              <w:pStyle w:val="Tableformat"/>
              <w:rPr>
                <w:color w:val="auto"/>
              </w:rPr>
            </w:pPr>
            <w:r w:rsidRPr="00F00A18">
              <w:rPr>
                <w:color w:val="auto"/>
              </w:rPr>
              <w:t xml:space="preserve">This Schedule will support the </w:t>
            </w:r>
            <w:r w:rsidR="004D3865">
              <w:rPr>
                <w:color w:val="auto"/>
              </w:rPr>
              <w:t xml:space="preserve">cost-effective and efficient </w:t>
            </w:r>
            <w:r w:rsidR="0069789C">
              <w:rPr>
                <w:color w:val="auto"/>
              </w:rPr>
              <w:t xml:space="preserve">delivery of the </w:t>
            </w:r>
            <w:r w:rsidR="004D3865">
              <w:rPr>
                <w:color w:val="auto"/>
              </w:rPr>
              <w:t>National Immunisation Program (NIP) to protect the</w:t>
            </w:r>
            <w:r w:rsidR="009F39B3">
              <w:rPr>
                <w:color w:val="auto"/>
              </w:rPr>
              <w:t xml:space="preserve"> Australian public from the spread </w:t>
            </w:r>
            <w:r w:rsidR="004D3865">
              <w:rPr>
                <w:color w:val="auto"/>
              </w:rPr>
              <w:t xml:space="preserve">of vaccine </w:t>
            </w:r>
            <w:r w:rsidR="0069789C">
              <w:rPr>
                <w:color w:val="auto"/>
              </w:rPr>
              <w:t>preventable diseases.</w:t>
            </w:r>
            <w:r w:rsidR="005C3846">
              <w:rPr>
                <w:color w:val="auto"/>
              </w:rPr>
              <w:t xml:space="preserve"> </w:t>
            </w:r>
          </w:p>
          <w:p w14:paraId="36CF7FEF" w14:textId="2C1E9070" w:rsidR="00C91B5F" w:rsidRPr="00F00A18" w:rsidRDefault="005C3846">
            <w:pPr>
              <w:pStyle w:val="Tableformat"/>
              <w:rPr>
                <w:color w:val="auto"/>
              </w:rPr>
            </w:pPr>
            <w:r w:rsidRPr="005C3846">
              <w:rPr>
                <w:color w:val="auto"/>
              </w:rPr>
              <w:t xml:space="preserve">The NIP is a joint initiative of the Commonwealth and the States, making free vaccines available to eligible individuals through a range of vaccination providers nationally. The NIP provides vaccines for eligible individuals against multiple disease groups, ensuring those most at risk are protected. Arrangements for the NIP are set out in </w:t>
            </w:r>
            <w:r w:rsidRPr="005C3846">
              <w:rPr>
                <w:b/>
                <w:color w:val="auto"/>
              </w:rPr>
              <w:t>Table 2</w:t>
            </w:r>
            <w:r w:rsidRPr="005C3846">
              <w:rPr>
                <w:color w:val="auto"/>
              </w:rPr>
              <w:t>.</w:t>
            </w:r>
          </w:p>
        </w:tc>
      </w:tr>
      <w:tr w:rsidR="0094124D" w:rsidRPr="00F00A18" w14:paraId="2E1EAD69" w14:textId="77777777" w:rsidTr="006B58EB">
        <w:trPr>
          <w:trHeight w:val="2248"/>
        </w:trPr>
        <w:tc>
          <w:tcPr>
            <w:tcW w:w="1833" w:type="dxa"/>
            <w:shd w:val="clear" w:color="auto" w:fill="auto"/>
          </w:tcPr>
          <w:p w14:paraId="310EF36F" w14:textId="4144B2EB" w:rsidR="0094124D" w:rsidRPr="00F00A18" w:rsidRDefault="0094124D" w:rsidP="00EA63BE">
            <w:pPr>
              <w:pStyle w:val="Tableformat"/>
              <w:rPr>
                <w:color w:val="auto"/>
              </w:rPr>
            </w:pPr>
            <w:r>
              <w:rPr>
                <w:color w:val="auto"/>
              </w:rPr>
              <w:t>Outcomes</w:t>
            </w:r>
          </w:p>
        </w:tc>
        <w:tc>
          <w:tcPr>
            <w:tcW w:w="7796" w:type="dxa"/>
            <w:shd w:val="clear" w:color="auto" w:fill="auto"/>
          </w:tcPr>
          <w:p w14:paraId="06AF1346" w14:textId="7E86AA97" w:rsidR="0094124D" w:rsidRPr="00AA6FD4" w:rsidRDefault="0094124D" w:rsidP="0094124D">
            <w:pPr>
              <w:pStyle w:val="Tableformat"/>
              <w:rPr>
                <w:color w:val="auto"/>
              </w:rPr>
            </w:pPr>
            <w:r w:rsidRPr="00AA6FD4">
              <w:rPr>
                <w:color w:val="auto"/>
              </w:rPr>
              <w:t>This Schedule will facilitate achievement of the following outcomes:</w:t>
            </w:r>
          </w:p>
          <w:p w14:paraId="70FF7EC9" w14:textId="77777777" w:rsidR="00AA6FD4" w:rsidRPr="00AA6FD4" w:rsidRDefault="00AA6FD4" w:rsidP="00AA6FD4">
            <w:pPr>
              <w:pStyle w:val="Tableformat"/>
              <w:numPr>
                <w:ilvl w:val="0"/>
                <w:numId w:val="10"/>
              </w:numPr>
              <w:rPr>
                <w:color w:val="auto"/>
              </w:rPr>
            </w:pPr>
            <w:r w:rsidRPr="00AA6FD4">
              <w:rPr>
                <w:color w:val="auto"/>
              </w:rPr>
              <w:t xml:space="preserve">minimise the incidence of vaccine preventable diseases in the eligible Australian population for diseases with vaccines listed under the NIP; </w:t>
            </w:r>
          </w:p>
          <w:p w14:paraId="14AFD963" w14:textId="77777777" w:rsidR="00AA6FD4" w:rsidRPr="00AA6FD4" w:rsidRDefault="00AA6FD4" w:rsidP="00AA6FD4">
            <w:pPr>
              <w:pStyle w:val="Tableformat"/>
              <w:numPr>
                <w:ilvl w:val="0"/>
                <w:numId w:val="10"/>
              </w:numPr>
              <w:rPr>
                <w:color w:val="auto"/>
              </w:rPr>
            </w:pPr>
            <w:r w:rsidRPr="00AA6FD4">
              <w:rPr>
                <w:color w:val="auto"/>
              </w:rPr>
              <w:t xml:space="preserve">minimise the incidence of vaccine preventable diseases in Aboriginal and Torres Strait Islander people for diseases with vaccines listed under the NIP; </w:t>
            </w:r>
          </w:p>
          <w:p w14:paraId="393361E3" w14:textId="77777777" w:rsidR="00AA6FD4" w:rsidRPr="00AA6FD4" w:rsidRDefault="00AA6FD4" w:rsidP="00AA6FD4">
            <w:pPr>
              <w:pStyle w:val="Tableformat"/>
              <w:numPr>
                <w:ilvl w:val="0"/>
                <w:numId w:val="10"/>
              </w:numPr>
              <w:rPr>
                <w:color w:val="auto"/>
              </w:rPr>
            </w:pPr>
            <w:r w:rsidRPr="00AA6FD4">
              <w:rPr>
                <w:color w:val="auto"/>
              </w:rPr>
              <w:t>minimise the incidence of Human Papillomavirus (HPV) in the eligible Australian population;</w:t>
            </w:r>
          </w:p>
          <w:p w14:paraId="6F4F10B5" w14:textId="0A0EE19B" w:rsidR="00AA6FD4" w:rsidRPr="006B58EB" w:rsidRDefault="00AA6FD4" w:rsidP="006B58EB">
            <w:pPr>
              <w:pStyle w:val="Tableformat"/>
              <w:numPr>
                <w:ilvl w:val="0"/>
                <w:numId w:val="10"/>
              </w:numPr>
              <w:rPr>
                <w:color w:val="auto"/>
              </w:rPr>
            </w:pPr>
            <w:r w:rsidRPr="00AA6FD4">
              <w:rPr>
                <w:color w:val="auto"/>
              </w:rPr>
              <w:t>ensure that</w:t>
            </w:r>
            <w:r w:rsidR="00C82329">
              <w:rPr>
                <w:color w:val="auto"/>
              </w:rPr>
              <w:t xml:space="preserve"> </w:t>
            </w:r>
            <w:r w:rsidR="005C5CA9">
              <w:rPr>
                <w:color w:val="auto"/>
              </w:rPr>
              <w:t xml:space="preserve">State-based seasonal influenza vaccination rollout information </w:t>
            </w:r>
            <w:r w:rsidRPr="00AA6FD4">
              <w:rPr>
                <w:color w:val="auto"/>
              </w:rPr>
              <w:t>is provided to the Commonwealth annually;</w:t>
            </w:r>
          </w:p>
          <w:p w14:paraId="27D92792" w14:textId="77777777" w:rsidR="00AA6FD4" w:rsidRPr="00AA6FD4" w:rsidRDefault="00AA6FD4" w:rsidP="00AA6FD4">
            <w:pPr>
              <w:pStyle w:val="Tableformat"/>
              <w:numPr>
                <w:ilvl w:val="0"/>
                <w:numId w:val="10"/>
              </w:numPr>
              <w:rPr>
                <w:color w:val="auto"/>
              </w:rPr>
            </w:pPr>
            <w:r w:rsidRPr="00AA6FD4">
              <w:rPr>
                <w:color w:val="auto"/>
              </w:rPr>
              <w:lastRenderedPageBreak/>
              <w:t>minimise the incidence of vaccine preventable diseases in the eligible Australian population in geographic areas of low coverage; and</w:t>
            </w:r>
          </w:p>
          <w:p w14:paraId="259DB468" w14:textId="096DC22F" w:rsidR="0094124D" w:rsidRPr="00AA6FD4" w:rsidRDefault="00AA6FD4" w:rsidP="00AA6FD4">
            <w:pPr>
              <w:pStyle w:val="Tableformat"/>
              <w:numPr>
                <w:ilvl w:val="0"/>
                <w:numId w:val="10"/>
              </w:numPr>
              <w:rPr>
                <w:rFonts w:asciiTheme="minorHAnsi" w:hAnsiTheme="minorHAnsi" w:cstheme="minorHAnsi"/>
                <w:color w:val="000000"/>
                <w:sz w:val="20"/>
              </w:rPr>
            </w:pPr>
            <w:r w:rsidRPr="00AA6FD4">
              <w:rPr>
                <w:color w:val="auto"/>
              </w:rPr>
              <w:t>ensure that vaccines listed under the NIP are managed in a way that minimises wastage and leakage, with a target rate of wastage and leakage of 5 per cent or lower.</w:t>
            </w:r>
          </w:p>
        </w:tc>
      </w:tr>
      <w:tr w:rsidR="00C91B5F" w:rsidRPr="00F00A18" w14:paraId="2C63A902" w14:textId="77777777" w:rsidTr="0041571E">
        <w:trPr>
          <w:trHeight w:val="5694"/>
        </w:trPr>
        <w:tc>
          <w:tcPr>
            <w:tcW w:w="1833" w:type="dxa"/>
            <w:shd w:val="clear" w:color="auto" w:fill="auto"/>
          </w:tcPr>
          <w:p w14:paraId="2E78F30B" w14:textId="77777777" w:rsidR="00C91B5F" w:rsidRPr="00F00A18" w:rsidRDefault="00C91B5F" w:rsidP="00EA63BE">
            <w:pPr>
              <w:pStyle w:val="Tableformat"/>
              <w:rPr>
                <w:color w:val="auto"/>
              </w:rPr>
            </w:pPr>
            <w:bookmarkStart w:id="0" w:name="_Hlk129004861"/>
            <w:r w:rsidRPr="00F00A18">
              <w:rPr>
                <w:color w:val="auto"/>
              </w:rPr>
              <w:lastRenderedPageBreak/>
              <w:t>Estimated financial contributions</w:t>
            </w:r>
          </w:p>
        </w:tc>
        <w:tc>
          <w:tcPr>
            <w:tcW w:w="7796" w:type="dxa"/>
            <w:shd w:val="clear" w:color="auto" w:fill="auto"/>
          </w:tcPr>
          <w:p w14:paraId="7110CBB4" w14:textId="434DD85D" w:rsidR="00704270" w:rsidRPr="00F00A18" w:rsidRDefault="00704270">
            <w:pPr>
              <w:pStyle w:val="Tableformat"/>
              <w:rPr>
                <w:color w:val="auto"/>
              </w:rPr>
            </w:pPr>
            <w:r w:rsidRPr="00F00A18">
              <w:rPr>
                <w:noProof/>
                <w:color w:val="auto"/>
                <w:lang w:val="en-AU"/>
              </w:rPr>
              <mc:AlternateContent>
                <mc:Choice Requires="wps">
                  <w:drawing>
                    <wp:anchor distT="45720" distB="45720" distL="114300" distR="114300" simplePos="0" relativeHeight="251665408" behindDoc="0" locked="0" layoutInCell="1" allowOverlap="1" wp14:anchorId="7927DC4E" wp14:editId="0B95AF5C">
                      <wp:simplePos x="0" y="0"/>
                      <wp:positionH relativeFrom="column">
                        <wp:posOffset>-53975</wp:posOffset>
                      </wp:positionH>
                      <wp:positionV relativeFrom="paragraph">
                        <wp:posOffset>522605</wp:posOffset>
                      </wp:positionV>
                      <wp:extent cx="4889500" cy="379095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3790950"/>
                              </a:xfrm>
                              <a:prstGeom prst="rect">
                                <a:avLst/>
                              </a:prstGeom>
                              <a:solidFill>
                                <a:srgbClr val="FFFFFF"/>
                              </a:solidFill>
                              <a:ln w="9525">
                                <a:noFill/>
                                <a:miter lim="800000"/>
                                <a:headEnd/>
                                <a:tailEnd/>
                              </a:ln>
                            </wps:spPr>
                            <wps:txbx>
                              <w:txbxContent>
                                <w:tbl>
                                  <w:tblPr>
                                    <w:tblW w:w="0" w:type="auto"/>
                                    <w:tblLook w:val="01E0" w:firstRow="1" w:lastRow="1" w:firstColumn="1" w:lastColumn="1" w:noHBand="0" w:noVBand="0"/>
                                  </w:tblPr>
                                  <w:tblGrid>
                                    <w:gridCol w:w="3544"/>
                                    <w:gridCol w:w="3686"/>
                                  </w:tblGrid>
                                  <w:tr w:rsidR="004F17D5" w:rsidRPr="006F5414" w14:paraId="61269836" w14:textId="77777777" w:rsidTr="007C4A44">
                                    <w:trPr>
                                      <w:cantSplit/>
                                      <w:trHeight w:val="534"/>
                                    </w:trPr>
                                    <w:tc>
                                      <w:tcPr>
                                        <w:tcW w:w="3544" w:type="dxa"/>
                                        <w:tcBorders>
                                          <w:top w:val="single" w:sz="4" w:space="0" w:color="000080"/>
                                          <w:bottom w:val="single" w:sz="4" w:space="0" w:color="000080"/>
                                        </w:tcBorders>
                                      </w:tcPr>
                                      <w:p w14:paraId="42B1208A" w14:textId="77777777" w:rsidR="004F17D5" w:rsidRPr="006F5414" w:rsidRDefault="004F17D5" w:rsidP="00704270">
                                        <w:pPr>
                                          <w:keepNext/>
                                          <w:keepLines/>
                                          <w:spacing w:before="40" w:after="40"/>
                                          <w:ind w:left="-111"/>
                                          <w:rPr>
                                            <w:rFonts w:cstheme="minorHAnsi"/>
                                            <w:b/>
                                            <w:sz w:val="21"/>
                                            <w:szCs w:val="21"/>
                                          </w:rPr>
                                        </w:pPr>
                                        <w:r w:rsidRPr="006F5414">
                                          <w:rPr>
                                            <w:rFonts w:cstheme="minorHAnsi"/>
                                            <w:b/>
                                            <w:sz w:val="21"/>
                                            <w:szCs w:val="21"/>
                                          </w:rPr>
                                          <w:t>Table 1.1</w:t>
                                        </w:r>
                                      </w:p>
                                      <w:p w14:paraId="203A24D4" w14:textId="77777777" w:rsidR="004F17D5" w:rsidRPr="006F5414" w:rsidRDefault="004F17D5" w:rsidP="00704270">
                                        <w:pPr>
                                          <w:keepNext/>
                                          <w:keepLines/>
                                          <w:spacing w:before="40" w:after="40"/>
                                          <w:ind w:left="-111"/>
                                          <w:rPr>
                                            <w:rFonts w:cstheme="minorHAnsi"/>
                                            <w:b/>
                                            <w:sz w:val="21"/>
                                            <w:szCs w:val="21"/>
                                          </w:rPr>
                                        </w:pPr>
                                        <w:r w:rsidRPr="006F5414">
                                          <w:rPr>
                                            <w:rFonts w:cstheme="minorHAnsi"/>
                                            <w:b/>
                                            <w:sz w:val="21"/>
                                            <w:szCs w:val="21"/>
                                          </w:rPr>
                                          <w:t>($ million)</w:t>
                                        </w:r>
                                      </w:p>
                                    </w:tc>
                                    <w:tc>
                                      <w:tcPr>
                                        <w:tcW w:w="3686" w:type="dxa"/>
                                        <w:tcBorders>
                                          <w:top w:val="single" w:sz="4" w:space="0" w:color="000080"/>
                                          <w:bottom w:val="single" w:sz="4" w:space="0" w:color="000080"/>
                                        </w:tcBorders>
                                      </w:tcPr>
                                      <w:p w14:paraId="71A3928F" w14:textId="77777777" w:rsidR="004F17D5" w:rsidRPr="006F5414" w:rsidRDefault="004F17D5" w:rsidP="00704270">
                                        <w:pPr>
                                          <w:keepNext/>
                                          <w:keepLines/>
                                          <w:spacing w:before="40" w:after="40"/>
                                          <w:jc w:val="right"/>
                                          <w:rPr>
                                            <w:rFonts w:cstheme="minorHAnsi"/>
                                            <w:b/>
                                            <w:i/>
                                            <w:sz w:val="21"/>
                                            <w:szCs w:val="21"/>
                                          </w:rPr>
                                        </w:pPr>
                                      </w:p>
                                      <w:p w14:paraId="2B3A64F9" w14:textId="7F7CD80B" w:rsidR="004F17D5" w:rsidRPr="006F5414" w:rsidRDefault="00792CE6" w:rsidP="00704270">
                                        <w:pPr>
                                          <w:keepNext/>
                                          <w:keepLines/>
                                          <w:spacing w:before="40" w:after="40"/>
                                          <w:jc w:val="right"/>
                                          <w:rPr>
                                            <w:rFonts w:cstheme="minorHAnsi"/>
                                            <w:b/>
                                            <w:i/>
                                            <w:sz w:val="21"/>
                                            <w:szCs w:val="21"/>
                                          </w:rPr>
                                        </w:pPr>
                                        <w:r w:rsidRPr="006F5414">
                                          <w:rPr>
                                            <w:rFonts w:cstheme="minorHAnsi"/>
                                            <w:b/>
                                            <w:i/>
                                            <w:sz w:val="21"/>
                                            <w:szCs w:val="21"/>
                                          </w:rPr>
                                          <w:t>2024-25</w:t>
                                        </w:r>
                                        <w:r w:rsidR="004F17D5" w:rsidRPr="006F5414">
                                          <w:rPr>
                                            <w:rFonts w:cstheme="minorHAnsi"/>
                                            <w:b/>
                                            <w:i/>
                                            <w:sz w:val="21"/>
                                            <w:szCs w:val="21"/>
                                          </w:rPr>
                                          <w:t xml:space="preserve"> (Total)</w:t>
                                        </w:r>
                                      </w:p>
                                    </w:tc>
                                  </w:tr>
                                  <w:tr w:rsidR="004F17D5" w:rsidRPr="006F5414" w14:paraId="5675BCA8" w14:textId="77777777" w:rsidTr="007C4A44">
                                    <w:trPr>
                                      <w:cantSplit/>
                                      <w:trHeight w:val="316"/>
                                    </w:trPr>
                                    <w:tc>
                                      <w:tcPr>
                                        <w:tcW w:w="3544" w:type="dxa"/>
                                        <w:tcBorders>
                                          <w:top w:val="single" w:sz="4" w:space="0" w:color="000080"/>
                                        </w:tcBorders>
                                      </w:tcPr>
                                      <w:p w14:paraId="20AA2FD4" w14:textId="77777777" w:rsidR="004F17D5" w:rsidRPr="006F5414" w:rsidRDefault="004F17D5" w:rsidP="00704270">
                                        <w:pPr>
                                          <w:keepNext/>
                                          <w:keepLines/>
                                          <w:spacing w:before="60" w:after="60"/>
                                          <w:ind w:left="-111"/>
                                          <w:rPr>
                                            <w:rFonts w:cstheme="minorHAnsi"/>
                                            <w:b/>
                                            <w:sz w:val="21"/>
                                            <w:szCs w:val="21"/>
                                          </w:rPr>
                                        </w:pPr>
                                        <w:r w:rsidRPr="006F5414">
                                          <w:rPr>
                                            <w:rFonts w:cstheme="minorHAnsi"/>
                                            <w:b/>
                                            <w:sz w:val="21"/>
                                            <w:szCs w:val="21"/>
                                          </w:rPr>
                                          <w:t>Estimated total budget</w:t>
                                        </w:r>
                                      </w:p>
                                    </w:tc>
                                    <w:tc>
                                      <w:tcPr>
                                        <w:tcW w:w="3686" w:type="dxa"/>
                                        <w:tcBorders>
                                          <w:top w:val="single" w:sz="4" w:space="0" w:color="000080"/>
                                        </w:tcBorders>
                                      </w:tcPr>
                                      <w:p w14:paraId="3BF9942F" w14:textId="77777777" w:rsidR="004F17D5" w:rsidRPr="006F5414" w:rsidRDefault="004F17D5" w:rsidP="00704270">
                                        <w:pPr>
                                          <w:keepNext/>
                                          <w:keepLines/>
                                          <w:spacing w:before="40" w:after="40"/>
                                          <w:jc w:val="right"/>
                                          <w:rPr>
                                            <w:rFonts w:cstheme="minorHAnsi"/>
                                            <w:b/>
                                            <w:sz w:val="21"/>
                                            <w:szCs w:val="21"/>
                                          </w:rPr>
                                        </w:pPr>
                                      </w:p>
                                    </w:tc>
                                  </w:tr>
                                  <w:tr w:rsidR="004F17D5" w:rsidRPr="006F5414" w14:paraId="35409C2A" w14:textId="77777777" w:rsidTr="007C4A44">
                                    <w:trPr>
                                      <w:cantSplit/>
                                      <w:trHeight w:val="547"/>
                                    </w:trPr>
                                    <w:tc>
                                      <w:tcPr>
                                        <w:tcW w:w="3544" w:type="dxa"/>
                                      </w:tcPr>
                                      <w:p w14:paraId="7DD3593C" w14:textId="1B931843" w:rsidR="004F17D5" w:rsidRPr="006F5414" w:rsidRDefault="004F17D5" w:rsidP="00704270">
                                        <w:pPr>
                                          <w:keepNext/>
                                          <w:keepLines/>
                                          <w:spacing w:before="60" w:after="60"/>
                                          <w:ind w:left="-111"/>
                                          <w:rPr>
                                            <w:rFonts w:cstheme="minorHAnsi"/>
                                            <w:sz w:val="21"/>
                                            <w:szCs w:val="21"/>
                                          </w:rPr>
                                        </w:pPr>
                                        <w:r w:rsidRPr="006F5414">
                                          <w:rPr>
                                            <w:rFonts w:cstheme="minorHAnsi"/>
                                            <w:sz w:val="21"/>
                                            <w:szCs w:val="21"/>
                                          </w:rPr>
                                          <w:t xml:space="preserve">Estimated National Partnership Payments </w:t>
                                        </w:r>
                                      </w:p>
                                    </w:tc>
                                    <w:tc>
                                      <w:tcPr>
                                        <w:tcW w:w="3686" w:type="dxa"/>
                                      </w:tcPr>
                                      <w:p w14:paraId="30135BB1" w14:textId="730FE447" w:rsidR="004F17D5" w:rsidRPr="006F5414" w:rsidRDefault="00792CE6" w:rsidP="00704270">
                                        <w:pPr>
                                          <w:keepNext/>
                                          <w:keepLines/>
                                          <w:spacing w:before="40" w:after="40"/>
                                          <w:jc w:val="right"/>
                                          <w:rPr>
                                            <w:rFonts w:cstheme="minorHAnsi"/>
                                            <w:sz w:val="21"/>
                                            <w:szCs w:val="21"/>
                                          </w:rPr>
                                        </w:pPr>
                                        <w:r w:rsidRPr="006F5414">
                                          <w:rPr>
                                            <w:rFonts w:cstheme="minorHAnsi"/>
                                            <w:sz w:val="21"/>
                                            <w:szCs w:val="21"/>
                                          </w:rPr>
                                          <w:t>28.9</w:t>
                                        </w:r>
                                      </w:p>
                                    </w:tc>
                                  </w:tr>
                                  <w:tr w:rsidR="004F17D5" w:rsidRPr="006F5414" w14:paraId="392E4AB6" w14:textId="77777777" w:rsidTr="007C4A44">
                                    <w:trPr>
                                      <w:cantSplit/>
                                      <w:trHeight w:val="534"/>
                                    </w:trPr>
                                    <w:tc>
                                      <w:tcPr>
                                        <w:tcW w:w="3544" w:type="dxa"/>
                                      </w:tcPr>
                                      <w:p w14:paraId="0AB3B873" w14:textId="77777777" w:rsidR="004F17D5" w:rsidRPr="006F5414" w:rsidRDefault="004F17D5" w:rsidP="00704270">
                                        <w:pPr>
                                          <w:keepNext/>
                                          <w:keepLines/>
                                          <w:widowControl/>
                                          <w:spacing w:before="60" w:after="60"/>
                                          <w:rPr>
                                            <w:rFonts w:cstheme="minorHAnsi"/>
                                            <w:sz w:val="21"/>
                                            <w:szCs w:val="21"/>
                                          </w:rPr>
                                        </w:pPr>
                                        <w:r w:rsidRPr="006F5414">
                                          <w:rPr>
                                            <w:rFonts w:cstheme="minorHAnsi"/>
                                            <w:sz w:val="21"/>
                                            <w:szCs w:val="21"/>
                                          </w:rPr>
                                          <w:t>Commonwealth own purpose expense</w:t>
                                        </w:r>
                                      </w:p>
                                    </w:tc>
                                    <w:tc>
                                      <w:tcPr>
                                        <w:tcW w:w="3686" w:type="dxa"/>
                                      </w:tcPr>
                                      <w:p w14:paraId="2BB7C84E" w14:textId="7294615B" w:rsidR="004F17D5" w:rsidRPr="006F5414" w:rsidRDefault="00D823FC" w:rsidP="00704270">
                                        <w:pPr>
                                          <w:keepNext/>
                                          <w:keepLines/>
                                          <w:spacing w:before="40" w:after="40"/>
                                          <w:jc w:val="right"/>
                                          <w:rPr>
                                            <w:rFonts w:cstheme="minorHAnsi"/>
                                            <w:sz w:val="21"/>
                                            <w:szCs w:val="21"/>
                                          </w:rPr>
                                        </w:pPr>
                                        <w:r w:rsidRPr="006F5414">
                                          <w:rPr>
                                            <w:rFonts w:cstheme="minorHAnsi"/>
                                            <w:sz w:val="21"/>
                                            <w:szCs w:val="21"/>
                                          </w:rPr>
                                          <w:t>594</w:t>
                                        </w:r>
                                        <w:r w:rsidR="00792CE6" w:rsidRPr="006F5414">
                                          <w:rPr>
                                            <w:rFonts w:cstheme="minorHAnsi"/>
                                            <w:sz w:val="21"/>
                                            <w:szCs w:val="21"/>
                                          </w:rPr>
                                          <w:t>.</w:t>
                                        </w:r>
                                        <w:r w:rsidRPr="006F5414">
                                          <w:rPr>
                                            <w:rFonts w:cstheme="minorHAnsi"/>
                                            <w:sz w:val="21"/>
                                            <w:szCs w:val="21"/>
                                          </w:rPr>
                                          <w:t>7</w:t>
                                        </w:r>
                                      </w:p>
                                    </w:tc>
                                  </w:tr>
                                  <w:tr w:rsidR="004F17D5" w:rsidRPr="006F5414" w14:paraId="766B7D78" w14:textId="77777777" w:rsidTr="007C4A44">
                                    <w:trPr>
                                      <w:cantSplit/>
                                      <w:trHeight w:val="534"/>
                                    </w:trPr>
                                    <w:tc>
                                      <w:tcPr>
                                        <w:tcW w:w="3544" w:type="dxa"/>
                                      </w:tcPr>
                                      <w:p w14:paraId="3FF4E8EE" w14:textId="77777777" w:rsidR="004F17D5" w:rsidRPr="006F5414" w:rsidRDefault="004F17D5" w:rsidP="00704270">
                                        <w:pPr>
                                          <w:keepNext/>
                                          <w:keepLines/>
                                          <w:widowControl/>
                                          <w:spacing w:before="60" w:after="60"/>
                                          <w:rPr>
                                            <w:rFonts w:cstheme="minorHAnsi"/>
                                            <w:sz w:val="21"/>
                                            <w:szCs w:val="21"/>
                                          </w:rPr>
                                        </w:pPr>
                                        <w:r w:rsidRPr="006F5414">
                                          <w:rPr>
                                            <w:rFonts w:cstheme="minorHAnsi"/>
                                            <w:sz w:val="21"/>
                                            <w:szCs w:val="21"/>
                                          </w:rPr>
                                          <w:t>Total Commonwealth contribution</w:t>
                                        </w:r>
                                      </w:p>
                                    </w:tc>
                                    <w:tc>
                                      <w:tcPr>
                                        <w:tcW w:w="3686" w:type="dxa"/>
                                      </w:tcPr>
                                      <w:p w14:paraId="3198D0DF" w14:textId="2FDB41DE" w:rsidR="004F17D5" w:rsidRPr="006F5414" w:rsidRDefault="00D823FC" w:rsidP="00704270">
                                        <w:pPr>
                                          <w:keepNext/>
                                          <w:keepLines/>
                                          <w:spacing w:before="40" w:after="40"/>
                                          <w:jc w:val="right"/>
                                          <w:rPr>
                                            <w:rFonts w:cstheme="minorHAnsi"/>
                                            <w:sz w:val="21"/>
                                            <w:szCs w:val="21"/>
                                          </w:rPr>
                                        </w:pPr>
                                        <w:r w:rsidRPr="006F5414">
                                          <w:rPr>
                                            <w:rFonts w:cstheme="minorHAnsi"/>
                                            <w:sz w:val="21"/>
                                            <w:szCs w:val="21"/>
                                          </w:rPr>
                                          <w:t>623.6</w:t>
                                        </w:r>
                                      </w:p>
                                    </w:tc>
                                  </w:tr>
                                  <w:tr w:rsidR="004F17D5" w:rsidRPr="006F5414" w14:paraId="336BFA98" w14:textId="77777777" w:rsidTr="007C4A44">
                                    <w:trPr>
                                      <w:cantSplit/>
                                      <w:trHeight w:val="729"/>
                                    </w:trPr>
                                    <w:tc>
                                      <w:tcPr>
                                        <w:tcW w:w="3544" w:type="dxa"/>
                                        <w:tcBorders>
                                          <w:bottom w:val="single" w:sz="4" w:space="0" w:color="000080"/>
                                        </w:tcBorders>
                                      </w:tcPr>
                                      <w:p w14:paraId="14B96613" w14:textId="77777777" w:rsidR="004F17D5" w:rsidRPr="006F5414" w:rsidRDefault="004F17D5" w:rsidP="00704270">
                                        <w:pPr>
                                          <w:keepNext/>
                                          <w:keepLines/>
                                          <w:spacing w:before="40" w:after="40"/>
                                          <w:ind w:left="-111"/>
                                          <w:rPr>
                                            <w:rFonts w:cstheme="minorHAnsi"/>
                                            <w:sz w:val="21"/>
                                            <w:szCs w:val="21"/>
                                          </w:rPr>
                                        </w:pPr>
                                        <w:r w:rsidRPr="006F5414">
                                          <w:rPr>
                                            <w:rFonts w:cstheme="minorHAnsi"/>
                                            <w:sz w:val="21"/>
                                            <w:szCs w:val="21"/>
                                          </w:rPr>
                                          <w:t>Balance of non-Commonwealth contributions</w:t>
                                        </w:r>
                                      </w:p>
                                    </w:tc>
                                    <w:tc>
                                      <w:tcPr>
                                        <w:tcW w:w="3686" w:type="dxa"/>
                                        <w:tcBorders>
                                          <w:bottom w:val="single" w:sz="4" w:space="0" w:color="000080"/>
                                        </w:tcBorders>
                                      </w:tcPr>
                                      <w:p w14:paraId="278D9596" w14:textId="77777777" w:rsidR="004F17D5" w:rsidRPr="006F5414" w:rsidRDefault="004F17D5" w:rsidP="00704270">
                                        <w:pPr>
                                          <w:keepNext/>
                                          <w:keepLines/>
                                          <w:spacing w:before="40" w:after="40"/>
                                          <w:jc w:val="right"/>
                                          <w:rPr>
                                            <w:rFonts w:cstheme="minorHAnsi"/>
                                            <w:sz w:val="21"/>
                                            <w:szCs w:val="21"/>
                                          </w:rPr>
                                        </w:pPr>
                                        <w:r w:rsidRPr="006F5414">
                                          <w:rPr>
                                            <w:rFonts w:cstheme="minorHAnsi"/>
                                            <w:sz w:val="21"/>
                                            <w:szCs w:val="21"/>
                                          </w:rPr>
                                          <w:t>0.0</w:t>
                                        </w:r>
                                      </w:p>
                                    </w:tc>
                                  </w:tr>
                                </w:tbl>
                                <w:p w14:paraId="50796738" w14:textId="77777777" w:rsidR="004F17D5" w:rsidRPr="006F5414" w:rsidRDefault="004F17D5" w:rsidP="00704270">
                                  <w:pPr>
                                    <w:rPr>
                                      <w:rFonts w:cstheme="minorHAnsi"/>
                                      <w:sz w:val="18"/>
                                      <w:szCs w:val="18"/>
                                    </w:rPr>
                                  </w:pPr>
                                  <w:r w:rsidRPr="006F5414">
                                    <w:rPr>
                                      <w:rFonts w:cstheme="minorHAnsi"/>
                                      <w:sz w:val="18"/>
                                      <w:szCs w:val="18"/>
                                    </w:rPr>
                                    <w:t>Notes:</w:t>
                                  </w:r>
                                </w:p>
                                <w:p w14:paraId="5C79AC8E" w14:textId="611A68EB" w:rsidR="004F17D5" w:rsidRPr="006F5414" w:rsidRDefault="004F17D5" w:rsidP="006B58EB">
                                  <w:pPr>
                                    <w:pStyle w:val="ListParagraph"/>
                                    <w:numPr>
                                      <w:ilvl w:val="0"/>
                                      <w:numId w:val="43"/>
                                    </w:numPr>
                                    <w:rPr>
                                      <w:rFonts w:cstheme="minorHAnsi"/>
                                      <w:sz w:val="18"/>
                                      <w:szCs w:val="18"/>
                                    </w:rPr>
                                  </w:pPr>
                                  <w:r w:rsidRPr="006F5414">
                                    <w:rPr>
                                      <w:rFonts w:cstheme="minorHAnsi"/>
                                      <w:sz w:val="18"/>
                                      <w:szCs w:val="18"/>
                                    </w:rPr>
                                    <w:t xml:space="preserve">Commonwealth own purpose expenses include the procurement of all vaccines covered under the NIP. This Schedule does not include COVID-19 vaccines. </w:t>
                                  </w:r>
                                </w:p>
                                <w:p w14:paraId="42DD9BED" w14:textId="75167DE8" w:rsidR="004F17D5" w:rsidRPr="006F5414" w:rsidRDefault="004F17D5" w:rsidP="006B58EB">
                                  <w:pPr>
                                    <w:pStyle w:val="ListParagraph"/>
                                    <w:numPr>
                                      <w:ilvl w:val="0"/>
                                      <w:numId w:val="43"/>
                                    </w:numPr>
                                    <w:rPr>
                                      <w:rFonts w:cstheme="minorHAnsi"/>
                                      <w:sz w:val="18"/>
                                      <w:szCs w:val="18"/>
                                    </w:rPr>
                                  </w:pPr>
                                  <w:r w:rsidRPr="006F5414">
                                    <w:rPr>
                                      <w:rFonts w:cstheme="minorHAnsi"/>
                                      <w:sz w:val="18"/>
                                      <w:szCs w:val="18"/>
                                    </w:rPr>
                                    <w:t>States are not required to provide a financial or in-kind contribution under the terms of this Agreement. However, as States are responsible for achieving outcomes under this Agreement, the States allocate their own source of funding and provide in-kind contributions accordingly, including support of services and activities funded under this Agreement.</w:t>
                                  </w:r>
                                </w:p>
                                <w:p w14:paraId="7AE916A1" w14:textId="46BAE513" w:rsidR="004F17D5" w:rsidRPr="006F5414" w:rsidRDefault="004F17D5" w:rsidP="006B58EB">
                                  <w:pPr>
                                    <w:pStyle w:val="ListParagraph"/>
                                    <w:numPr>
                                      <w:ilvl w:val="0"/>
                                      <w:numId w:val="43"/>
                                    </w:numPr>
                                    <w:rPr>
                                      <w:rFonts w:cstheme="minorHAnsi"/>
                                      <w:sz w:val="18"/>
                                      <w:szCs w:val="18"/>
                                    </w:rPr>
                                  </w:pPr>
                                  <w:r w:rsidRPr="006F5414">
                                    <w:rPr>
                                      <w:rFonts w:cstheme="minorHAnsi"/>
                                      <w:sz w:val="18"/>
                                      <w:szCs w:val="18"/>
                                    </w:rPr>
                                    <w:t xml:space="preserve">Estimated National Partnership Payments figure is based on the </w:t>
                                  </w:r>
                                  <w:r w:rsidR="00792CE6" w:rsidRPr="006F5414">
                                    <w:rPr>
                                      <w:rFonts w:cstheme="minorHAnsi"/>
                                      <w:sz w:val="18"/>
                                      <w:szCs w:val="18"/>
                                    </w:rPr>
                                    <w:t>2023</w:t>
                                  </w:r>
                                  <w:r w:rsidRPr="006F5414">
                                    <w:rPr>
                                      <w:rFonts w:cstheme="minorHAnsi"/>
                                      <w:sz w:val="18"/>
                                      <w:szCs w:val="18"/>
                                    </w:rPr>
                                    <w:t>-</w:t>
                                  </w:r>
                                  <w:r w:rsidR="00792CE6" w:rsidRPr="006F5414">
                                    <w:rPr>
                                      <w:rFonts w:cstheme="minorHAnsi"/>
                                      <w:sz w:val="18"/>
                                      <w:szCs w:val="18"/>
                                    </w:rPr>
                                    <w:t xml:space="preserve">24 </w:t>
                                  </w:r>
                                  <w:r w:rsidRPr="006F5414">
                                    <w:rPr>
                                      <w:rFonts w:cstheme="minorHAnsi"/>
                                      <w:sz w:val="18"/>
                                      <w:szCs w:val="18"/>
                                    </w:rPr>
                                    <w:t>FY’s Commonwealth own purpose expenditure amount ($</w:t>
                                  </w:r>
                                  <w:r w:rsidR="00D823FC" w:rsidRPr="006F5414">
                                    <w:rPr>
                                      <w:rFonts w:cstheme="minorHAnsi"/>
                                      <w:sz w:val="18"/>
                                      <w:szCs w:val="18"/>
                                    </w:rPr>
                                    <w:t>641.4</w:t>
                                  </w:r>
                                  <w:r w:rsidRPr="006F5414">
                                    <w:rPr>
                                      <w:rFonts w:cstheme="minorHAnsi"/>
                                      <w:sz w:val="18"/>
                                      <w:szCs w:val="18"/>
                                    </w:rPr>
                                    <w:t>m).</w:t>
                                  </w:r>
                                </w:p>
                                <w:p w14:paraId="4AB3B2DB" w14:textId="77777777" w:rsidR="004F17D5" w:rsidRPr="00101AB3" w:rsidRDefault="004F17D5" w:rsidP="00704270">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7DC4E" id="_x0000_t202" coordsize="21600,21600" o:spt="202" path="m,l,21600r21600,l21600,xe">
                      <v:stroke joinstyle="miter"/>
                      <v:path gradientshapeok="t" o:connecttype="rect"/>
                    </v:shapetype>
                    <v:shape id="Text Box 2" o:spid="_x0000_s1026" type="#_x0000_t202" style="position:absolute;margin-left:-4.25pt;margin-top:41.15pt;width:385pt;height:29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JiDAIAAPcDAAAOAAAAZHJzL2Uyb0RvYy54bWysU9uO0zAQfUfiHyy/06SlZduo6WrpUoS0&#10;XKSFD3Adp7FwPGbsNilfz9jJdgu8IfxgeTzjMzNnjte3fWvYSaHXYEs+neScKSuh0vZQ8m9fd6+W&#10;nPkgbCUMWFXys/L8dvPyxbpzhZpBA6ZSyAjE+qJzJW9CcEWWedmoVvgJOGXJWQO2IpCJh6xC0RF6&#10;a7JZnr/JOsDKIUjlPd3eD06+Sfh1rWT4XNdeBWZKTrWFtGPa93HPNmtRHFC4RsuxDPEPVbRCW0p6&#10;gboXQbAj6r+gWi0RPNRhIqHNoK61VKkH6maa/9HNYyOcSr0QOd5daPL/D1Z+Oj26L8hC/xZ6GmBq&#10;wrsHkN89s7BthD2oO0ToGiUqSjyNlGWd88X4NFLtCx9B9t1HqGjI4hggAfU1tpEV6pMROg3gfCFd&#10;9YFJupwvl6tFTi5Jvtc3q5yslEMUT88d+vBeQcvioeRIU03w4vTgQyxHFE8hMZsHo6udNiYZeNhv&#10;DbKTIAXs0hrRfwszlnUlXy1mi4RsIb5P4mh1IIUa3ZZ8mcc1aCbS8c5WKSQIbYYzVWLsyE+kZCAn&#10;9PueAiNPe6jOxBTCoET6OXRoAH9y1pEKS+5/HAUqzswHS2yvpvN5lG0y5oubGRl47dlfe4SVBFXy&#10;wNlw3IYk9ciDhTuaSq0TX8+VjLWSuhKN40+I8r22U9Tzf938AgAA//8DAFBLAwQUAAYACAAAACEA&#10;lhPvwd8AAAAJAQAADwAAAGRycy9kb3ducmV2LnhtbEyPwW7CMBBE75X6D9ZW6qUCByhJCNmgtlKr&#10;XqF8wCZekojYjmJDwt/XPZXj7Ixm3ua7SXfiyoNrrUFYzCMQbCqrWlMjHH8+ZykI58ko6qxhhBs7&#10;2BWPDzllyo5mz9eDr0UoMS4jhMb7PpPSVQ1rcnPbswneyQ6afJBDLdVAYyjXnVxGUSw1tSYsNNTz&#10;R8PV+XDRCKfv8WW9Gcsvf0z2r/E7tUlpb4jPT9PbFoTnyf+H4Q8/oEMRmEp7McqJDmGWrkMSIV2u&#10;QAQ/iRfhUCLEyWYFssjl/QfFLwAAAP//AwBQSwECLQAUAAYACAAAACEAtoM4kv4AAADhAQAAEwAA&#10;AAAAAAAAAAAAAAAAAAAAW0NvbnRlbnRfVHlwZXNdLnhtbFBLAQItABQABgAIAAAAIQA4/SH/1gAA&#10;AJQBAAALAAAAAAAAAAAAAAAAAC8BAABfcmVscy8ucmVsc1BLAQItABQABgAIAAAAIQBRkFJiDAIA&#10;APcDAAAOAAAAAAAAAAAAAAAAAC4CAABkcnMvZTJvRG9jLnhtbFBLAQItABQABgAIAAAAIQCWE+/B&#10;3wAAAAkBAAAPAAAAAAAAAAAAAAAAAGYEAABkcnMvZG93bnJldi54bWxQSwUGAAAAAAQABADzAAAA&#10;cgUAAAAA&#10;" stroked="f">
                      <v:textbox>
                        <w:txbxContent>
                          <w:tbl>
                            <w:tblPr>
                              <w:tblW w:w="0" w:type="auto"/>
                              <w:tblLook w:val="01E0" w:firstRow="1" w:lastRow="1" w:firstColumn="1" w:lastColumn="1" w:noHBand="0" w:noVBand="0"/>
                            </w:tblPr>
                            <w:tblGrid>
                              <w:gridCol w:w="3544"/>
                              <w:gridCol w:w="3686"/>
                            </w:tblGrid>
                            <w:tr w:rsidR="004F17D5" w:rsidRPr="006F5414" w14:paraId="61269836" w14:textId="77777777" w:rsidTr="007C4A44">
                              <w:trPr>
                                <w:cantSplit/>
                                <w:trHeight w:val="534"/>
                              </w:trPr>
                              <w:tc>
                                <w:tcPr>
                                  <w:tcW w:w="3544" w:type="dxa"/>
                                  <w:tcBorders>
                                    <w:top w:val="single" w:sz="4" w:space="0" w:color="000080"/>
                                    <w:bottom w:val="single" w:sz="4" w:space="0" w:color="000080"/>
                                  </w:tcBorders>
                                </w:tcPr>
                                <w:p w14:paraId="42B1208A" w14:textId="77777777" w:rsidR="004F17D5" w:rsidRPr="006F5414" w:rsidRDefault="004F17D5" w:rsidP="00704270">
                                  <w:pPr>
                                    <w:keepNext/>
                                    <w:keepLines/>
                                    <w:spacing w:before="40" w:after="40"/>
                                    <w:ind w:left="-111"/>
                                    <w:rPr>
                                      <w:rFonts w:cstheme="minorHAnsi"/>
                                      <w:b/>
                                      <w:sz w:val="21"/>
                                      <w:szCs w:val="21"/>
                                    </w:rPr>
                                  </w:pPr>
                                  <w:r w:rsidRPr="006F5414">
                                    <w:rPr>
                                      <w:rFonts w:cstheme="minorHAnsi"/>
                                      <w:b/>
                                      <w:sz w:val="21"/>
                                      <w:szCs w:val="21"/>
                                    </w:rPr>
                                    <w:t>Table 1.1</w:t>
                                  </w:r>
                                </w:p>
                                <w:p w14:paraId="203A24D4" w14:textId="77777777" w:rsidR="004F17D5" w:rsidRPr="006F5414" w:rsidRDefault="004F17D5" w:rsidP="00704270">
                                  <w:pPr>
                                    <w:keepNext/>
                                    <w:keepLines/>
                                    <w:spacing w:before="40" w:after="40"/>
                                    <w:ind w:left="-111"/>
                                    <w:rPr>
                                      <w:rFonts w:cstheme="minorHAnsi"/>
                                      <w:b/>
                                      <w:sz w:val="21"/>
                                      <w:szCs w:val="21"/>
                                    </w:rPr>
                                  </w:pPr>
                                  <w:r w:rsidRPr="006F5414">
                                    <w:rPr>
                                      <w:rFonts w:cstheme="minorHAnsi"/>
                                      <w:b/>
                                      <w:sz w:val="21"/>
                                      <w:szCs w:val="21"/>
                                    </w:rPr>
                                    <w:t>($ million)</w:t>
                                  </w:r>
                                </w:p>
                              </w:tc>
                              <w:tc>
                                <w:tcPr>
                                  <w:tcW w:w="3686" w:type="dxa"/>
                                  <w:tcBorders>
                                    <w:top w:val="single" w:sz="4" w:space="0" w:color="000080"/>
                                    <w:bottom w:val="single" w:sz="4" w:space="0" w:color="000080"/>
                                  </w:tcBorders>
                                </w:tcPr>
                                <w:p w14:paraId="71A3928F" w14:textId="77777777" w:rsidR="004F17D5" w:rsidRPr="006F5414" w:rsidRDefault="004F17D5" w:rsidP="00704270">
                                  <w:pPr>
                                    <w:keepNext/>
                                    <w:keepLines/>
                                    <w:spacing w:before="40" w:after="40"/>
                                    <w:jc w:val="right"/>
                                    <w:rPr>
                                      <w:rFonts w:cstheme="minorHAnsi"/>
                                      <w:b/>
                                      <w:i/>
                                      <w:sz w:val="21"/>
                                      <w:szCs w:val="21"/>
                                    </w:rPr>
                                  </w:pPr>
                                </w:p>
                                <w:p w14:paraId="2B3A64F9" w14:textId="7F7CD80B" w:rsidR="004F17D5" w:rsidRPr="006F5414" w:rsidRDefault="00792CE6" w:rsidP="00704270">
                                  <w:pPr>
                                    <w:keepNext/>
                                    <w:keepLines/>
                                    <w:spacing w:before="40" w:after="40"/>
                                    <w:jc w:val="right"/>
                                    <w:rPr>
                                      <w:rFonts w:cstheme="minorHAnsi"/>
                                      <w:b/>
                                      <w:i/>
                                      <w:sz w:val="21"/>
                                      <w:szCs w:val="21"/>
                                    </w:rPr>
                                  </w:pPr>
                                  <w:r w:rsidRPr="006F5414">
                                    <w:rPr>
                                      <w:rFonts w:cstheme="minorHAnsi"/>
                                      <w:b/>
                                      <w:i/>
                                      <w:sz w:val="21"/>
                                      <w:szCs w:val="21"/>
                                    </w:rPr>
                                    <w:t>2024-25</w:t>
                                  </w:r>
                                  <w:r w:rsidR="004F17D5" w:rsidRPr="006F5414">
                                    <w:rPr>
                                      <w:rFonts w:cstheme="minorHAnsi"/>
                                      <w:b/>
                                      <w:i/>
                                      <w:sz w:val="21"/>
                                      <w:szCs w:val="21"/>
                                    </w:rPr>
                                    <w:t xml:space="preserve"> (Total)</w:t>
                                  </w:r>
                                </w:p>
                              </w:tc>
                            </w:tr>
                            <w:tr w:rsidR="004F17D5" w:rsidRPr="006F5414" w14:paraId="5675BCA8" w14:textId="77777777" w:rsidTr="007C4A44">
                              <w:trPr>
                                <w:cantSplit/>
                                <w:trHeight w:val="316"/>
                              </w:trPr>
                              <w:tc>
                                <w:tcPr>
                                  <w:tcW w:w="3544" w:type="dxa"/>
                                  <w:tcBorders>
                                    <w:top w:val="single" w:sz="4" w:space="0" w:color="000080"/>
                                  </w:tcBorders>
                                </w:tcPr>
                                <w:p w14:paraId="20AA2FD4" w14:textId="77777777" w:rsidR="004F17D5" w:rsidRPr="006F5414" w:rsidRDefault="004F17D5" w:rsidP="00704270">
                                  <w:pPr>
                                    <w:keepNext/>
                                    <w:keepLines/>
                                    <w:spacing w:before="60" w:after="60"/>
                                    <w:ind w:left="-111"/>
                                    <w:rPr>
                                      <w:rFonts w:cstheme="minorHAnsi"/>
                                      <w:b/>
                                      <w:sz w:val="21"/>
                                      <w:szCs w:val="21"/>
                                    </w:rPr>
                                  </w:pPr>
                                  <w:r w:rsidRPr="006F5414">
                                    <w:rPr>
                                      <w:rFonts w:cstheme="minorHAnsi"/>
                                      <w:b/>
                                      <w:sz w:val="21"/>
                                      <w:szCs w:val="21"/>
                                    </w:rPr>
                                    <w:t>Estimated total budget</w:t>
                                  </w:r>
                                </w:p>
                              </w:tc>
                              <w:tc>
                                <w:tcPr>
                                  <w:tcW w:w="3686" w:type="dxa"/>
                                  <w:tcBorders>
                                    <w:top w:val="single" w:sz="4" w:space="0" w:color="000080"/>
                                  </w:tcBorders>
                                </w:tcPr>
                                <w:p w14:paraId="3BF9942F" w14:textId="77777777" w:rsidR="004F17D5" w:rsidRPr="006F5414" w:rsidRDefault="004F17D5" w:rsidP="00704270">
                                  <w:pPr>
                                    <w:keepNext/>
                                    <w:keepLines/>
                                    <w:spacing w:before="40" w:after="40"/>
                                    <w:jc w:val="right"/>
                                    <w:rPr>
                                      <w:rFonts w:cstheme="minorHAnsi"/>
                                      <w:b/>
                                      <w:sz w:val="21"/>
                                      <w:szCs w:val="21"/>
                                    </w:rPr>
                                  </w:pPr>
                                </w:p>
                              </w:tc>
                            </w:tr>
                            <w:tr w:rsidR="004F17D5" w:rsidRPr="006F5414" w14:paraId="35409C2A" w14:textId="77777777" w:rsidTr="007C4A44">
                              <w:trPr>
                                <w:cantSplit/>
                                <w:trHeight w:val="547"/>
                              </w:trPr>
                              <w:tc>
                                <w:tcPr>
                                  <w:tcW w:w="3544" w:type="dxa"/>
                                </w:tcPr>
                                <w:p w14:paraId="7DD3593C" w14:textId="1B931843" w:rsidR="004F17D5" w:rsidRPr="006F5414" w:rsidRDefault="004F17D5" w:rsidP="00704270">
                                  <w:pPr>
                                    <w:keepNext/>
                                    <w:keepLines/>
                                    <w:spacing w:before="60" w:after="60"/>
                                    <w:ind w:left="-111"/>
                                    <w:rPr>
                                      <w:rFonts w:cstheme="minorHAnsi"/>
                                      <w:sz w:val="21"/>
                                      <w:szCs w:val="21"/>
                                    </w:rPr>
                                  </w:pPr>
                                  <w:r w:rsidRPr="006F5414">
                                    <w:rPr>
                                      <w:rFonts w:cstheme="minorHAnsi"/>
                                      <w:sz w:val="21"/>
                                      <w:szCs w:val="21"/>
                                    </w:rPr>
                                    <w:t xml:space="preserve">Estimated National Partnership Payments </w:t>
                                  </w:r>
                                </w:p>
                              </w:tc>
                              <w:tc>
                                <w:tcPr>
                                  <w:tcW w:w="3686" w:type="dxa"/>
                                </w:tcPr>
                                <w:p w14:paraId="30135BB1" w14:textId="730FE447" w:rsidR="004F17D5" w:rsidRPr="006F5414" w:rsidRDefault="00792CE6" w:rsidP="00704270">
                                  <w:pPr>
                                    <w:keepNext/>
                                    <w:keepLines/>
                                    <w:spacing w:before="40" w:after="40"/>
                                    <w:jc w:val="right"/>
                                    <w:rPr>
                                      <w:rFonts w:cstheme="minorHAnsi"/>
                                      <w:sz w:val="21"/>
                                      <w:szCs w:val="21"/>
                                    </w:rPr>
                                  </w:pPr>
                                  <w:r w:rsidRPr="006F5414">
                                    <w:rPr>
                                      <w:rFonts w:cstheme="minorHAnsi"/>
                                      <w:sz w:val="21"/>
                                      <w:szCs w:val="21"/>
                                    </w:rPr>
                                    <w:t>28.9</w:t>
                                  </w:r>
                                </w:p>
                              </w:tc>
                            </w:tr>
                            <w:tr w:rsidR="004F17D5" w:rsidRPr="006F5414" w14:paraId="392E4AB6" w14:textId="77777777" w:rsidTr="007C4A44">
                              <w:trPr>
                                <w:cantSplit/>
                                <w:trHeight w:val="534"/>
                              </w:trPr>
                              <w:tc>
                                <w:tcPr>
                                  <w:tcW w:w="3544" w:type="dxa"/>
                                </w:tcPr>
                                <w:p w14:paraId="0AB3B873" w14:textId="77777777" w:rsidR="004F17D5" w:rsidRPr="006F5414" w:rsidRDefault="004F17D5" w:rsidP="00704270">
                                  <w:pPr>
                                    <w:keepNext/>
                                    <w:keepLines/>
                                    <w:widowControl/>
                                    <w:spacing w:before="60" w:after="60"/>
                                    <w:rPr>
                                      <w:rFonts w:cstheme="minorHAnsi"/>
                                      <w:sz w:val="21"/>
                                      <w:szCs w:val="21"/>
                                    </w:rPr>
                                  </w:pPr>
                                  <w:r w:rsidRPr="006F5414">
                                    <w:rPr>
                                      <w:rFonts w:cstheme="minorHAnsi"/>
                                      <w:sz w:val="21"/>
                                      <w:szCs w:val="21"/>
                                    </w:rPr>
                                    <w:t>Commonwealth own purpose expense</w:t>
                                  </w:r>
                                </w:p>
                              </w:tc>
                              <w:tc>
                                <w:tcPr>
                                  <w:tcW w:w="3686" w:type="dxa"/>
                                </w:tcPr>
                                <w:p w14:paraId="2BB7C84E" w14:textId="7294615B" w:rsidR="004F17D5" w:rsidRPr="006F5414" w:rsidRDefault="00D823FC" w:rsidP="00704270">
                                  <w:pPr>
                                    <w:keepNext/>
                                    <w:keepLines/>
                                    <w:spacing w:before="40" w:after="40"/>
                                    <w:jc w:val="right"/>
                                    <w:rPr>
                                      <w:rFonts w:cstheme="minorHAnsi"/>
                                      <w:sz w:val="21"/>
                                      <w:szCs w:val="21"/>
                                    </w:rPr>
                                  </w:pPr>
                                  <w:r w:rsidRPr="006F5414">
                                    <w:rPr>
                                      <w:rFonts w:cstheme="minorHAnsi"/>
                                      <w:sz w:val="21"/>
                                      <w:szCs w:val="21"/>
                                    </w:rPr>
                                    <w:t>594</w:t>
                                  </w:r>
                                  <w:r w:rsidR="00792CE6" w:rsidRPr="006F5414">
                                    <w:rPr>
                                      <w:rFonts w:cstheme="minorHAnsi"/>
                                      <w:sz w:val="21"/>
                                      <w:szCs w:val="21"/>
                                    </w:rPr>
                                    <w:t>.</w:t>
                                  </w:r>
                                  <w:r w:rsidRPr="006F5414">
                                    <w:rPr>
                                      <w:rFonts w:cstheme="minorHAnsi"/>
                                      <w:sz w:val="21"/>
                                      <w:szCs w:val="21"/>
                                    </w:rPr>
                                    <w:t>7</w:t>
                                  </w:r>
                                </w:p>
                              </w:tc>
                            </w:tr>
                            <w:tr w:rsidR="004F17D5" w:rsidRPr="006F5414" w14:paraId="766B7D78" w14:textId="77777777" w:rsidTr="007C4A44">
                              <w:trPr>
                                <w:cantSplit/>
                                <w:trHeight w:val="534"/>
                              </w:trPr>
                              <w:tc>
                                <w:tcPr>
                                  <w:tcW w:w="3544" w:type="dxa"/>
                                </w:tcPr>
                                <w:p w14:paraId="3FF4E8EE" w14:textId="77777777" w:rsidR="004F17D5" w:rsidRPr="006F5414" w:rsidRDefault="004F17D5" w:rsidP="00704270">
                                  <w:pPr>
                                    <w:keepNext/>
                                    <w:keepLines/>
                                    <w:widowControl/>
                                    <w:spacing w:before="60" w:after="60"/>
                                    <w:rPr>
                                      <w:rFonts w:cstheme="minorHAnsi"/>
                                      <w:sz w:val="21"/>
                                      <w:szCs w:val="21"/>
                                    </w:rPr>
                                  </w:pPr>
                                  <w:r w:rsidRPr="006F5414">
                                    <w:rPr>
                                      <w:rFonts w:cstheme="minorHAnsi"/>
                                      <w:sz w:val="21"/>
                                      <w:szCs w:val="21"/>
                                    </w:rPr>
                                    <w:t>Total Commonwealth contribution</w:t>
                                  </w:r>
                                </w:p>
                              </w:tc>
                              <w:tc>
                                <w:tcPr>
                                  <w:tcW w:w="3686" w:type="dxa"/>
                                </w:tcPr>
                                <w:p w14:paraId="3198D0DF" w14:textId="2FDB41DE" w:rsidR="004F17D5" w:rsidRPr="006F5414" w:rsidRDefault="00D823FC" w:rsidP="00704270">
                                  <w:pPr>
                                    <w:keepNext/>
                                    <w:keepLines/>
                                    <w:spacing w:before="40" w:after="40"/>
                                    <w:jc w:val="right"/>
                                    <w:rPr>
                                      <w:rFonts w:cstheme="minorHAnsi"/>
                                      <w:sz w:val="21"/>
                                      <w:szCs w:val="21"/>
                                    </w:rPr>
                                  </w:pPr>
                                  <w:r w:rsidRPr="006F5414">
                                    <w:rPr>
                                      <w:rFonts w:cstheme="minorHAnsi"/>
                                      <w:sz w:val="21"/>
                                      <w:szCs w:val="21"/>
                                    </w:rPr>
                                    <w:t>623.6</w:t>
                                  </w:r>
                                </w:p>
                              </w:tc>
                            </w:tr>
                            <w:tr w:rsidR="004F17D5" w:rsidRPr="006F5414" w14:paraId="336BFA98" w14:textId="77777777" w:rsidTr="007C4A44">
                              <w:trPr>
                                <w:cantSplit/>
                                <w:trHeight w:val="729"/>
                              </w:trPr>
                              <w:tc>
                                <w:tcPr>
                                  <w:tcW w:w="3544" w:type="dxa"/>
                                  <w:tcBorders>
                                    <w:bottom w:val="single" w:sz="4" w:space="0" w:color="000080"/>
                                  </w:tcBorders>
                                </w:tcPr>
                                <w:p w14:paraId="14B96613" w14:textId="77777777" w:rsidR="004F17D5" w:rsidRPr="006F5414" w:rsidRDefault="004F17D5" w:rsidP="00704270">
                                  <w:pPr>
                                    <w:keepNext/>
                                    <w:keepLines/>
                                    <w:spacing w:before="40" w:after="40"/>
                                    <w:ind w:left="-111"/>
                                    <w:rPr>
                                      <w:rFonts w:cstheme="minorHAnsi"/>
                                      <w:sz w:val="21"/>
                                      <w:szCs w:val="21"/>
                                    </w:rPr>
                                  </w:pPr>
                                  <w:r w:rsidRPr="006F5414">
                                    <w:rPr>
                                      <w:rFonts w:cstheme="minorHAnsi"/>
                                      <w:sz w:val="21"/>
                                      <w:szCs w:val="21"/>
                                    </w:rPr>
                                    <w:t>Balance of non-Commonwealth contributions</w:t>
                                  </w:r>
                                </w:p>
                              </w:tc>
                              <w:tc>
                                <w:tcPr>
                                  <w:tcW w:w="3686" w:type="dxa"/>
                                  <w:tcBorders>
                                    <w:bottom w:val="single" w:sz="4" w:space="0" w:color="000080"/>
                                  </w:tcBorders>
                                </w:tcPr>
                                <w:p w14:paraId="278D9596" w14:textId="77777777" w:rsidR="004F17D5" w:rsidRPr="006F5414" w:rsidRDefault="004F17D5" w:rsidP="00704270">
                                  <w:pPr>
                                    <w:keepNext/>
                                    <w:keepLines/>
                                    <w:spacing w:before="40" w:after="40"/>
                                    <w:jc w:val="right"/>
                                    <w:rPr>
                                      <w:rFonts w:cstheme="minorHAnsi"/>
                                      <w:sz w:val="21"/>
                                      <w:szCs w:val="21"/>
                                    </w:rPr>
                                  </w:pPr>
                                  <w:r w:rsidRPr="006F5414">
                                    <w:rPr>
                                      <w:rFonts w:cstheme="minorHAnsi"/>
                                      <w:sz w:val="21"/>
                                      <w:szCs w:val="21"/>
                                    </w:rPr>
                                    <w:t>0.0</w:t>
                                  </w:r>
                                </w:p>
                              </w:tc>
                            </w:tr>
                          </w:tbl>
                          <w:p w14:paraId="50796738" w14:textId="77777777" w:rsidR="004F17D5" w:rsidRPr="006F5414" w:rsidRDefault="004F17D5" w:rsidP="00704270">
                            <w:pPr>
                              <w:rPr>
                                <w:rFonts w:cstheme="minorHAnsi"/>
                                <w:sz w:val="18"/>
                                <w:szCs w:val="18"/>
                              </w:rPr>
                            </w:pPr>
                            <w:r w:rsidRPr="006F5414">
                              <w:rPr>
                                <w:rFonts w:cstheme="minorHAnsi"/>
                                <w:sz w:val="18"/>
                                <w:szCs w:val="18"/>
                              </w:rPr>
                              <w:t>Notes:</w:t>
                            </w:r>
                          </w:p>
                          <w:p w14:paraId="5C79AC8E" w14:textId="611A68EB" w:rsidR="004F17D5" w:rsidRPr="006F5414" w:rsidRDefault="004F17D5" w:rsidP="006B58EB">
                            <w:pPr>
                              <w:pStyle w:val="ListParagraph"/>
                              <w:numPr>
                                <w:ilvl w:val="0"/>
                                <w:numId w:val="43"/>
                              </w:numPr>
                              <w:rPr>
                                <w:rFonts w:cstheme="minorHAnsi"/>
                                <w:sz w:val="18"/>
                                <w:szCs w:val="18"/>
                              </w:rPr>
                            </w:pPr>
                            <w:r w:rsidRPr="006F5414">
                              <w:rPr>
                                <w:rFonts w:cstheme="minorHAnsi"/>
                                <w:sz w:val="18"/>
                                <w:szCs w:val="18"/>
                              </w:rPr>
                              <w:t xml:space="preserve">Commonwealth own purpose expenses include the procurement of all vaccines covered under the NIP. This Schedule does not include COVID-19 vaccines. </w:t>
                            </w:r>
                          </w:p>
                          <w:p w14:paraId="42DD9BED" w14:textId="75167DE8" w:rsidR="004F17D5" w:rsidRPr="006F5414" w:rsidRDefault="004F17D5" w:rsidP="006B58EB">
                            <w:pPr>
                              <w:pStyle w:val="ListParagraph"/>
                              <w:numPr>
                                <w:ilvl w:val="0"/>
                                <w:numId w:val="43"/>
                              </w:numPr>
                              <w:rPr>
                                <w:rFonts w:cstheme="minorHAnsi"/>
                                <w:sz w:val="18"/>
                                <w:szCs w:val="18"/>
                              </w:rPr>
                            </w:pPr>
                            <w:r w:rsidRPr="006F5414">
                              <w:rPr>
                                <w:rFonts w:cstheme="minorHAnsi"/>
                                <w:sz w:val="18"/>
                                <w:szCs w:val="18"/>
                              </w:rPr>
                              <w:t>States are not required to provide a financial or in-kind contribution under the terms of this Agreement. However, as States are responsible for achieving outcomes under this Agreement, the States allocate their own source of funding and provide in-kind contributions accordingly, including support of services and activities funded under this Agreement.</w:t>
                            </w:r>
                          </w:p>
                          <w:p w14:paraId="7AE916A1" w14:textId="46BAE513" w:rsidR="004F17D5" w:rsidRPr="006F5414" w:rsidRDefault="004F17D5" w:rsidP="006B58EB">
                            <w:pPr>
                              <w:pStyle w:val="ListParagraph"/>
                              <w:numPr>
                                <w:ilvl w:val="0"/>
                                <w:numId w:val="43"/>
                              </w:numPr>
                              <w:rPr>
                                <w:rFonts w:cstheme="minorHAnsi"/>
                                <w:sz w:val="18"/>
                                <w:szCs w:val="18"/>
                              </w:rPr>
                            </w:pPr>
                            <w:r w:rsidRPr="006F5414">
                              <w:rPr>
                                <w:rFonts w:cstheme="minorHAnsi"/>
                                <w:sz w:val="18"/>
                                <w:szCs w:val="18"/>
                              </w:rPr>
                              <w:t xml:space="preserve">Estimated National Partnership Payments figure is based on the </w:t>
                            </w:r>
                            <w:r w:rsidR="00792CE6" w:rsidRPr="006F5414">
                              <w:rPr>
                                <w:rFonts w:cstheme="minorHAnsi"/>
                                <w:sz w:val="18"/>
                                <w:szCs w:val="18"/>
                              </w:rPr>
                              <w:t>2023</w:t>
                            </w:r>
                            <w:r w:rsidRPr="006F5414">
                              <w:rPr>
                                <w:rFonts w:cstheme="minorHAnsi"/>
                                <w:sz w:val="18"/>
                                <w:szCs w:val="18"/>
                              </w:rPr>
                              <w:t>-</w:t>
                            </w:r>
                            <w:r w:rsidR="00792CE6" w:rsidRPr="006F5414">
                              <w:rPr>
                                <w:rFonts w:cstheme="minorHAnsi"/>
                                <w:sz w:val="18"/>
                                <w:szCs w:val="18"/>
                              </w:rPr>
                              <w:t xml:space="preserve">24 </w:t>
                            </w:r>
                            <w:r w:rsidRPr="006F5414">
                              <w:rPr>
                                <w:rFonts w:cstheme="minorHAnsi"/>
                                <w:sz w:val="18"/>
                                <w:szCs w:val="18"/>
                              </w:rPr>
                              <w:t>FY’s Commonwealth own purpose expenditure amount ($</w:t>
                            </w:r>
                            <w:r w:rsidR="00D823FC" w:rsidRPr="006F5414">
                              <w:rPr>
                                <w:rFonts w:cstheme="minorHAnsi"/>
                                <w:sz w:val="18"/>
                                <w:szCs w:val="18"/>
                              </w:rPr>
                              <w:t>641.4</w:t>
                            </w:r>
                            <w:r w:rsidRPr="006F5414">
                              <w:rPr>
                                <w:rFonts w:cstheme="minorHAnsi"/>
                                <w:sz w:val="18"/>
                                <w:szCs w:val="18"/>
                              </w:rPr>
                              <w:t>m).</w:t>
                            </w:r>
                          </w:p>
                          <w:p w14:paraId="4AB3B2DB" w14:textId="77777777" w:rsidR="004F17D5" w:rsidRPr="00101AB3" w:rsidRDefault="004F17D5" w:rsidP="00704270">
                            <w:pPr>
                              <w:rPr>
                                <w:sz w:val="18"/>
                                <w:szCs w:val="18"/>
                              </w:rPr>
                            </w:pPr>
                          </w:p>
                        </w:txbxContent>
                      </v:textbox>
                      <w10:wrap type="square"/>
                    </v:shape>
                  </w:pict>
                </mc:Fallback>
              </mc:AlternateContent>
            </w:r>
            <w:r w:rsidR="00C91B5F" w:rsidRPr="00F00A18">
              <w:rPr>
                <w:color w:val="auto"/>
              </w:rPr>
              <w:t>The Commonwealth will provide an estimated tota</w:t>
            </w:r>
            <w:r w:rsidR="0041571E">
              <w:rPr>
                <w:color w:val="auto"/>
              </w:rPr>
              <w:t xml:space="preserve">l financial contribution to </w:t>
            </w:r>
            <w:r w:rsidR="0041571E" w:rsidRPr="006F5414">
              <w:rPr>
                <w:color w:val="auto"/>
              </w:rPr>
              <w:t xml:space="preserve">the States </w:t>
            </w:r>
            <w:r w:rsidR="00306F43" w:rsidRPr="006F5414">
              <w:rPr>
                <w:color w:val="auto"/>
              </w:rPr>
              <w:t xml:space="preserve">of </w:t>
            </w:r>
            <w:r w:rsidR="0069789C" w:rsidRPr="006F5414">
              <w:rPr>
                <w:color w:val="auto"/>
              </w:rPr>
              <w:t>$</w:t>
            </w:r>
            <w:r w:rsidR="00792CE6" w:rsidRPr="006F5414">
              <w:rPr>
                <w:color w:val="auto"/>
              </w:rPr>
              <w:t>28.9m</w:t>
            </w:r>
            <w:r w:rsidR="0041571E" w:rsidRPr="006F5414">
              <w:rPr>
                <w:color w:val="auto"/>
              </w:rPr>
              <w:t xml:space="preserve"> </w:t>
            </w:r>
            <w:r w:rsidR="00C91B5F" w:rsidRPr="006F5414">
              <w:rPr>
                <w:color w:val="auto"/>
              </w:rPr>
              <w:t>in respect</w:t>
            </w:r>
            <w:r w:rsidR="00C91B5F" w:rsidRPr="001A57B9">
              <w:rPr>
                <w:color w:val="auto"/>
              </w:rPr>
              <w:t xml:space="preserve"> of this Schedule</w:t>
            </w:r>
            <w:r w:rsidR="0069789C" w:rsidRPr="001A57B9">
              <w:rPr>
                <w:color w:val="auto"/>
              </w:rPr>
              <w:t>.</w:t>
            </w:r>
            <w:r w:rsidR="0069789C">
              <w:rPr>
                <w:color w:val="auto"/>
              </w:rPr>
              <w:t xml:space="preserve"> </w:t>
            </w:r>
          </w:p>
        </w:tc>
      </w:tr>
      <w:bookmarkEnd w:id="0"/>
      <w:tr w:rsidR="00C91B5F" w:rsidRPr="00F00A18" w14:paraId="21E3D649" w14:textId="77777777" w:rsidTr="0041571E">
        <w:tc>
          <w:tcPr>
            <w:tcW w:w="1833" w:type="dxa"/>
            <w:shd w:val="clear" w:color="auto" w:fill="auto"/>
          </w:tcPr>
          <w:p w14:paraId="06578BDF" w14:textId="13E3B390" w:rsidR="00C91B5F" w:rsidRPr="00F00A18" w:rsidRDefault="008F4076" w:rsidP="00EA63BE">
            <w:pPr>
              <w:pStyle w:val="Tableformat"/>
              <w:rPr>
                <w:color w:val="auto"/>
              </w:rPr>
            </w:pPr>
            <w:r>
              <w:rPr>
                <w:color w:val="auto"/>
              </w:rPr>
              <w:t>Funding allocations and payments</w:t>
            </w:r>
            <w:r w:rsidR="00C91B5F" w:rsidRPr="00F00A18">
              <w:rPr>
                <w:color w:val="auto"/>
              </w:rPr>
              <w:t xml:space="preserve"> </w:t>
            </w:r>
          </w:p>
        </w:tc>
        <w:tc>
          <w:tcPr>
            <w:tcW w:w="7796" w:type="dxa"/>
            <w:shd w:val="clear" w:color="auto" w:fill="auto"/>
          </w:tcPr>
          <w:p w14:paraId="32D7B052" w14:textId="51A43E55" w:rsidR="008F4076" w:rsidRPr="008F4076" w:rsidRDefault="008F4076" w:rsidP="008F4076">
            <w:pPr>
              <w:pStyle w:val="Tableformat"/>
              <w:rPr>
                <w:color w:val="auto"/>
              </w:rPr>
            </w:pPr>
            <w:r w:rsidRPr="008F4076">
              <w:rPr>
                <w:color w:val="auto"/>
              </w:rPr>
              <w:t>The Commonwealth will allocate a total of 4.5 per cent of t</w:t>
            </w:r>
            <w:r>
              <w:rPr>
                <w:color w:val="auto"/>
              </w:rPr>
              <w:t xml:space="preserve">he cost of vaccine purchases to </w:t>
            </w:r>
            <w:r w:rsidRPr="008F4076">
              <w:rPr>
                <w:color w:val="auto"/>
              </w:rPr>
              <w:t>the States for the purposes of this Agreement as follows:</w:t>
            </w:r>
          </w:p>
          <w:p w14:paraId="4455D915" w14:textId="366A711A" w:rsidR="008F4076" w:rsidRPr="008F4076" w:rsidRDefault="008F4076" w:rsidP="001E33F9">
            <w:pPr>
              <w:pStyle w:val="Tableformat"/>
              <w:numPr>
                <w:ilvl w:val="0"/>
                <w:numId w:val="19"/>
              </w:numPr>
              <w:rPr>
                <w:color w:val="auto"/>
              </w:rPr>
            </w:pPr>
            <w:r w:rsidRPr="008F4076">
              <w:rPr>
                <w:color w:val="auto"/>
              </w:rPr>
              <w:t xml:space="preserve">0.75 per cent of the cost of each State’s total vaccine purchases </w:t>
            </w:r>
            <w:r w:rsidR="0031349E">
              <w:rPr>
                <w:color w:val="auto"/>
              </w:rPr>
              <w:t>for</w:t>
            </w:r>
            <w:r w:rsidR="0031349E" w:rsidRPr="008F4076">
              <w:rPr>
                <w:color w:val="auto"/>
              </w:rPr>
              <w:t xml:space="preserve"> </w:t>
            </w:r>
            <w:r w:rsidRPr="008F4076">
              <w:rPr>
                <w:color w:val="auto"/>
              </w:rPr>
              <w:t>each of the</w:t>
            </w:r>
            <w:r w:rsidR="00662732">
              <w:rPr>
                <w:color w:val="auto"/>
              </w:rPr>
              <w:t xml:space="preserve"> Schedule’s</w:t>
            </w:r>
            <w:r w:rsidRPr="008F4076">
              <w:rPr>
                <w:color w:val="auto"/>
              </w:rPr>
              <w:t xml:space="preserve"> five performance benchmarks,</w:t>
            </w:r>
            <w:r>
              <w:rPr>
                <w:color w:val="auto"/>
              </w:rPr>
              <w:t xml:space="preserve"> </w:t>
            </w:r>
            <w:r w:rsidRPr="008F4076">
              <w:rPr>
                <w:color w:val="auto"/>
              </w:rPr>
              <w:t>totalling 3.75</w:t>
            </w:r>
            <w:r w:rsidR="00543CC9">
              <w:rPr>
                <w:color w:val="auto"/>
              </w:rPr>
              <w:t> </w:t>
            </w:r>
            <w:r w:rsidRPr="008F4076">
              <w:rPr>
                <w:color w:val="auto"/>
              </w:rPr>
              <w:t>per</w:t>
            </w:r>
            <w:r w:rsidR="00543CC9">
              <w:rPr>
                <w:color w:val="auto"/>
              </w:rPr>
              <w:t> </w:t>
            </w:r>
            <w:r w:rsidRPr="008F4076">
              <w:rPr>
                <w:color w:val="auto"/>
              </w:rPr>
              <w:t>cent; and</w:t>
            </w:r>
          </w:p>
          <w:p w14:paraId="56F50E8D" w14:textId="2C81C218" w:rsidR="008F4076" w:rsidRPr="008F4076" w:rsidRDefault="008F4076" w:rsidP="001E33F9">
            <w:pPr>
              <w:pStyle w:val="Tableformat"/>
              <w:numPr>
                <w:ilvl w:val="0"/>
                <w:numId w:val="19"/>
              </w:numPr>
              <w:rPr>
                <w:color w:val="auto"/>
              </w:rPr>
            </w:pPr>
            <w:r w:rsidRPr="008F4076">
              <w:rPr>
                <w:color w:val="auto"/>
              </w:rPr>
              <w:t>0.75 per cent of the total cost of vaccines purchases, to be divided equally amongst</w:t>
            </w:r>
            <w:r>
              <w:rPr>
                <w:color w:val="auto"/>
              </w:rPr>
              <w:t xml:space="preserve"> </w:t>
            </w:r>
            <w:r w:rsidRPr="008F4076">
              <w:rPr>
                <w:color w:val="auto"/>
              </w:rPr>
              <w:t xml:space="preserve">the States, </w:t>
            </w:r>
            <w:r w:rsidR="00662732">
              <w:rPr>
                <w:color w:val="auto"/>
              </w:rPr>
              <w:t>for</w:t>
            </w:r>
            <w:r w:rsidRPr="008F4076">
              <w:rPr>
                <w:color w:val="auto"/>
              </w:rPr>
              <w:t xml:space="preserve"> the</w:t>
            </w:r>
            <w:r w:rsidR="00662732">
              <w:rPr>
                <w:color w:val="auto"/>
              </w:rPr>
              <w:t xml:space="preserve"> Schedule’s</w:t>
            </w:r>
            <w:r w:rsidRPr="008F4076">
              <w:rPr>
                <w:color w:val="auto"/>
              </w:rPr>
              <w:t xml:space="preserve"> milestone.</w:t>
            </w:r>
          </w:p>
          <w:p w14:paraId="679D8AD4" w14:textId="703F741C" w:rsidR="00883820" w:rsidRPr="008F4076" w:rsidRDefault="008F4076" w:rsidP="00337346">
            <w:pPr>
              <w:pStyle w:val="Tableformat"/>
              <w:rPr>
                <w:color w:val="auto"/>
              </w:rPr>
            </w:pPr>
            <w:r w:rsidRPr="008F4076">
              <w:rPr>
                <w:color w:val="auto"/>
              </w:rPr>
              <w:t>Payments will be made annually for each performance benchmark and milestone where</w:t>
            </w:r>
            <w:r>
              <w:rPr>
                <w:color w:val="auto"/>
              </w:rPr>
              <w:t xml:space="preserve"> a performance report demonstrates that a performance benchmark or milestone has been met.</w:t>
            </w:r>
            <w:r w:rsidR="0069789C">
              <w:rPr>
                <w:color w:val="auto"/>
              </w:rPr>
              <w:t xml:space="preserve"> All payments are exclusive of GST.</w:t>
            </w:r>
          </w:p>
        </w:tc>
      </w:tr>
      <w:tr w:rsidR="001E33F9" w:rsidRPr="00F00A18" w14:paraId="66CFE21E" w14:textId="77777777" w:rsidTr="0041571E">
        <w:tc>
          <w:tcPr>
            <w:tcW w:w="1833" w:type="dxa"/>
            <w:shd w:val="clear" w:color="auto" w:fill="auto"/>
          </w:tcPr>
          <w:p w14:paraId="33C84773" w14:textId="04C4AB4D" w:rsidR="001E33F9" w:rsidRDefault="001E33F9" w:rsidP="001E33F9">
            <w:pPr>
              <w:pStyle w:val="Tableformat"/>
              <w:rPr>
                <w:color w:val="auto"/>
              </w:rPr>
            </w:pPr>
            <w:r>
              <w:rPr>
                <w:color w:val="auto"/>
              </w:rPr>
              <w:lastRenderedPageBreak/>
              <w:t>Roles and responsibilities of each Party</w:t>
            </w:r>
          </w:p>
        </w:tc>
        <w:tc>
          <w:tcPr>
            <w:tcW w:w="7796" w:type="dxa"/>
            <w:shd w:val="clear" w:color="auto" w:fill="auto"/>
          </w:tcPr>
          <w:p w14:paraId="1949A83E" w14:textId="77777777" w:rsidR="001E33F9" w:rsidRPr="00685932" w:rsidRDefault="001E33F9" w:rsidP="00685932">
            <w:pPr>
              <w:pStyle w:val="Heading2"/>
              <w:keepNext w:val="0"/>
              <w:spacing w:before="120" w:after="240"/>
              <w:rPr>
                <w:rFonts w:ascii="Corbel" w:hAnsi="Corbel" w:cstheme="minorHAnsi"/>
                <w:b/>
                <w:color w:val="44546A" w:themeColor="text2"/>
              </w:rPr>
            </w:pPr>
            <w:r w:rsidRPr="00685932">
              <w:rPr>
                <w:rFonts w:ascii="Corbel" w:hAnsi="Corbel" w:cstheme="minorHAnsi"/>
                <w:b/>
                <w:color w:val="44546A" w:themeColor="text2"/>
              </w:rPr>
              <w:t>Role of the Commonwealth</w:t>
            </w:r>
          </w:p>
          <w:p w14:paraId="39C81669" w14:textId="596FE4D2" w:rsidR="001E33F9" w:rsidRPr="001E33F9" w:rsidRDefault="001E33F9" w:rsidP="001E33F9">
            <w:pPr>
              <w:pStyle w:val="Tableformat"/>
              <w:rPr>
                <w:color w:val="auto"/>
              </w:rPr>
            </w:pPr>
            <w:r w:rsidRPr="001E33F9">
              <w:rPr>
                <w:color w:val="auto"/>
              </w:rPr>
              <w:t>Under this Schedule, the Commonwealth agrees to be responsible for:</w:t>
            </w:r>
          </w:p>
          <w:p w14:paraId="000DF603" w14:textId="77777777" w:rsidR="001E33F9" w:rsidRPr="001E33F9" w:rsidRDefault="001E33F9" w:rsidP="00552480">
            <w:pPr>
              <w:pStyle w:val="Tableformat"/>
              <w:numPr>
                <w:ilvl w:val="0"/>
                <w:numId w:val="22"/>
              </w:numPr>
              <w:rPr>
                <w:color w:val="auto"/>
              </w:rPr>
            </w:pPr>
            <w:r w:rsidRPr="001E33F9">
              <w:rPr>
                <w:color w:val="auto"/>
              </w:rPr>
              <w:t>supplying vaccines, including:</w:t>
            </w:r>
          </w:p>
          <w:p w14:paraId="32A37282" w14:textId="77777777" w:rsidR="001E33F9" w:rsidRPr="001E33F9" w:rsidRDefault="001E33F9" w:rsidP="00552480">
            <w:pPr>
              <w:pStyle w:val="Tableformat"/>
              <w:numPr>
                <w:ilvl w:val="1"/>
                <w:numId w:val="22"/>
              </w:numPr>
              <w:rPr>
                <w:color w:val="auto"/>
              </w:rPr>
            </w:pPr>
            <w:r w:rsidRPr="001E33F9">
              <w:rPr>
                <w:color w:val="auto"/>
              </w:rPr>
              <w:t>listing vaccines on the NIP;</w:t>
            </w:r>
          </w:p>
          <w:p w14:paraId="436CBF84" w14:textId="77777777" w:rsidR="001E33F9" w:rsidRPr="001E33F9" w:rsidRDefault="001E33F9" w:rsidP="00552480">
            <w:pPr>
              <w:pStyle w:val="Tableformat"/>
              <w:numPr>
                <w:ilvl w:val="1"/>
                <w:numId w:val="22"/>
              </w:numPr>
              <w:rPr>
                <w:color w:val="auto"/>
              </w:rPr>
            </w:pPr>
            <w:r w:rsidRPr="001E33F9">
              <w:rPr>
                <w:color w:val="auto"/>
              </w:rPr>
              <w:t>tendering for the supply of all vaccines on the NIP through Commonwealth Own-Purpose Expenses, including any vaccines added over the life of the Agreement; and</w:t>
            </w:r>
          </w:p>
          <w:p w14:paraId="3DFC0DB6" w14:textId="0164DD2B" w:rsidR="001E33F9" w:rsidRPr="001E33F9" w:rsidRDefault="001E33F9" w:rsidP="00552480">
            <w:pPr>
              <w:pStyle w:val="Tableformat"/>
              <w:numPr>
                <w:ilvl w:val="1"/>
                <w:numId w:val="22"/>
              </w:numPr>
              <w:rPr>
                <w:color w:val="auto"/>
              </w:rPr>
            </w:pPr>
            <w:r w:rsidRPr="001E33F9">
              <w:rPr>
                <w:color w:val="auto"/>
              </w:rPr>
              <w:t>funding and purchasing vaccines for delivery by the States through the NIP.</w:t>
            </w:r>
          </w:p>
          <w:p w14:paraId="158578D1" w14:textId="0DEA32F7" w:rsidR="001E33F9" w:rsidRPr="001E33F9" w:rsidRDefault="001E33F9" w:rsidP="00552480">
            <w:pPr>
              <w:pStyle w:val="Tableformat"/>
              <w:numPr>
                <w:ilvl w:val="0"/>
                <w:numId w:val="22"/>
              </w:numPr>
              <w:rPr>
                <w:color w:val="auto"/>
              </w:rPr>
            </w:pPr>
            <w:r w:rsidRPr="001E33F9">
              <w:rPr>
                <w:color w:val="auto"/>
              </w:rPr>
              <w:t>providing leadership in the development of national consumer and medical professional communication activities; and</w:t>
            </w:r>
          </w:p>
          <w:p w14:paraId="6CB1EC4B" w14:textId="6F447BC3" w:rsidR="001E33F9" w:rsidRPr="001E33F9" w:rsidRDefault="001E33F9" w:rsidP="00552480">
            <w:pPr>
              <w:pStyle w:val="Tableformat"/>
              <w:numPr>
                <w:ilvl w:val="0"/>
                <w:numId w:val="22"/>
              </w:numPr>
              <w:rPr>
                <w:color w:val="auto"/>
              </w:rPr>
            </w:pPr>
            <w:r w:rsidRPr="001E33F9">
              <w:rPr>
                <w:color w:val="auto"/>
              </w:rPr>
              <w:t>coordinati</w:t>
            </w:r>
            <w:r w:rsidR="00347663">
              <w:rPr>
                <w:color w:val="auto"/>
              </w:rPr>
              <w:t>ng</w:t>
            </w:r>
            <w:r w:rsidRPr="001E33F9">
              <w:rPr>
                <w:color w:val="auto"/>
              </w:rPr>
              <w:t xml:space="preserve"> national monitoring and surveillance of adverse events following immunisation.</w:t>
            </w:r>
          </w:p>
          <w:p w14:paraId="6FA233B1" w14:textId="51E308CB" w:rsidR="001E33F9" w:rsidRPr="001E33F9" w:rsidRDefault="001E33F9" w:rsidP="00685932">
            <w:pPr>
              <w:pStyle w:val="Heading2"/>
              <w:keepNext w:val="0"/>
              <w:spacing w:before="360" w:after="240"/>
              <w:rPr>
                <w:rFonts w:ascii="Corbel" w:hAnsi="Corbel" w:cstheme="minorHAnsi"/>
                <w:b/>
              </w:rPr>
            </w:pPr>
            <w:r w:rsidRPr="00685932">
              <w:rPr>
                <w:rFonts w:ascii="Corbel" w:hAnsi="Corbel" w:cstheme="minorHAnsi"/>
                <w:b/>
                <w:color w:val="44546A" w:themeColor="text2"/>
              </w:rPr>
              <w:t xml:space="preserve">Role of the States </w:t>
            </w:r>
          </w:p>
          <w:p w14:paraId="3CA60257" w14:textId="45EC690B" w:rsidR="001E33F9" w:rsidRDefault="001E33F9" w:rsidP="00685932">
            <w:pPr>
              <w:pStyle w:val="Normalnumbered"/>
              <w:tabs>
                <w:tab w:val="clear" w:pos="360"/>
              </w:tabs>
              <w:spacing w:after="0" w:line="240" w:lineRule="auto"/>
              <w:ind w:left="0" w:firstLine="0"/>
              <w:jc w:val="left"/>
              <w:rPr>
                <w:rFonts w:cstheme="minorHAnsi"/>
                <w:sz w:val="26"/>
                <w:szCs w:val="26"/>
              </w:rPr>
            </w:pPr>
            <w:r w:rsidRPr="001E33F9">
              <w:rPr>
                <w:rFonts w:cstheme="minorHAnsi"/>
                <w:sz w:val="26"/>
                <w:szCs w:val="26"/>
              </w:rPr>
              <w:t>Under this Schedule, t</w:t>
            </w:r>
            <w:r w:rsidR="00685932">
              <w:rPr>
                <w:rFonts w:cstheme="minorHAnsi"/>
                <w:sz w:val="26"/>
                <w:szCs w:val="26"/>
              </w:rPr>
              <w:t>he S</w:t>
            </w:r>
            <w:r w:rsidRPr="001E33F9">
              <w:rPr>
                <w:rFonts w:cstheme="minorHAnsi"/>
                <w:sz w:val="26"/>
                <w:szCs w:val="26"/>
              </w:rPr>
              <w:t>tates</w:t>
            </w:r>
            <w:r w:rsidR="00014AAA">
              <w:rPr>
                <w:rFonts w:cstheme="minorHAnsi"/>
                <w:sz w:val="26"/>
                <w:szCs w:val="26"/>
              </w:rPr>
              <w:t xml:space="preserve"> </w:t>
            </w:r>
            <w:r w:rsidR="00685932">
              <w:rPr>
                <w:rFonts w:cstheme="minorHAnsi"/>
                <w:sz w:val="26"/>
                <w:szCs w:val="26"/>
              </w:rPr>
              <w:t xml:space="preserve">agree to be responsible </w:t>
            </w:r>
            <w:r w:rsidRPr="001E33F9">
              <w:rPr>
                <w:rFonts w:cstheme="minorHAnsi"/>
                <w:sz w:val="26"/>
                <w:szCs w:val="26"/>
              </w:rPr>
              <w:t>for:</w:t>
            </w:r>
          </w:p>
          <w:p w14:paraId="0382B282" w14:textId="4F307FF8" w:rsidR="00014AAA" w:rsidRDefault="00552480" w:rsidP="00552480">
            <w:pPr>
              <w:pStyle w:val="Normalnumbered"/>
              <w:numPr>
                <w:ilvl w:val="0"/>
                <w:numId w:val="22"/>
              </w:numPr>
              <w:spacing w:after="0" w:line="240" w:lineRule="auto"/>
              <w:jc w:val="left"/>
              <w:rPr>
                <w:rFonts w:cstheme="minorHAnsi"/>
                <w:sz w:val="26"/>
                <w:szCs w:val="26"/>
              </w:rPr>
            </w:pPr>
            <w:r>
              <w:rPr>
                <w:rFonts w:cstheme="minorHAnsi"/>
                <w:sz w:val="26"/>
                <w:szCs w:val="26"/>
              </w:rPr>
              <w:t>delivering the NIP, including:</w:t>
            </w:r>
          </w:p>
          <w:p w14:paraId="30745E58" w14:textId="743C5205" w:rsidR="00552480" w:rsidRPr="001E33F9" w:rsidRDefault="00552480" w:rsidP="00552480">
            <w:pPr>
              <w:pStyle w:val="AlphaParagraph"/>
              <w:numPr>
                <w:ilvl w:val="1"/>
                <w:numId w:val="22"/>
              </w:numPr>
              <w:tabs>
                <w:tab w:val="clear" w:pos="567"/>
                <w:tab w:val="clear" w:pos="1134"/>
              </w:tabs>
              <w:spacing w:after="0" w:line="240" w:lineRule="auto"/>
              <w:jc w:val="left"/>
              <w:rPr>
                <w:rFonts w:cstheme="minorHAnsi"/>
                <w:sz w:val="26"/>
                <w:szCs w:val="26"/>
              </w:rPr>
            </w:pPr>
            <w:r w:rsidRPr="001E33F9">
              <w:rPr>
                <w:rFonts w:cstheme="minorHAnsi"/>
                <w:sz w:val="26"/>
                <w:szCs w:val="26"/>
              </w:rPr>
              <w:t>ordering vaccines from the contracted suppliers</w:t>
            </w:r>
            <w:r w:rsidR="001A722C">
              <w:rPr>
                <w:rFonts w:cstheme="minorHAnsi"/>
                <w:sz w:val="26"/>
                <w:szCs w:val="26"/>
              </w:rPr>
              <w:t xml:space="preserve"> </w:t>
            </w:r>
            <w:r w:rsidR="001A722C" w:rsidRPr="003F56E3">
              <w:rPr>
                <w:rFonts w:cstheme="minorHAnsi"/>
                <w:sz w:val="26"/>
                <w:szCs w:val="26"/>
              </w:rPr>
              <w:t>[facilitated through use of the</w:t>
            </w:r>
            <w:r w:rsidR="008E4B14">
              <w:rPr>
                <w:rFonts w:cstheme="minorHAnsi"/>
                <w:sz w:val="26"/>
                <w:szCs w:val="26"/>
              </w:rPr>
              <w:t xml:space="preserve"> NIP</w:t>
            </w:r>
            <w:r w:rsidR="001A722C" w:rsidRPr="003F56E3">
              <w:rPr>
                <w:rFonts w:cstheme="minorHAnsi"/>
                <w:sz w:val="26"/>
                <w:szCs w:val="26"/>
              </w:rPr>
              <w:t xml:space="preserve"> Vaccine Administrati</w:t>
            </w:r>
            <w:r w:rsidR="008E4B14">
              <w:rPr>
                <w:rFonts w:cstheme="minorHAnsi"/>
                <w:sz w:val="26"/>
                <w:szCs w:val="26"/>
              </w:rPr>
              <w:t>ve</w:t>
            </w:r>
            <w:r w:rsidR="001A722C" w:rsidRPr="003F56E3">
              <w:rPr>
                <w:rFonts w:cstheme="minorHAnsi"/>
                <w:sz w:val="26"/>
                <w:szCs w:val="26"/>
              </w:rPr>
              <w:t xml:space="preserve"> System (VAS)</w:t>
            </w:r>
            <w:proofErr w:type="gramStart"/>
            <w:r w:rsidR="001A722C" w:rsidRPr="003F56E3">
              <w:rPr>
                <w:rFonts w:cstheme="minorHAnsi"/>
                <w:sz w:val="26"/>
                <w:szCs w:val="26"/>
              </w:rPr>
              <w:t>];</w:t>
            </w:r>
            <w:proofErr w:type="gramEnd"/>
          </w:p>
          <w:p w14:paraId="7B542B32" w14:textId="77777777" w:rsidR="00552480" w:rsidRPr="001E33F9" w:rsidRDefault="00552480" w:rsidP="00552480">
            <w:pPr>
              <w:pStyle w:val="AlphaParagraph"/>
              <w:numPr>
                <w:ilvl w:val="1"/>
                <w:numId w:val="22"/>
              </w:numPr>
              <w:tabs>
                <w:tab w:val="clear" w:pos="567"/>
                <w:tab w:val="clear" w:pos="1134"/>
              </w:tabs>
              <w:spacing w:after="0" w:line="240" w:lineRule="auto"/>
              <w:jc w:val="left"/>
              <w:rPr>
                <w:rFonts w:cstheme="minorHAnsi"/>
                <w:sz w:val="26"/>
                <w:szCs w:val="26"/>
              </w:rPr>
            </w:pPr>
            <w:r w:rsidRPr="001E33F9">
              <w:rPr>
                <w:rFonts w:cstheme="minorHAnsi"/>
                <w:sz w:val="26"/>
                <w:szCs w:val="26"/>
              </w:rPr>
              <w:t>delivering vaccines to immunisation providers in accordance with guidelines on vaccine safety and cold chain management;</w:t>
            </w:r>
          </w:p>
          <w:p w14:paraId="670A21D3" w14:textId="77777777" w:rsidR="00552480" w:rsidRPr="001E33F9" w:rsidRDefault="00552480" w:rsidP="00552480">
            <w:pPr>
              <w:pStyle w:val="AlphaParagraph"/>
              <w:numPr>
                <w:ilvl w:val="1"/>
                <w:numId w:val="22"/>
              </w:numPr>
              <w:tabs>
                <w:tab w:val="clear" w:pos="567"/>
                <w:tab w:val="clear" w:pos="1134"/>
              </w:tabs>
              <w:spacing w:after="0" w:line="240" w:lineRule="auto"/>
              <w:jc w:val="left"/>
              <w:rPr>
                <w:rFonts w:cstheme="minorHAnsi"/>
                <w:sz w:val="26"/>
                <w:szCs w:val="26"/>
              </w:rPr>
            </w:pPr>
            <w:r w:rsidRPr="001E33F9">
              <w:rPr>
                <w:rFonts w:cstheme="minorHAnsi"/>
                <w:sz w:val="26"/>
                <w:szCs w:val="26"/>
              </w:rPr>
              <w:t>promptly notifying the Commonwealth of substantial or unavoidable situations relating to the volume and supply of vaccines;</w:t>
            </w:r>
          </w:p>
          <w:p w14:paraId="0AC0793E" w14:textId="1FFE22F7" w:rsidR="00552480" w:rsidRPr="001E33F9" w:rsidRDefault="00552480" w:rsidP="00552480">
            <w:pPr>
              <w:pStyle w:val="AlphaParagraph"/>
              <w:numPr>
                <w:ilvl w:val="1"/>
                <w:numId w:val="22"/>
              </w:numPr>
              <w:tabs>
                <w:tab w:val="clear" w:pos="567"/>
                <w:tab w:val="clear" w:pos="1134"/>
              </w:tabs>
              <w:spacing w:after="0" w:line="240" w:lineRule="auto"/>
              <w:jc w:val="left"/>
              <w:rPr>
                <w:rFonts w:cstheme="minorHAnsi"/>
                <w:sz w:val="26"/>
                <w:szCs w:val="26"/>
              </w:rPr>
            </w:pPr>
            <w:r w:rsidRPr="001E33F9">
              <w:rPr>
                <w:rFonts w:cstheme="minorHAnsi"/>
                <w:sz w:val="26"/>
                <w:szCs w:val="26"/>
              </w:rPr>
              <w:t xml:space="preserve">all necessary </w:t>
            </w:r>
            <w:r>
              <w:rPr>
                <w:rFonts w:cstheme="minorHAnsi"/>
                <w:sz w:val="26"/>
                <w:szCs w:val="26"/>
              </w:rPr>
              <w:t>actions set out in</w:t>
            </w:r>
            <w:r w:rsidRPr="001E33F9">
              <w:rPr>
                <w:rFonts w:cstheme="minorHAnsi"/>
                <w:sz w:val="26"/>
                <w:szCs w:val="26"/>
              </w:rPr>
              <w:t xml:space="preserve"> vaccine supply deeds; and</w:t>
            </w:r>
          </w:p>
          <w:p w14:paraId="14F7EDFB" w14:textId="05F42D7C" w:rsidR="00552480" w:rsidRPr="001E33F9" w:rsidRDefault="00552480" w:rsidP="00552480">
            <w:pPr>
              <w:pStyle w:val="AlphaParagraph"/>
              <w:numPr>
                <w:ilvl w:val="1"/>
                <w:numId w:val="22"/>
              </w:numPr>
              <w:tabs>
                <w:tab w:val="clear" w:pos="567"/>
                <w:tab w:val="clear" w:pos="1134"/>
              </w:tabs>
              <w:spacing w:after="0" w:line="240" w:lineRule="auto"/>
              <w:jc w:val="left"/>
              <w:rPr>
                <w:rStyle w:val="IntenseReference"/>
                <w:rFonts w:cstheme="minorHAnsi"/>
                <w:b w:val="0"/>
                <w:bCs w:val="0"/>
                <w:i w:val="0"/>
                <w:smallCaps w:val="0"/>
                <w:color w:val="auto"/>
                <w:sz w:val="26"/>
                <w:szCs w:val="26"/>
                <w:lang w:eastAsia="ja-JP"/>
              </w:rPr>
            </w:pPr>
            <w:r w:rsidRPr="001E33F9">
              <w:rPr>
                <w:rFonts w:cstheme="minorHAnsi"/>
                <w:sz w:val="26"/>
                <w:szCs w:val="26"/>
              </w:rPr>
              <w:t>delivering</w:t>
            </w:r>
            <w:r>
              <w:rPr>
                <w:rFonts w:cstheme="minorHAnsi"/>
                <w:sz w:val="26"/>
                <w:szCs w:val="26"/>
              </w:rPr>
              <w:t xml:space="preserve"> school immunisation progra</w:t>
            </w:r>
            <w:r w:rsidR="006F0FDD">
              <w:rPr>
                <w:rFonts w:cstheme="minorHAnsi"/>
                <w:sz w:val="26"/>
                <w:szCs w:val="26"/>
              </w:rPr>
              <w:t>ms.</w:t>
            </w:r>
          </w:p>
          <w:p w14:paraId="2D719CCC" w14:textId="5D18325B" w:rsidR="00552480" w:rsidRDefault="00552480" w:rsidP="00552480">
            <w:pPr>
              <w:pStyle w:val="Normalnumbered"/>
              <w:numPr>
                <w:ilvl w:val="0"/>
                <w:numId w:val="22"/>
              </w:numPr>
              <w:spacing w:after="0" w:line="240" w:lineRule="auto"/>
              <w:jc w:val="left"/>
              <w:rPr>
                <w:rFonts w:cstheme="minorHAnsi"/>
                <w:sz w:val="26"/>
                <w:szCs w:val="26"/>
              </w:rPr>
            </w:pPr>
            <w:r>
              <w:rPr>
                <w:rFonts w:cstheme="minorHAnsi"/>
                <w:sz w:val="26"/>
                <w:szCs w:val="26"/>
              </w:rPr>
              <w:t>assisting the Commonwealth with procurement of vaccines to be supplied under the NIP, including:</w:t>
            </w:r>
          </w:p>
          <w:p w14:paraId="04C2DCD8" w14:textId="77777777" w:rsidR="00552480" w:rsidRPr="001E33F9" w:rsidRDefault="00552480" w:rsidP="00552480">
            <w:pPr>
              <w:pStyle w:val="AlphaParagraph"/>
              <w:numPr>
                <w:ilvl w:val="1"/>
                <w:numId w:val="22"/>
              </w:numPr>
              <w:tabs>
                <w:tab w:val="clear" w:pos="567"/>
                <w:tab w:val="clear" w:pos="1134"/>
              </w:tabs>
              <w:spacing w:after="0" w:line="240" w:lineRule="auto"/>
              <w:jc w:val="left"/>
              <w:rPr>
                <w:rFonts w:cstheme="minorHAnsi"/>
                <w:sz w:val="26"/>
                <w:szCs w:val="26"/>
              </w:rPr>
            </w:pPr>
            <w:r w:rsidRPr="001E33F9">
              <w:rPr>
                <w:rFonts w:cstheme="minorHAnsi"/>
                <w:sz w:val="26"/>
                <w:szCs w:val="26"/>
              </w:rPr>
              <w:t>providing advice on tender documentation;</w:t>
            </w:r>
          </w:p>
          <w:p w14:paraId="429EEC1D" w14:textId="3520AFFD" w:rsidR="00552480" w:rsidRPr="00913DEF" w:rsidRDefault="00552480" w:rsidP="00552480">
            <w:pPr>
              <w:pStyle w:val="AlphaParagraph"/>
              <w:numPr>
                <w:ilvl w:val="1"/>
                <w:numId w:val="22"/>
              </w:numPr>
              <w:tabs>
                <w:tab w:val="clear" w:pos="567"/>
                <w:tab w:val="clear" w:pos="1134"/>
              </w:tabs>
              <w:spacing w:after="0" w:line="240" w:lineRule="auto"/>
              <w:jc w:val="left"/>
              <w:rPr>
                <w:rFonts w:cstheme="minorHAnsi"/>
                <w:sz w:val="26"/>
                <w:szCs w:val="26"/>
              </w:rPr>
            </w:pPr>
            <w:r w:rsidRPr="001E33F9">
              <w:rPr>
                <w:rFonts w:cstheme="minorHAnsi"/>
                <w:sz w:val="26"/>
                <w:szCs w:val="26"/>
              </w:rPr>
              <w:t xml:space="preserve">participating </w:t>
            </w:r>
            <w:r>
              <w:rPr>
                <w:rFonts w:cstheme="minorHAnsi"/>
                <w:sz w:val="26"/>
                <w:szCs w:val="26"/>
              </w:rPr>
              <w:t>in</w:t>
            </w:r>
            <w:r w:rsidRPr="001E33F9">
              <w:rPr>
                <w:rFonts w:cstheme="minorHAnsi"/>
                <w:sz w:val="26"/>
                <w:szCs w:val="26"/>
              </w:rPr>
              <w:t xml:space="preserve"> tender panels and procurement </w:t>
            </w:r>
            <w:r w:rsidRPr="00913DEF">
              <w:rPr>
                <w:rFonts w:cstheme="minorHAnsi"/>
                <w:sz w:val="26"/>
                <w:szCs w:val="26"/>
              </w:rPr>
              <w:t>processes; and</w:t>
            </w:r>
          </w:p>
          <w:p w14:paraId="04440C1B" w14:textId="01EE3FBB" w:rsidR="00552480" w:rsidRPr="00913DEF" w:rsidRDefault="00552480" w:rsidP="00552480">
            <w:pPr>
              <w:pStyle w:val="AlphaParagraph"/>
              <w:numPr>
                <w:ilvl w:val="1"/>
                <w:numId w:val="22"/>
              </w:numPr>
              <w:tabs>
                <w:tab w:val="clear" w:pos="567"/>
                <w:tab w:val="clear" w:pos="1134"/>
              </w:tabs>
              <w:spacing w:after="0" w:line="240" w:lineRule="auto"/>
              <w:jc w:val="left"/>
              <w:rPr>
                <w:rFonts w:cstheme="minorHAnsi"/>
                <w:sz w:val="26"/>
                <w:szCs w:val="26"/>
              </w:rPr>
            </w:pPr>
            <w:r w:rsidRPr="00913DEF">
              <w:rPr>
                <w:rFonts w:cstheme="minorHAnsi"/>
                <w:sz w:val="26"/>
                <w:szCs w:val="26"/>
              </w:rPr>
              <w:t>providing accurate forecasts of required volumes</w:t>
            </w:r>
            <w:r w:rsidR="00913DEF" w:rsidRPr="00913DEF">
              <w:rPr>
                <w:rFonts w:cstheme="minorHAnsi"/>
                <w:sz w:val="26"/>
                <w:szCs w:val="26"/>
              </w:rPr>
              <w:t xml:space="preserve"> of vaccines listed on the NIP</w:t>
            </w:r>
            <w:r w:rsidRPr="00913DEF">
              <w:rPr>
                <w:rFonts w:cstheme="minorHAnsi"/>
                <w:sz w:val="26"/>
                <w:szCs w:val="26"/>
              </w:rPr>
              <w:t>, including sto</w:t>
            </w:r>
            <w:r w:rsidR="00913DEF" w:rsidRPr="00913DEF">
              <w:rPr>
                <w:rFonts w:cstheme="minorHAnsi"/>
                <w:sz w:val="26"/>
                <w:szCs w:val="26"/>
              </w:rPr>
              <w:t xml:space="preserve">ck on hand and doses distributed. </w:t>
            </w:r>
            <w:r w:rsidR="00913DEF">
              <w:rPr>
                <w:rFonts w:cstheme="minorHAnsi"/>
                <w:sz w:val="26"/>
                <w:szCs w:val="26"/>
              </w:rPr>
              <w:t>T</w:t>
            </w:r>
            <w:r w:rsidR="00913DEF" w:rsidRPr="00913DEF">
              <w:rPr>
                <w:rFonts w:cstheme="minorHAnsi"/>
                <w:sz w:val="26"/>
                <w:szCs w:val="26"/>
              </w:rPr>
              <w:t>his includes</w:t>
            </w:r>
            <w:r w:rsidR="001A722C">
              <w:rPr>
                <w:rFonts w:cstheme="minorHAnsi"/>
                <w:sz w:val="26"/>
                <w:szCs w:val="26"/>
              </w:rPr>
              <w:t xml:space="preserve"> providing</w:t>
            </w:r>
            <w:r w:rsidR="00913DEF" w:rsidRPr="00913DEF">
              <w:rPr>
                <w:rFonts w:cstheme="minorHAnsi"/>
                <w:sz w:val="26"/>
                <w:szCs w:val="26"/>
              </w:rPr>
              <w:t>:</w:t>
            </w:r>
          </w:p>
          <w:p w14:paraId="024E5148" w14:textId="36A56067" w:rsidR="001A722C" w:rsidRPr="003F56E3" w:rsidRDefault="001A722C" w:rsidP="001A722C">
            <w:pPr>
              <w:pStyle w:val="AlphaParagraph"/>
              <w:numPr>
                <w:ilvl w:val="2"/>
                <w:numId w:val="22"/>
              </w:numPr>
              <w:tabs>
                <w:tab w:val="clear" w:pos="567"/>
                <w:tab w:val="clear" w:pos="1134"/>
              </w:tabs>
              <w:spacing w:after="0" w:line="240" w:lineRule="auto"/>
              <w:jc w:val="left"/>
              <w:rPr>
                <w:rFonts w:cstheme="minorHAnsi"/>
                <w:sz w:val="26"/>
                <w:szCs w:val="26"/>
              </w:rPr>
            </w:pPr>
            <w:r>
              <w:rPr>
                <w:color w:val="auto"/>
                <w:sz w:val="26"/>
                <w:szCs w:val="26"/>
              </w:rPr>
              <w:t>q</w:t>
            </w:r>
            <w:r w:rsidRPr="003F56E3">
              <w:rPr>
                <w:color w:val="auto"/>
                <w:sz w:val="26"/>
                <w:szCs w:val="26"/>
              </w:rPr>
              <w:t>uarterly updates in the VAS to an 18-month rolling Forecast of vaccine requirements.</w:t>
            </w:r>
          </w:p>
          <w:p w14:paraId="1190F354" w14:textId="165F313D" w:rsidR="001A722C" w:rsidRPr="003F56E3" w:rsidRDefault="001A722C" w:rsidP="001A722C">
            <w:pPr>
              <w:pStyle w:val="AlphaParagraph"/>
              <w:numPr>
                <w:ilvl w:val="2"/>
                <w:numId w:val="22"/>
              </w:numPr>
              <w:tabs>
                <w:tab w:val="clear" w:pos="567"/>
                <w:tab w:val="clear" w:pos="1134"/>
              </w:tabs>
              <w:spacing w:after="0" w:line="240" w:lineRule="auto"/>
              <w:jc w:val="left"/>
              <w:rPr>
                <w:rFonts w:cstheme="minorHAnsi"/>
                <w:sz w:val="26"/>
                <w:szCs w:val="26"/>
              </w:rPr>
            </w:pPr>
            <w:r>
              <w:rPr>
                <w:rFonts w:cstheme="minorHAnsi"/>
                <w:sz w:val="26"/>
                <w:szCs w:val="26"/>
              </w:rPr>
              <w:t>m</w:t>
            </w:r>
            <w:r w:rsidRPr="003F56E3">
              <w:rPr>
                <w:rFonts w:cstheme="minorHAnsi"/>
                <w:sz w:val="26"/>
                <w:szCs w:val="26"/>
              </w:rPr>
              <w:t>onthly Stock on Hand updates in the VAS of vaccines remaining in storage</w:t>
            </w:r>
            <w:r>
              <w:rPr>
                <w:rFonts w:cstheme="minorHAnsi"/>
                <w:sz w:val="26"/>
                <w:szCs w:val="26"/>
              </w:rPr>
              <w:t>.</w:t>
            </w:r>
          </w:p>
          <w:p w14:paraId="53D96E49" w14:textId="3EA04A44" w:rsidR="00552480" w:rsidRPr="00552480" w:rsidRDefault="00552480" w:rsidP="00552480">
            <w:pPr>
              <w:pStyle w:val="Normalnumbered"/>
              <w:numPr>
                <w:ilvl w:val="0"/>
                <w:numId w:val="22"/>
              </w:numPr>
              <w:spacing w:after="0" w:line="240" w:lineRule="auto"/>
              <w:jc w:val="left"/>
              <w:rPr>
                <w:rFonts w:cstheme="minorHAnsi"/>
                <w:sz w:val="26"/>
                <w:szCs w:val="26"/>
              </w:rPr>
            </w:pPr>
            <w:r>
              <w:rPr>
                <w:rFonts w:cstheme="minorHAnsi"/>
                <w:sz w:val="26"/>
                <w:szCs w:val="26"/>
              </w:rPr>
              <w:lastRenderedPageBreak/>
              <w:t xml:space="preserve">supporting individuals’ access to immunisation services for immunisations covered under the </w:t>
            </w:r>
            <w:proofErr w:type="gramStart"/>
            <w:r>
              <w:rPr>
                <w:rFonts w:cstheme="minorHAnsi"/>
                <w:sz w:val="26"/>
                <w:szCs w:val="26"/>
              </w:rPr>
              <w:t>NIP;</w:t>
            </w:r>
            <w:proofErr w:type="gramEnd"/>
          </w:p>
          <w:p w14:paraId="2A0A3EDC" w14:textId="0B683D80" w:rsidR="00552480" w:rsidRDefault="00552480" w:rsidP="00552480">
            <w:pPr>
              <w:pStyle w:val="Normalnumbered"/>
              <w:numPr>
                <w:ilvl w:val="0"/>
                <w:numId w:val="22"/>
              </w:numPr>
              <w:spacing w:after="0" w:line="240" w:lineRule="auto"/>
              <w:jc w:val="left"/>
              <w:rPr>
                <w:rFonts w:cstheme="minorHAnsi"/>
                <w:sz w:val="26"/>
                <w:szCs w:val="26"/>
              </w:rPr>
            </w:pPr>
            <w:r>
              <w:rPr>
                <w:rFonts w:cstheme="minorHAnsi"/>
                <w:sz w:val="26"/>
                <w:szCs w:val="26"/>
              </w:rPr>
              <w:t>monitoring, minimising and reporting on vaccine wastage and leakage and promptly notifying the Commonwealth of any substantial and unavoidable changes in levels of vaccine wastage and leakage; and</w:t>
            </w:r>
          </w:p>
          <w:p w14:paraId="591B6247" w14:textId="77777777" w:rsidR="001E33F9" w:rsidRDefault="00552480" w:rsidP="00685932">
            <w:pPr>
              <w:pStyle w:val="Normalnumbered"/>
              <w:numPr>
                <w:ilvl w:val="0"/>
                <w:numId w:val="22"/>
              </w:numPr>
              <w:spacing w:after="0" w:line="240" w:lineRule="auto"/>
              <w:jc w:val="left"/>
              <w:rPr>
                <w:color w:val="auto"/>
                <w:sz w:val="26"/>
                <w:szCs w:val="26"/>
              </w:rPr>
            </w:pPr>
            <w:r>
              <w:rPr>
                <w:rFonts w:cstheme="minorHAnsi"/>
                <w:sz w:val="26"/>
                <w:szCs w:val="26"/>
              </w:rPr>
              <w:t>coordinating local monitoring and surveillance of adverse events following immunisation and reporting them to the Commonwealth.</w:t>
            </w:r>
            <w:r w:rsidR="00685932" w:rsidRPr="001E33F9">
              <w:rPr>
                <w:color w:val="auto"/>
                <w:sz w:val="26"/>
                <w:szCs w:val="26"/>
              </w:rPr>
              <w:t xml:space="preserve"> </w:t>
            </w:r>
          </w:p>
          <w:p w14:paraId="2524ACB3" w14:textId="667EE693" w:rsidR="00484923" w:rsidRDefault="00484923" w:rsidP="00913DEF">
            <w:pPr>
              <w:pStyle w:val="Normalnumbered"/>
              <w:tabs>
                <w:tab w:val="clear" w:pos="360"/>
              </w:tabs>
              <w:spacing w:after="0" w:line="240" w:lineRule="auto"/>
              <w:ind w:left="0" w:firstLine="0"/>
              <w:jc w:val="left"/>
              <w:rPr>
                <w:color w:val="auto"/>
                <w:sz w:val="26"/>
                <w:szCs w:val="26"/>
              </w:rPr>
            </w:pPr>
          </w:p>
          <w:p w14:paraId="2569CC50" w14:textId="15E32808" w:rsidR="005C3846" w:rsidRPr="001E33F9" w:rsidRDefault="0002594D" w:rsidP="0002594D">
            <w:pPr>
              <w:pStyle w:val="Normalnumbered"/>
              <w:tabs>
                <w:tab w:val="clear" w:pos="360"/>
              </w:tabs>
              <w:spacing w:after="0" w:line="240" w:lineRule="auto"/>
              <w:ind w:left="0" w:firstLine="0"/>
              <w:jc w:val="left"/>
              <w:rPr>
                <w:color w:val="auto"/>
                <w:sz w:val="26"/>
                <w:szCs w:val="26"/>
              </w:rPr>
            </w:pPr>
            <w:r>
              <w:rPr>
                <w:color w:val="auto"/>
                <w:sz w:val="26"/>
                <w:szCs w:val="26"/>
              </w:rPr>
              <w:t xml:space="preserve">Refer to </w:t>
            </w:r>
            <w:r w:rsidRPr="0002594D">
              <w:rPr>
                <w:b/>
                <w:color w:val="auto"/>
                <w:sz w:val="26"/>
                <w:szCs w:val="26"/>
              </w:rPr>
              <w:t>Table 2</w:t>
            </w:r>
            <w:r>
              <w:rPr>
                <w:color w:val="auto"/>
                <w:sz w:val="26"/>
                <w:szCs w:val="26"/>
              </w:rPr>
              <w:t xml:space="preserve"> for f</w:t>
            </w:r>
            <w:r w:rsidR="005C3846">
              <w:rPr>
                <w:color w:val="auto"/>
                <w:sz w:val="26"/>
                <w:szCs w:val="26"/>
              </w:rPr>
              <w:t xml:space="preserve">urther detail on arrangements for </w:t>
            </w:r>
            <w:r>
              <w:rPr>
                <w:color w:val="auto"/>
                <w:sz w:val="26"/>
                <w:szCs w:val="26"/>
              </w:rPr>
              <w:t>implementing the NIP.</w:t>
            </w:r>
          </w:p>
        </w:tc>
      </w:tr>
      <w:tr w:rsidR="00C240A2" w:rsidRPr="00F00A18" w14:paraId="7D4DDD8B" w14:textId="77777777" w:rsidTr="0041571E">
        <w:tc>
          <w:tcPr>
            <w:tcW w:w="1833" w:type="dxa"/>
            <w:shd w:val="clear" w:color="auto" w:fill="auto"/>
          </w:tcPr>
          <w:p w14:paraId="2774B7B1" w14:textId="500E4274" w:rsidR="00C240A2" w:rsidRDefault="00C240A2" w:rsidP="001E33F9">
            <w:pPr>
              <w:pStyle w:val="Tableformat"/>
              <w:rPr>
                <w:color w:val="auto"/>
              </w:rPr>
            </w:pPr>
            <w:r>
              <w:rPr>
                <w:color w:val="auto"/>
              </w:rPr>
              <w:lastRenderedPageBreak/>
              <w:t>Australian Immunisation Register</w:t>
            </w:r>
          </w:p>
        </w:tc>
        <w:tc>
          <w:tcPr>
            <w:tcW w:w="7796" w:type="dxa"/>
            <w:shd w:val="clear" w:color="auto" w:fill="auto"/>
          </w:tcPr>
          <w:p w14:paraId="49278B11" w14:textId="05CD1C42" w:rsidR="00C240A2" w:rsidRPr="00AA1B49" w:rsidRDefault="00C240A2" w:rsidP="00C240A2">
            <w:pPr>
              <w:pStyle w:val="Normalnumbered"/>
              <w:tabs>
                <w:tab w:val="clear" w:pos="360"/>
              </w:tabs>
              <w:spacing w:after="0" w:line="240" w:lineRule="auto"/>
              <w:ind w:left="32" w:firstLine="0"/>
              <w:jc w:val="left"/>
              <w:rPr>
                <w:rFonts w:cstheme="minorHAnsi"/>
                <w:color w:val="auto"/>
                <w:sz w:val="26"/>
                <w:szCs w:val="26"/>
              </w:rPr>
            </w:pPr>
            <w:r w:rsidRPr="00C240A2">
              <w:rPr>
                <w:rFonts w:cstheme="minorHAnsi"/>
                <w:sz w:val="26"/>
                <w:szCs w:val="26"/>
              </w:rPr>
              <w:t>The Australian Immunisation Register (AIR) is a national register that records vaccinations gi</w:t>
            </w:r>
            <w:r w:rsidRPr="00AA1B49">
              <w:rPr>
                <w:rFonts w:cstheme="minorHAnsi"/>
                <w:color w:val="auto"/>
                <w:sz w:val="26"/>
                <w:szCs w:val="26"/>
              </w:rPr>
              <w:t>ven to p</w:t>
            </w:r>
            <w:r w:rsidR="007A7460" w:rsidRPr="00AA1B49">
              <w:rPr>
                <w:rFonts w:cstheme="minorHAnsi"/>
                <w:color w:val="auto"/>
                <w:sz w:val="26"/>
                <w:szCs w:val="26"/>
              </w:rPr>
              <w:t xml:space="preserve">eople of all ages in Australia in accordance with the </w:t>
            </w:r>
            <w:r w:rsidR="007A7460" w:rsidRPr="00AA1B49">
              <w:rPr>
                <w:rFonts w:cstheme="minorHAnsi"/>
                <w:i/>
                <w:color w:val="auto"/>
                <w:sz w:val="26"/>
                <w:szCs w:val="26"/>
              </w:rPr>
              <w:t>Privacy Act 1988</w:t>
            </w:r>
            <w:r w:rsidR="007A7460" w:rsidRPr="00AA1B49">
              <w:rPr>
                <w:rFonts w:cstheme="minorHAnsi"/>
                <w:color w:val="auto"/>
                <w:sz w:val="26"/>
                <w:szCs w:val="26"/>
              </w:rPr>
              <w:t xml:space="preserve"> and the </w:t>
            </w:r>
            <w:r w:rsidR="007A7460" w:rsidRPr="00AA1B49">
              <w:rPr>
                <w:rFonts w:cstheme="minorHAnsi"/>
                <w:i/>
                <w:color w:val="auto"/>
                <w:sz w:val="26"/>
                <w:szCs w:val="26"/>
              </w:rPr>
              <w:t>Australian Immunisation Register Act 2015</w:t>
            </w:r>
            <w:r w:rsidR="007A7460" w:rsidRPr="00AA1B49">
              <w:rPr>
                <w:rFonts w:cstheme="minorHAnsi"/>
                <w:color w:val="auto"/>
                <w:sz w:val="26"/>
                <w:szCs w:val="26"/>
              </w:rPr>
              <w:t xml:space="preserve">. </w:t>
            </w:r>
          </w:p>
          <w:p w14:paraId="11E18032" w14:textId="77777777" w:rsidR="00C240A2" w:rsidRDefault="00C240A2" w:rsidP="00C240A2">
            <w:pPr>
              <w:pStyle w:val="Normalnumbered"/>
              <w:tabs>
                <w:tab w:val="clear" w:pos="360"/>
              </w:tabs>
              <w:spacing w:after="0" w:line="240" w:lineRule="auto"/>
              <w:ind w:left="32" w:firstLine="0"/>
              <w:jc w:val="left"/>
              <w:rPr>
                <w:rFonts w:cstheme="minorHAnsi"/>
                <w:sz w:val="26"/>
                <w:szCs w:val="26"/>
              </w:rPr>
            </w:pPr>
          </w:p>
          <w:p w14:paraId="4E184244" w14:textId="4AA7F104" w:rsidR="00C240A2" w:rsidRPr="00C240A2" w:rsidRDefault="00C240A2" w:rsidP="00C240A2">
            <w:pPr>
              <w:pStyle w:val="Normalnumbered"/>
              <w:tabs>
                <w:tab w:val="clear" w:pos="360"/>
              </w:tabs>
              <w:spacing w:after="0" w:line="240" w:lineRule="auto"/>
              <w:ind w:left="32" w:firstLine="0"/>
              <w:jc w:val="left"/>
              <w:rPr>
                <w:rFonts w:cstheme="minorHAnsi"/>
                <w:sz w:val="26"/>
                <w:szCs w:val="26"/>
              </w:rPr>
            </w:pPr>
            <w:r w:rsidRPr="00C240A2">
              <w:rPr>
                <w:rFonts w:cstheme="minorHAnsi"/>
                <w:sz w:val="26"/>
                <w:szCs w:val="26"/>
              </w:rPr>
              <w:t xml:space="preserve">Arrangements for the AIR are subject to separate funding arrangements under the </w:t>
            </w:r>
            <w:r w:rsidRPr="00C240A2">
              <w:rPr>
                <w:rFonts w:cstheme="minorHAnsi"/>
                <w:i/>
                <w:sz w:val="26"/>
                <w:szCs w:val="26"/>
              </w:rPr>
              <w:t>Public Governance, Performance and Accountability Act Determination (Australian Immunisation Register Special Account 2016)</w:t>
            </w:r>
            <w:r w:rsidRPr="00C240A2">
              <w:rPr>
                <w:rFonts w:cstheme="minorHAnsi"/>
                <w:sz w:val="26"/>
                <w:szCs w:val="26"/>
              </w:rPr>
              <w:t xml:space="preserve">. </w:t>
            </w:r>
            <w:r w:rsidR="0002594D">
              <w:rPr>
                <w:rFonts w:cstheme="minorHAnsi"/>
                <w:sz w:val="26"/>
                <w:szCs w:val="26"/>
              </w:rPr>
              <w:t xml:space="preserve">Refer to </w:t>
            </w:r>
            <w:r w:rsidR="00624E87">
              <w:rPr>
                <w:rFonts w:cstheme="minorHAnsi"/>
                <w:b/>
                <w:sz w:val="26"/>
                <w:szCs w:val="26"/>
              </w:rPr>
              <w:t>Table 3</w:t>
            </w:r>
            <w:r w:rsidR="0002594D">
              <w:rPr>
                <w:rFonts w:cstheme="minorHAnsi"/>
                <w:sz w:val="26"/>
                <w:szCs w:val="26"/>
              </w:rPr>
              <w:t xml:space="preserve"> for further detail</w:t>
            </w:r>
            <w:r w:rsidRPr="00C240A2">
              <w:rPr>
                <w:rFonts w:cstheme="minorHAnsi"/>
                <w:sz w:val="26"/>
                <w:szCs w:val="26"/>
              </w:rPr>
              <w:t xml:space="preserve"> on arrangements for each State</w:t>
            </w:r>
            <w:r w:rsidR="0002594D">
              <w:rPr>
                <w:rFonts w:cstheme="minorHAnsi"/>
                <w:sz w:val="26"/>
                <w:szCs w:val="26"/>
              </w:rPr>
              <w:t>.</w:t>
            </w:r>
            <w:r w:rsidRPr="00C240A2">
              <w:rPr>
                <w:rFonts w:cstheme="minorHAnsi"/>
                <w:sz w:val="26"/>
                <w:szCs w:val="26"/>
              </w:rPr>
              <w:t xml:space="preserve"> </w:t>
            </w:r>
          </w:p>
          <w:p w14:paraId="27555D93" w14:textId="77777777" w:rsidR="00C240A2" w:rsidRDefault="00C240A2" w:rsidP="00C240A2">
            <w:pPr>
              <w:pStyle w:val="Normalnumbered"/>
              <w:tabs>
                <w:tab w:val="clear" w:pos="360"/>
              </w:tabs>
              <w:spacing w:after="0" w:line="240" w:lineRule="auto"/>
              <w:ind w:left="32" w:firstLine="0"/>
              <w:jc w:val="left"/>
              <w:rPr>
                <w:rFonts w:cstheme="minorHAnsi"/>
                <w:sz w:val="26"/>
                <w:szCs w:val="26"/>
              </w:rPr>
            </w:pPr>
          </w:p>
          <w:p w14:paraId="13B31AA6" w14:textId="1381E701" w:rsidR="00C240A2" w:rsidRPr="00C240A2" w:rsidRDefault="00C240A2" w:rsidP="00C240A2">
            <w:pPr>
              <w:pStyle w:val="Normalnumbered"/>
              <w:tabs>
                <w:tab w:val="clear" w:pos="360"/>
              </w:tabs>
              <w:spacing w:after="0" w:line="240" w:lineRule="auto"/>
              <w:ind w:left="32" w:firstLine="0"/>
              <w:jc w:val="left"/>
              <w:rPr>
                <w:rFonts w:cstheme="minorHAnsi"/>
                <w:sz w:val="26"/>
                <w:szCs w:val="26"/>
              </w:rPr>
            </w:pPr>
            <w:r w:rsidRPr="00C240A2">
              <w:rPr>
                <w:rFonts w:cstheme="minorHAnsi"/>
                <w:sz w:val="26"/>
                <w:szCs w:val="26"/>
              </w:rPr>
              <w:t xml:space="preserve">In addition to the </w:t>
            </w:r>
            <w:r>
              <w:rPr>
                <w:rFonts w:cstheme="minorHAnsi"/>
                <w:sz w:val="26"/>
                <w:szCs w:val="26"/>
              </w:rPr>
              <w:t>activities</w:t>
            </w:r>
            <w:r w:rsidRPr="00C240A2">
              <w:rPr>
                <w:rFonts w:cstheme="minorHAnsi"/>
                <w:sz w:val="26"/>
                <w:szCs w:val="26"/>
              </w:rPr>
              <w:t xml:space="preserve"> </w:t>
            </w:r>
            <w:r>
              <w:rPr>
                <w:rFonts w:cstheme="minorHAnsi"/>
                <w:sz w:val="26"/>
                <w:szCs w:val="26"/>
              </w:rPr>
              <w:t>at ‘</w:t>
            </w:r>
            <w:r w:rsidRPr="00C240A2">
              <w:rPr>
                <w:rFonts w:cstheme="minorHAnsi"/>
                <w:sz w:val="26"/>
                <w:szCs w:val="26"/>
              </w:rPr>
              <w:t>Roles and responsibilities of each Party’:</w:t>
            </w:r>
          </w:p>
          <w:p w14:paraId="59121404" w14:textId="77777777" w:rsidR="00C240A2" w:rsidRPr="00C240A2" w:rsidRDefault="00C240A2" w:rsidP="00C240A2">
            <w:pPr>
              <w:pStyle w:val="Normalnumbered"/>
              <w:numPr>
                <w:ilvl w:val="0"/>
                <w:numId w:val="25"/>
              </w:numPr>
              <w:spacing w:after="0" w:line="240" w:lineRule="auto"/>
              <w:jc w:val="left"/>
              <w:rPr>
                <w:rFonts w:cstheme="minorHAnsi"/>
                <w:sz w:val="26"/>
                <w:szCs w:val="26"/>
              </w:rPr>
            </w:pPr>
            <w:r w:rsidRPr="00C240A2">
              <w:rPr>
                <w:rFonts w:cstheme="minorHAnsi"/>
                <w:sz w:val="26"/>
                <w:szCs w:val="26"/>
              </w:rPr>
              <w:t>the Commonwealth agrees to be responsible for maintaining the AIR and the data related to vaccines provided, including regular reviews of data transmission to the AIR to support accuracy and improvements to data reporting;</w:t>
            </w:r>
          </w:p>
          <w:p w14:paraId="2596C2C2" w14:textId="77777777" w:rsidR="00C240A2" w:rsidRPr="00C240A2" w:rsidRDefault="00C240A2" w:rsidP="00C240A2">
            <w:pPr>
              <w:pStyle w:val="Normalnumbered"/>
              <w:numPr>
                <w:ilvl w:val="0"/>
                <w:numId w:val="25"/>
              </w:numPr>
              <w:spacing w:after="0" w:line="240" w:lineRule="auto"/>
              <w:jc w:val="left"/>
              <w:rPr>
                <w:rFonts w:cstheme="minorHAnsi"/>
                <w:sz w:val="26"/>
                <w:szCs w:val="26"/>
              </w:rPr>
            </w:pPr>
            <w:r w:rsidRPr="00C240A2">
              <w:rPr>
                <w:rFonts w:cstheme="minorHAnsi"/>
                <w:sz w:val="26"/>
                <w:szCs w:val="26"/>
              </w:rPr>
              <w:t>the States agree to be responsible for providing the agreed data to the AIR and data related to vaccines provided within schools; and</w:t>
            </w:r>
          </w:p>
          <w:p w14:paraId="43B7CD5A" w14:textId="64D539ED" w:rsidR="00C240A2" w:rsidRPr="00C240A2" w:rsidRDefault="00C240A2" w:rsidP="00C240A2">
            <w:pPr>
              <w:pStyle w:val="Normalnumbered"/>
              <w:numPr>
                <w:ilvl w:val="0"/>
                <w:numId w:val="25"/>
              </w:numPr>
              <w:spacing w:after="0" w:line="240" w:lineRule="auto"/>
              <w:jc w:val="left"/>
              <w:rPr>
                <w:rFonts w:cstheme="minorHAnsi"/>
                <w:sz w:val="26"/>
                <w:szCs w:val="26"/>
              </w:rPr>
            </w:pPr>
            <w:r w:rsidRPr="00C240A2">
              <w:rPr>
                <w:rFonts w:cstheme="minorHAnsi"/>
                <w:sz w:val="26"/>
                <w:szCs w:val="26"/>
              </w:rPr>
              <w:t xml:space="preserve">the Commonwealth and States agree to be responsible for financial contributions for notification payments under the AIR (see </w:t>
            </w:r>
            <w:r w:rsidR="00624E87">
              <w:rPr>
                <w:rFonts w:cstheme="minorHAnsi"/>
                <w:b/>
                <w:sz w:val="26"/>
                <w:szCs w:val="26"/>
              </w:rPr>
              <w:t>Table 3</w:t>
            </w:r>
            <w:r w:rsidRPr="00C240A2">
              <w:rPr>
                <w:rFonts w:cstheme="minorHAnsi"/>
                <w:sz w:val="26"/>
                <w:szCs w:val="26"/>
              </w:rPr>
              <w:t>).</w:t>
            </w:r>
          </w:p>
        </w:tc>
      </w:tr>
      <w:tr w:rsidR="00EA63BE" w:rsidRPr="00F00A18" w14:paraId="00A4AD65" w14:textId="77777777" w:rsidTr="0041571E">
        <w:tc>
          <w:tcPr>
            <w:tcW w:w="1833" w:type="dxa"/>
            <w:shd w:val="clear" w:color="auto" w:fill="auto"/>
          </w:tcPr>
          <w:p w14:paraId="1DF9418B" w14:textId="3A0ACF57" w:rsidR="00EA63BE" w:rsidRDefault="00EA63BE" w:rsidP="001E33F9">
            <w:pPr>
              <w:pStyle w:val="Tableformat"/>
              <w:rPr>
                <w:color w:val="auto"/>
              </w:rPr>
            </w:pPr>
            <w:r>
              <w:rPr>
                <w:color w:val="auto"/>
              </w:rPr>
              <w:t>Interpretation</w:t>
            </w:r>
          </w:p>
        </w:tc>
        <w:tc>
          <w:tcPr>
            <w:tcW w:w="7796" w:type="dxa"/>
            <w:shd w:val="clear" w:color="auto" w:fill="auto"/>
          </w:tcPr>
          <w:p w14:paraId="6373433B" w14:textId="1CA995C7" w:rsidR="00EA63BE" w:rsidRDefault="00EA63BE" w:rsidP="00C240A2">
            <w:pPr>
              <w:pStyle w:val="Normalnumbered"/>
              <w:tabs>
                <w:tab w:val="clear" w:pos="360"/>
              </w:tabs>
              <w:spacing w:after="0" w:line="240" w:lineRule="auto"/>
              <w:ind w:left="32" w:firstLine="0"/>
              <w:jc w:val="left"/>
              <w:rPr>
                <w:rFonts w:cstheme="minorHAnsi"/>
                <w:sz w:val="26"/>
                <w:szCs w:val="26"/>
              </w:rPr>
            </w:pPr>
            <w:r>
              <w:rPr>
                <w:rFonts w:cstheme="minorHAnsi"/>
                <w:sz w:val="26"/>
                <w:szCs w:val="26"/>
              </w:rPr>
              <w:t>For the purposes of this Schedule:</w:t>
            </w:r>
          </w:p>
          <w:tbl>
            <w:tblPr>
              <w:tblW w:w="7533" w:type="dxa"/>
              <w:tblLayout w:type="fixed"/>
              <w:tblLook w:val="01E0" w:firstRow="1" w:lastRow="1" w:firstColumn="1" w:lastColumn="1" w:noHBand="0" w:noVBand="0"/>
            </w:tblPr>
            <w:tblGrid>
              <w:gridCol w:w="2410"/>
              <w:gridCol w:w="5123"/>
            </w:tblGrid>
            <w:tr w:rsidR="00E20647" w:rsidRPr="00E20647" w14:paraId="1114A70A" w14:textId="77777777" w:rsidTr="00E20647">
              <w:tc>
                <w:tcPr>
                  <w:tcW w:w="2410" w:type="dxa"/>
                </w:tcPr>
                <w:p w14:paraId="0F691381" w14:textId="1EF32065" w:rsidR="00E20647" w:rsidRPr="00E20647" w:rsidRDefault="00E20647" w:rsidP="001919A1">
                  <w:pPr>
                    <w:spacing w:before="240" w:after="200"/>
                    <w:rPr>
                      <w:rFonts w:ascii="Corbel" w:hAnsi="Corbel" w:cstheme="minorHAnsi"/>
                      <w:b/>
                      <w:sz w:val="20"/>
                      <w:szCs w:val="20"/>
                    </w:rPr>
                  </w:pPr>
                  <w:r w:rsidRPr="00E20647">
                    <w:rPr>
                      <w:rFonts w:ascii="Corbel" w:hAnsi="Corbel"/>
                      <w:b/>
                      <w:sz w:val="20"/>
                      <w:szCs w:val="20"/>
                    </w:rPr>
                    <w:t>Additional Supplies</w:t>
                  </w:r>
                </w:p>
              </w:tc>
              <w:tc>
                <w:tcPr>
                  <w:tcW w:w="5123" w:type="dxa"/>
                </w:tcPr>
                <w:p w14:paraId="702E7C3C" w14:textId="77777777" w:rsidR="00E20647" w:rsidRPr="00E20647" w:rsidRDefault="00E20647" w:rsidP="001919A1">
                  <w:pPr>
                    <w:spacing w:before="240"/>
                    <w:rPr>
                      <w:rFonts w:ascii="Corbel" w:hAnsi="Corbel"/>
                      <w:color w:val="000000" w:themeColor="text1"/>
                      <w:sz w:val="20"/>
                      <w:szCs w:val="20"/>
                    </w:rPr>
                  </w:pPr>
                  <w:r w:rsidRPr="00E20647">
                    <w:rPr>
                      <w:rFonts w:ascii="Corbel" w:hAnsi="Corbel"/>
                      <w:color w:val="000000" w:themeColor="text1"/>
                      <w:sz w:val="20"/>
                      <w:szCs w:val="20"/>
                    </w:rPr>
                    <w:t>Means:</w:t>
                  </w:r>
                </w:p>
                <w:p w14:paraId="4260F6D1" w14:textId="77777777" w:rsidR="00E20647" w:rsidRPr="00E20647" w:rsidRDefault="00E20647" w:rsidP="00E20647">
                  <w:pPr>
                    <w:pStyle w:val="ListParagraph"/>
                    <w:widowControl/>
                    <w:numPr>
                      <w:ilvl w:val="0"/>
                      <w:numId w:val="37"/>
                    </w:numPr>
                    <w:rPr>
                      <w:rFonts w:ascii="Corbel" w:hAnsi="Corbel"/>
                      <w:color w:val="000000" w:themeColor="text1"/>
                      <w:sz w:val="20"/>
                      <w:szCs w:val="20"/>
                    </w:rPr>
                  </w:pPr>
                  <w:r w:rsidRPr="00E20647">
                    <w:rPr>
                      <w:rFonts w:ascii="Corbel" w:hAnsi="Corbel"/>
                      <w:color w:val="000000" w:themeColor="text1"/>
                      <w:sz w:val="20"/>
                      <w:szCs w:val="20"/>
                    </w:rPr>
                    <w:t>New Supplies;</w:t>
                  </w:r>
                </w:p>
                <w:p w14:paraId="1CE994DB" w14:textId="77777777" w:rsidR="00E20647" w:rsidRPr="00E20647" w:rsidRDefault="00E20647" w:rsidP="00E20647">
                  <w:pPr>
                    <w:pStyle w:val="ListParagraph"/>
                    <w:widowControl/>
                    <w:numPr>
                      <w:ilvl w:val="0"/>
                      <w:numId w:val="37"/>
                    </w:numPr>
                    <w:rPr>
                      <w:rFonts w:ascii="Corbel" w:hAnsi="Corbel"/>
                      <w:color w:val="000000" w:themeColor="text1"/>
                      <w:sz w:val="20"/>
                      <w:szCs w:val="20"/>
                    </w:rPr>
                  </w:pPr>
                  <w:r w:rsidRPr="00E20647">
                    <w:rPr>
                      <w:rFonts w:ascii="Corbel" w:hAnsi="Corbel"/>
                      <w:color w:val="000000" w:themeColor="text1"/>
                      <w:sz w:val="20"/>
                      <w:szCs w:val="20"/>
                    </w:rPr>
                    <w:t>State Scheme Supplies;</w:t>
                  </w:r>
                </w:p>
                <w:p w14:paraId="480062BC" w14:textId="77777777" w:rsidR="00E20647" w:rsidRPr="00E20647" w:rsidRDefault="00E20647" w:rsidP="00E20647">
                  <w:pPr>
                    <w:pStyle w:val="ListParagraph"/>
                    <w:widowControl/>
                    <w:numPr>
                      <w:ilvl w:val="0"/>
                      <w:numId w:val="37"/>
                    </w:numPr>
                    <w:rPr>
                      <w:rFonts w:ascii="Corbel" w:hAnsi="Corbel"/>
                      <w:color w:val="000000" w:themeColor="text1"/>
                      <w:sz w:val="20"/>
                      <w:szCs w:val="20"/>
                    </w:rPr>
                  </w:pPr>
                  <w:r w:rsidRPr="00E20647">
                    <w:rPr>
                      <w:rFonts w:ascii="Corbel" w:hAnsi="Corbel"/>
                      <w:color w:val="000000" w:themeColor="text1"/>
                      <w:sz w:val="20"/>
                      <w:szCs w:val="20"/>
                    </w:rPr>
                    <w:t>New Cohorts added to the NIP during the Term;</w:t>
                  </w:r>
                </w:p>
                <w:p w14:paraId="51D8A395" w14:textId="77777777" w:rsidR="00E20647" w:rsidRPr="00E20647" w:rsidRDefault="00E20647" w:rsidP="00E20647">
                  <w:pPr>
                    <w:pStyle w:val="ListParagraph"/>
                    <w:widowControl/>
                    <w:numPr>
                      <w:ilvl w:val="0"/>
                      <w:numId w:val="37"/>
                    </w:numPr>
                    <w:rPr>
                      <w:rFonts w:ascii="Corbel" w:hAnsi="Corbel"/>
                      <w:color w:val="000000" w:themeColor="text1"/>
                      <w:sz w:val="20"/>
                      <w:szCs w:val="20"/>
                    </w:rPr>
                  </w:pPr>
                  <w:r w:rsidRPr="00E20647">
                    <w:rPr>
                      <w:rFonts w:ascii="Corbel" w:hAnsi="Corbel"/>
                      <w:color w:val="000000" w:themeColor="text1"/>
                      <w:sz w:val="20"/>
                      <w:szCs w:val="20"/>
                    </w:rPr>
                    <w:t xml:space="preserve">Additional Orders for Other Procurement Supplies; or </w:t>
                  </w:r>
                </w:p>
                <w:p w14:paraId="7F086A6F" w14:textId="77777777" w:rsidR="00E20647" w:rsidRPr="00E20647" w:rsidRDefault="00E20647" w:rsidP="00E20647">
                  <w:pPr>
                    <w:pStyle w:val="ListParagraph"/>
                    <w:widowControl/>
                    <w:numPr>
                      <w:ilvl w:val="0"/>
                      <w:numId w:val="37"/>
                    </w:numPr>
                    <w:rPr>
                      <w:rFonts w:ascii="Corbel" w:hAnsi="Corbel"/>
                      <w:color w:val="000000" w:themeColor="text1"/>
                      <w:sz w:val="20"/>
                      <w:szCs w:val="20"/>
                    </w:rPr>
                  </w:pPr>
                  <w:r w:rsidRPr="00E20647">
                    <w:rPr>
                      <w:rFonts w:ascii="Corbel" w:hAnsi="Corbel"/>
                      <w:color w:val="000000" w:themeColor="text1"/>
                      <w:sz w:val="20"/>
                      <w:szCs w:val="20"/>
                    </w:rPr>
                    <w:t>Additional Orders of Supplies, excluding Pandemic Supplies, above the National Market Share.</w:t>
                  </w:r>
                </w:p>
                <w:p w14:paraId="4D1DF389" w14:textId="00E82654" w:rsidR="00E20647" w:rsidRPr="00E20647" w:rsidRDefault="00E20647" w:rsidP="00E20647">
                  <w:pPr>
                    <w:spacing w:after="200"/>
                    <w:rPr>
                      <w:rFonts w:ascii="Corbel" w:hAnsi="Corbel" w:cstheme="minorHAnsi"/>
                      <w:sz w:val="20"/>
                      <w:szCs w:val="20"/>
                    </w:rPr>
                  </w:pPr>
                  <w:r w:rsidRPr="00E20647">
                    <w:rPr>
                      <w:rFonts w:ascii="Corbel" w:hAnsi="Corbel"/>
                      <w:color w:val="000000" w:themeColor="text1"/>
                      <w:sz w:val="20"/>
                      <w:szCs w:val="20"/>
                    </w:rPr>
                    <w:t>Pandemic Supplies are not Additional Supplies (the purchase of Pandemic Supplies is addressed under Part 6 of the relevant vaccine supply Deed).</w:t>
                  </w:r>
                </w:p>
              </w:tc>
            </w:tr>
            <w:tr w:rsidR="00E20647" w:rsidRPr="00E20647" w14:paraId="0170AF35" w14:textId="77777777" w:rsidTr="00E20647">
              <w:tc>
                <w:tcPr>
                  <w:tcW w:w="2410" w:type="dxa"/>
                </w:tcPr>
                <w:p w14:paraId="08153A6B" w14:textId="77777777" w:rsidR="00E20647" w:rsidRPr="00E20647" w:rsidRDefault="00E20647" w:rsidP="00E20647">
                  <w:pPr>
                    <w:spacing w:after="200"/>
                    <w:rPr>
                      <w:rFonts w:ascii="Corbel" w:hAnsi="Corbel" w:cstheme="minorHAnsi"/>
                      <w:b/>
                      <w:sz w:val="20"/>
                      <w:szCs w:val="20"/>
                    </w:rPr>
                  </w:pPr>
                  <w:r w:rsidRPr="00E20647">
                    <w:rPr>
                      <w:rFonts w:ascii="Corbel" w:hAnsi="Corbel" w:cstheme="minorHAnsi"/>
                      <w:b/>
                      <w:sz w:val="20"/>
                      <w:szCs w:val="20"/>
                    </w:rPr>
                    <w:lastRenderedPageBreak/>
                    <w:t>Cohort</w:t>
                  </w:r>
                </w:p>
              </w:tc>
              <w:tc>
                <w:tcPr>
                  <w:tcW w:w="5123" w:type="dxa"/>
                </w:tcPr>
                <w:p w14:paraId="316EC462" w14:textId="77777777" w:rsidR="00E20647" w:rsidRPr="00E20647" w:rsidRDefault="00E20647" w:rsidP="00E20647">
                  <w:pPr>
                    <w:spacing w:after="200"/>
                    <w:rPr>
                      <w:rFonts w:ascii="Corbel" w:hAnsi="Corbel" w:cstheme="minorHAnsi"/>
                      <w:sz w:val="20"/>
                      <w:szCs w:val="20"/>
                    </w:rPr>
                  </w:pPr>
                  <w:r w:rsidRPr="00E20647">
                    <w:rPr>
                      <w:rFonts w:ascii="Corbel" w:hAnsi="Corbel" w:cstheme="minorHAnsi"/>
                      <w:sz w:val="20"/>
                      <w:szCs w:val="20"/>
                    </w:rPr>
                    <w:t xml:space="preserve">Means the eligible target group for a National Immunisation Program vaccine and the projections of population size of such target groups. </w:t>
                  </w:r>
                </w:p>
              </w:tc>
            </w:tr>
            <w:tr w:rsidR="00E20647" w:rsidRPr="00E20647" w14:paraId="6EE0BBBE" w14:textId="77777777" w:rsidTr="00E20647">
              <w:tc>
                <w:tcPr>
                  <w:tcW w:w="2410" w:type="dxa"/>
                </w:tcPr>
                <w:p w14:paraId="5AFE424B" w14:textId="77777777" w:rsidR="00E20647" w:rsidRPr="00E20647" w:rsidRDefault="00E20647" w:rsidP="00E20647">
                  <w:pPr>
                    <w:spacing w:after="200"/>
                    <w:rPr>
                      <w:rFonts w:ascii="Corbel" w:hAnsi="Corbel" w:cstheme="minorHAnsi"/>
                      <w:b/>
                      <w:color w:val="000000" w:themeColor="text1"/>
                      <w:sz w:val="20"/>
                      <w:szCs w:val="20"/>
                    </w:rPr>
                  </w:pPr>
                  <w:r w:rsidRPr="00E20647">
                    <w:rPr>
                      <w:rFonts w:ascii="Corbel" w:hAnsi="Corbel" w:cstheme="minorHAnsi"/>
                      <w:b/>
                      <w:color w:val="000000" w:themeColor="text1"/>
                      <w:sz w:val="20"/>
                      <w:szCs w:val="20"/>
                    </w:rPr>
                    <w:t>Cold Chain Breach</w:t>
                  </w:r>
                </w:p>
              </w:tc>
              <w:tc>
                <w:tcPr>
                  <w:tcW w:w="5123" w:type="dxa"/>
                </w:tcPr>
                <w:p w14:paraId="6742205F" w14:textId="77777777" w:rsidR="00E20647" w:rsidRPr="00E20647" w:rsidRDefault="00E20647" w:rsidP="00E20647">
                  <w:pPr>
                    <w:spacing w:after="200"/>
                    <w:rPr>
                      <w:rFonts w:ascii="Corbel" w:hAnsi="Corbel" w:cstheme="minorHAnsi"/>
                      <w:color w:val="000000" w:themeColor="text1"/>
                      <w:sz w:val="20"/>
                      <w:szCs w:val="20"/>
                    </w:rPr>
                  </w:pPr>
                  <w:r w:rsidRPr="00E20647">
                    <w:rPr>
                      <w:rFonts w:ascii="Corbel" w:hAnsi="Corbel" w:cstheme="minorHAnsi"/>
                      <w:color w:val="000000" w:themeColor="text1"/>
                      <w:sz w:val="20"/>
                      <w:szCs w:val="20"/>
                    </w:rPr>
                    <w:t>Means vaccines stored or exposed to temperatures outside the recommended range of +2°C to +8°C (excludes excursions up to +12°C lasting no longer than 15 minutes, when stock taking or restocking). In technical documents a cold chain breach may be referred to as an 'adverse vaccine storage event'.</w:t>
                  </w:r>
                </w:p>
              </w:tc>
            </w:tr>
            <w:tr w:rsidR="00E20647" w:rsidRPr="00E20647" w14:paraId="34FF602B" w14:textId="77777777" w:rsidTr="00E20647">
              <w:tc>
                <w:tcPr>
                  <w:tcW w:w="2410" w:type="dxa"/>
                </w:tcPr>
                <w:p w14:paraId="6996B812" w14:textId="5779E838" w:rsidR="00E20647" w:rsidRPr="00E20647" w:rsidRDefault="00E20647" w:rsidP="00E20647">
                  <w:pPr>
                    <w:spacing w:after="200"/>
                    <w:rPr>
                      <w:rFonts w:ascii="Corbel" w:hAnsi="Corbel" w:cstheme="minorHAnsi"/>
                      <w:b/>
                      <w:color w:val="000000" w:themeColor="text1"/>
                      <w:sz w:val="20"/>
                      <w:szCs w:val="20"/>
                    </w:rPr>
                  </w:pPr>
                  <w:r w:rsidRPr="00E20647">
                    <w:rPr>
                      <w:rFonts w:ascii="Corbel" w:hAnsi="Corbel"/>
                      <w:b/>
                      <w:color w:val="000000" w:themeColor="text1"/>
                      <w:sz w:val="20"/>
                      <w:szCs w:val="20"/>
                    </w:rPr>
                    <w:t>Compensation Payment</w:t>
                  </w:r>
                </w:p>
              </w:tc>
              <w:tc>
                <w:tcPr>
                  <w:tcW w:w="5123" w:type="dxa"/>
                </w:tcPr>
                <w:p w14:paraId="56206CEB" w14:textId="7ACE9FE1" w:rsidR="00E20647" w:rsidRPr="00E20647" w:rsidRDefault="00E20647" w:rsidP="00E20647">
                  <w:pPr>
                    <w:spacing w:after="200"/>
                    <w:rPr>
                      <w:rFonts w:ascii="Corbel" w:hAnsi="Corbel" w:cstheme="minorHAnsi"/>
                      <w:color w:val="000000" w:themeColor="text1"/>
                      <w:sz w:val="20"/>
                      <w:szCs w:val="20"/>
                    </w:rPr>
                  </w:pPr>
                  <w:r w:rsidRPr="00E20647">
                    <w:rPr>
                      <w:rFonts w:ascii="Corbel" w:hAnsi="Corbel"/>
                      <w:color w:val="000000" w:themeColor="text1"/>
                      <w:sz w:val="20"/>
                      <w:szCs w:val="20"/>
                    </w:rPr>
                    <w:t>Means the amount the Commonwealth becomes liable to pay to any Vaccine Sponsor under the relevant clause in a Head Agreement relating to the market share of vaccine supplies.</w:t>
                  </w:r>
                </w:p>
              </w:tc>
            </w:tr>
            <w:tr w:rsidR="00E20647" w:rsidRPr="00E20647" w14:paraId="605AA7A0" w14:textId="77777777" w:rsidTr="00E20647">
              <w:tc>
                <w:tcPr>
                  <w:tcW w:w="2410" w:type="dxa"/>
                </w:tcPr>
                <w:p w14:paraId="4D09E7F0" w14:textId="53A38C7E" w:rsidR="00E20647" w:rsidRPr="00E20647" w:rsidRDefault="00E20647" w:rsidP="004D36E3">
                  <w:pPr>
                    <w:spacing w:after="200"/>
                    <w:rPr>
                      <w:rFonts w:ascii="Corbel" w:hAnsi="Corbel"/>
                      <w:b/>
                      <w:color w:val="000000" w:themeColor="text1"/>
                      <w:sz w:val="20"/>
                      <w:szCs w:val="20"/>
                    </w:rPr>
                  </w:pPr>
                  <w:r w:rsidRPr="00E20647">
                    <w:rPr>
                      <w:rFonts w:ascii="Corbel" w:hAnsi="Corbel" w:cstheme="minorHAnsi"/>
                      <w:b/>
                      <w:color w:val="000000" w:themeColor="text1"/>
                      <w:sz w:val="20"/>
                      <w:szCs w:val="20"/>
                    </w:rPr>
                    <w:t>Coverage</w:t>
                  </w:r>
                </w:p>
              </w:tc>
              <w:tc>
                <w:tcPr>
                  <w:tcW w:w="5123" w:type="dxa"/>
                </w:tcPr>
                <w:p w14:paraId="1013BD87" w14:textId="30F7E8A2" w:rsidR="00E20647" w:rsidRPr="00E20647" w:rsidRDefault="00E20647" w:rsidP="00E20647">
                  <w:pPr>
                    <w:spacing w:after="200"/>
                    <w:rPr>
                      <w:rFonts w:ascii="Corbel" w:hAnsi="Corbel"/>
                      <w:color w:val="000000" w:themeColor="text1"/>
                      <w:sz w:val="20"/>
                      <w:szCs w:val="20"/>
                    </w:rPr>
                  </w:pPr>
                  <w:r w:rsidRPr="00E20647">
                    <w:rPr>
                      <w:rFonts w:ascii="Corbel" w:hAnsi="Corbel" w:cstheme="minorHAnsi"/>
                      <w:color w:val="000000" w:themeColor="text1"/>
                      <w:sz w:val="20"/>
                      <w:szCs w:val="20"/>
                    </w:rPr>
                    <w:t xml:space="preserve">Means the proportion of the relevant cohort population that has been vaccinated against specific diseases or strains of disease. </w:t>
                  </w:r>
                </w:p>
              </w:tc>
            </w:tr>
            <w:tr w:rsidR="00E20647" w:rsidRPr="00E20647" w14:paraId="6A2EF63B" w14:textId="77777777" w:rsidTr="00E20647">
              <w:tc>
                <w:tcPr>
                  <w:tcW w:w="2410" w:type="dxa"/>
                </w:tcPr>
                <w:p w14:paraId="46EDBF26" w14:textId="71C59E02" w:rsidR="00E20647" w:rsidRPr="00E20647" w:rsidRDefault="00E20647" w:rsidP="00E20647">
                  <w:pPr>
                    <w:spacing w:after="200"/>
                    <w:rPr>
                      <w:rFonts w:ascii="Corbel" w:hAnsi="Corbel" w:cstheme="minorHAnsi"/>
                      <w:b/>
                      <w:color w:val="000000" w:themeColor="text1"/>
                      <w:sz w:val="20"/>
                      <w:szCs w:val="20"/>
                    </w:rPr>
                  </w:pPr>
                  <w:r w:rsidRPr="00E20647">
                    <w:rPr>
                      <w:rFonts w:ascii="Corbel" w:hAnsi="Corbel"/>
                      <w:b/>
                      <w:color w:val="000000" w:themeColor="text1"/>
                      <w:sz w:val="20"/>
                      <w:szCs w:val="20"/>
                    </w:rPr>
                    <w:t>Critical Event</w:t>
                  </w:r>
                </w:p>
              </w:tc>
              <w:tc>
                <w:tcPr>
                  <w:tcW w:w="5123" w:type="dxa"/>
                </w:tcPr>
                <w:p w14:paraId="29CAF53D" w14:textId="454B946F" w:rsidR="00E20647" w:rsidRPr="00E20647" w:rsidRDefault="00E20647" w:rsidP="00E20647">
                  <w:pPr>
                    <w:spacing w:after="200"/>
                    <w:rPr>
                      <w:rFonts w:ascii="Corbel" w:hAnsi="Corbel" w:cstheme="minorHAnsi"/>
                      <w:color w:val="000000" w:themeColor="text1"/>
                      <w:sz w:val="20"/>
                      <w:szCs w:val="20"/>
                    </w:rPr>
                  </w:pPr>
                  <w:r w:rsidRPr="00E20647">
                    <w:rPr>
                      <w:rFonts w:ascii="Corbel" w:hAnsi="Corbel"/>
                      <w:color w:val="000000" w:themeColor="text1"/>
                      <w:sz w:val="20"/>
                      <w:szCs w:val="20"/>
                    </w:rPr>
                    <w:t>Means an event identified by the TGA after an audit, investigation or inspection to be a critical event which has produced or gives rise to a significant risk of producing supplies outside the adverse event profile in the approved product information for those supplies.</w:t>
                  </w:r>
                </w:p>
              </w:tc>
            </w:tr>
            <w:tr w:rsidR="00E20647" w:rsidRPr="00E20647" w14:paraId="696573F3" w14:textId="77777777" w:rsidTr="00E20647">
              <w:tc>
                <w:tcPr>
                  <w:tcW w:w="2410" w:type="dxa"/>
                </w:tcPr>
                <w:p w14:paraId="4B6F8EE0" w14:textId="17BCAA7E" w:rsidR="00E20647" w:rsidRPr="00E20647" w:rsidRDefault="00E20647" w:rsidP="00E20647">
                  <w:pPr>
                    <w:spacing w:after="200"/>
                    <w:rPr>
                      <w:rFonts w:ascii="Corbel" w:hAnsi="Corbel" w:cstheme="minorHAnsi"/>
                      <w:b/>
                      <w:color w:val="000000" w:themeColor="text1"/>
                      <w:sz w:val="20"/>
                      <w:szCs w:val="20"/>
                    </w:rPr>
                  </w:pPr>
                  <w:r w:rsidRPr="00E20647">
                    <w:rPr>
                      <w:rFonts w:ascii="Corbel" w:hAnsi="Corbel"/>
                      <w:b/>
                      <w:color w:val="000000" w:themeColor="text1"/>
                      <w:sz w:val="20"/>
                      <w:szCs w:val="20"/>
                    </w:rPr>
                    <w:t>Deed</w:t>
                  </w:r>
                </w:p>
              </w:tc>
              <w:tc>
                <w:tcPr>
                  <w:tcW w:w="5123" w:type="dxa"/>
                </w:tcPr>
                <w:p w14:paraId="11C90F87" w14:textId="3BE56A5B" w:rsidR="00E20647" w:rsidRPr="00E20647" w:rsidRDefault="00E20647" w:rsidP="00E20647">
                  <w:pPr>
                    <w:spacing w:after="200"/>
                    <w:rPr>
                      <w:rFonts w:ascii="Corbel" w:hAnsi="Corbel" w:cstheme="minorHAnsi"/>
                      <w:color w:val="000000" w:themeColor="text1"/>
                      <w:sz w:val="20"/>
                      <w:szCs w:val="20"/>
                    </w:rPr>
                  </w:pPr>
                  <w:r w:rsidRPr="00E20647">
                    <w:rPr>
                      <w:rFonts w:ascii="Corbel" w:hAnsi="Corbel"/>
                      <w:color w:val="000000" w:themeColor="text1"/>
                      <w:sz w:val="20"/>
                      <w:szCs w:val="20"/>
                    </w:rPr>
                    <w:t>Means the Deeds of Agreement between the Commonwealth, States and Territories and a Vaccine Sponsor for the supply of National Immunisation Program vaccines, as amended from time to time.</w:t>
                  </w:r>
                </w:p>
              </w:tc>
            </w:tr>
            <w:tr w:rsidR="00E20647" w:rsidRPr="00E20647" w14:paraId="33C7BC65" w14:textId="77777777" w:rsidTr="00E20647">
              <w:tc>
                <w:tcPr>
                  <w:tcW w:w="2410" w:type="dxa"/>
                </w:tcPr>
                <w:p w14:paraId="00B169B4" w14:textId="77777777" w:rsidR="00E20647" w:rsidRPr="00E20647" w:rsidRDefault="00E20647" w:rsidP="00E20647">
                  <w:pPr>
                    <w:spacing w:after="200"/>
                    <w:rPr>
                      <w:rFonts w:ascii="Corbel" w:hAnsi="Corbel" w:cstheme="minorHAnsi"/>
                      <w:b/>
                      <w:color w:val="000000" w:themeColor="text1"/>
                      <w:sz w:val="20"/>
                      <w:szCs w:val="20"/>
                      <w:highlight w:val="yellow"/>
                    </w:rPr>
                  </w:pPr>
                  <w:r w:rsidRPr="00E20647">
                    <w:rPr>
                      <w:rFonts w:ascii="Corbel" w:hAnsi="Corbel" w:cstheme="minorHAnsi"/>
                      <w:b/>
                      <w:color w:val="000000" w:themeColor="text1"/>
                      <w:sz w:val="20"/>
                      <w:szCs w:val="20"/>
                    </w:rPr>
                    <w:t>Eligible person</w:t>
                  </w:r>
                </w:p>
              </w:tc>
              <w:tc>
                <w:tcPr>
                  <w:tcW w:w="5123" w:type="dxa"/>
                </w:tcPr>
                <w:p w14:paraId="37D64FFF" w14:textId="77777777" w:rsidR="00E20647" w:rsidRPr="00E20647" w:rsidRDefault="00E20647" w:rsidP="00E20647">
                  <w:pPr>
                    <w:spacing w:after="200"/>
                    <w:rPr>
                      <w:rFonts w:ascii="Corbel" w:hAnsi="Corbel" w:cstheme="minorHAnsi"/>
                      <w:i/>
                      <w:color w:val="000000" w:themeColor="text1"/>
                      <w:sz w:val="20"/>
                      <w:szCs w:val="20"/>
                    </w:rPr>
                  </w:pPr>
                  <w:r w:rsidRPr="00E20647">
                    <w:rPr>
                      <w:rFonts w:ascii="Corbel" w:hAnsi="Corbel" w:cstheme="minorHAnsi"/>
                      <w:color w:val="000000" w:themeColor="text1"/>
                      <w:sz w:val="20"/>
                      <w:szCs w:val="20"/>
                    </w:rPr>
                    <w:t xml:space="preserve">Means a person eligible to receive a free NIP vaccine, as specified in the </w:t>
                  </w:r>
                  <w:r w:rsidRPr="00E20647">
                    <w:rPr>
                      <w:rFonts w:ascii="Corbel" w:hAnsi="Corbel" w:cstheme="minorHAnsi"/>
                      <w:i/>
                      <w:color w:val="000000" w:themeColor="text1"/>
                      <w:sz w:val="20"/>
                      <w:szCs w:val="20"/>
                    </w:rPr>
                    <w:t>National Health (Immunisation Program – Designated Vaccines) Determination 2014 (No 1).</w:t>
                  </w:r>
                </w:p>
              </w:tc>
            </w:tr>
            <w:tr w:rsidR="00E20647" w:rsidRPr="00E20647" w14:paraId="7ED0F6C3" w14:textId="77777777" w:rsidTr="00E20647">
              <w:tc>
                <w:tcPr>
                  <w:tcW w:w="2410" w:type="dxa"/>
                </w:tcPr>
                <w:p w14:paraId="10934D41" w14:textId="77777777" w:rsidR="00E20647" w:rsidRPr="00E20647" w:rsidRDefault="00E20647" w:rsidP="00E20647">
                  <w:pPr>
                    <w:pStyle w:val="BoxText"/>
                    <w:spacing w:after="200" w:line="240" w:lineRule="auto"/>
                    <w:jc w:val="left"/>
                    <w:rPr>
                      <w:rFonts w:cstheme="minorHAnsi"/>
                      <w:b/>
                      <w:color w:val="auto"/>
                      <w:sz w:val="20"/>
                    </w:rPr>
                  </w:pPr>
                  <w:r w:rsidRPr="00E20647">
                    <w:rPr>
                      <w:rFonts w:cstheme="minorHAnsi"/>
                      <w:b/>
                      <w:color w:val="auto"/>
                      <w:sz w:val="20"/>
                    </w:rPr>
                    <w:t>Essential Vaccines/National Immunisation Program Vaccines</w:t>
                  </w:r>
                </w:p>
              </w:tc>
              <w:tc>
                <w:tcPr>
                  <w:tcW w:w="5123" w:type="dxa"/>
                </w:tcPr>
                <w:p w14:paraId="7E0772ED" w14:textId="77777777" w:rsidR="00E20647" w:rsidRPr="00E20647" w:rsidRDefault="00E20647" w:rsidP="00E20647">
                  <w:pPr>
                    <w:pStyle w:val="BoxText"/>
                    <w:spacing w:after="200" w:line="240" w:lineRule="auto"/>
                    <w:jc w:val="left"/>
                    <w:rPr>
                      <w:rFonts w:cstheme="minorHAnsi"/>
                      <w:color w:val="auto"/>
                      <w:sz w:val="20"/>
                    </w:rPr>
                  </w:pPr>
                  <w:r w:rsidRPr="00E20647">
                    <w:rPr>
                      <w:rFonts w:cstheme="minorHAnsi"/>
                      <w:color w:val="auto"/>
                      <w:sz w:val="20"/>
                    </w:rPr>
                    <w:t xml:space="preserve">Means the vaccines listed in a determination under section 9B of the </w:t>
                  </w:r>
                  <w:r w:rsidRPr="00E20647">
                    <w:rPr>
                      <w:rFonts w:cstheme="minorHAnsi"/>
                      <w:i/>
                      <w:color w:val="auto"/>
                      <w:sz w:val="20"/>
                    </w:rPr>
                    <w:t>National Health Act 1953</w:t>
                  </w:r>
                  <w:r w:rsidRPr="00E20647">
                    <w:rPr>
                      <w:rFonts w:cstheme="minorHAnsi"/>
                      <w:color w:val="auto"/>
                      <w:sz w:val="20"/>
                    </w:rPr>
                    <w:t xml:space="preserve"> (Cth) as amended from time to time.</w:t>
                  </w:r>
                </w:p>
              </w:tc>
            </w:tr>
            <w:tr w:rsidR="00E20647" w:rsidRPr="00E20647" w14:paraId="3C2D5126" w14:textId="77777777" w:rsidTr="00E20647">
              <w:tc>
                <w:tcPr>
                  <w:tcW w:w="2410" w:type="dxa"/>
                </w:tcPr>
                <w:p w14:paraId="21563E0E" w14:textId="6C9754F3" w:rsidR="00E20647" w:rsidRPr="00E20647" w:rsidRDefault="00F2703E" w:rsidP="00E20647">
                  <w:pPr>
                    <w:spacing w:after="200"/>
                    <w:rPr>
                      <w:rFonts w:ascii="Corbel" w:hAnsi="Corbel" w:cstheme="minorHAnsi"/>
                      <w:b/>
                      <w:color w:val="000000" w:themeColor="text1"/>
                      <w:sz w:val="20"/>
                      <w:szCs w:val="20"/>
                    </w:rPr>
                  </w:pPr>
                  <w:r>
                    <w:rPr>
                      <w:rFonts w:ascii="Corbel" w:hAnsi="Corbel" w:cstheme="minorHAnsi"/>
                      <w:b/>
                      <w:color w:val="000000" w:themeColor="text1"/>
                      <w:sz w:val="20"/>
                      <w:szCs w:val="20"/>
                    </w:rPr>
                    <w:t>Eighteen</w:t>
                  </w:r>
                  <w:r w:rsidRPr="00E20647">
                    <w:rPr>
                      <w:rFonts w:ascii="Corbel" w:hAnsi="Corbel" w:cstheme="minorHAnsi"/>
                      <w:b/>
                      <w:color w:val="000000" w:themeColor="text1"/>
                      <w:sz w:val="20"/>
                      <w:szCs w:val="20"/>
                    </w:rPr>
                    <w:t xml:space="preserve"> </w:t>
                  </w:r>
                  <w:r w:rsidR="00E20647" w:rsidRPr="00E20647">
                    <w:rPr>
                      <w:rFonts w:ascii="Corbel" w:hAnsi="Corbel" w:cstheme="minorHAnsi"/>
                      <w:b/>
                      <w:color w:val="000000" w:themeColor="text1"/>
                      <w:sz w:val="20"/>
                      <w:szCs w:val="20"/>
                    </w:rPr>
                    <w:t>/ 1</w:t>
                  </w:r>
                  <w:r>
                    <w:rPr>
                      <w:rFonts w:ascii="Corbel" w:hAnsi="Corbel" w:cstheme="minorHAnsi"/>
                      <w:b/>
                      <w:color w:val="000000" w:themeColor="text1"/>
                      <w:sz w:val="20"/>
                      <w:szCs w:val="20"/>
                    </w:rPr>
                    <w:t>8</w:t>
                  </w:r>
                  <w:r w:rsidR="00E20647" w:rsidRPr="00E20647">
                    <w:rPr>
                      <w:rFonts w:ascii="Corbel" w:hAnsi="Corbel" w:cstheme="minorHAnsi"/>
                      <w:b/>
                      <w:color w:val="000000" w:themeColor="text1"/>
                      <w:sz w:val="20"/>
                      <w:szCs w:val="20"/>
                    </w:rPr>
                    <w:t xml:space="preserve"> Month Rollin</w:t>
                  </w:r>
                  <w:r w:rsidR="004D36E3">
                    <w:rPr>
                      <w:rFonts w:ascii="Corbel" w:hAnsi="Corbel" w:cstheme="minorHAnsi"/>
                      <w:b/>
                      <w:color w:val="000000" w:themeColor="text1"/>
                      <w:sz w:val="20"/>
                      <w:szCs w:val="20"/>
                    </w:rPr>
                    <w:t>g Estimate of Vaccine Purchases</w:t>
                  </w:r>
                </w:p>
              </w:tc>
              <w:tc>
                <w:tcPr>
                  <w:tcW w:w="5123" w:type="dxa"/>
                </w:tcPr>
                <w:p w14:paraId="049751E4" w14:textId="6562365E" w:rsidR="00E20647" w:rsidRPr="00E20647" w:rsidRDefault="001919A1" w:rsidP="00E20647">
                  <w:pPr>
                    <w:spacing w:after="200"/>
                    <w:rPr>
                      <w:rFonts w:ascii="Corbel" w:hAnsi="Corbel" w:cstheme="minorHAnsi"/>
                      <w:color w:val="000000" w:themeColor="text1"/>
                      <w:sz w:val="20"/>
                      <w:szCs w:val="20"/>
                    </w:rPr>
                  </w:pPr>
                  <w:r>
                    <w:rPr>
                      <w:rFonts w:ascii="Corbel" w:hAnsi="Corbel" w:cstheme="minorHAnsi"/>
                      <w:sz w:val="20"/>
                      <w:szCs w:val="20"/>
                    </w:rPr>
                    <w:t>Means f</w:t>
                  </w:r>
                  <w:r w:rsidR="00E20647" w:rsidRPr="00E20647">
                    <w:rPr>
                      <w:rFonts w:ascii="Corbel" w:hAnsi="Corbel" w:cstheme="minorHAnsi"/>
                      <w:sz w:val="20"/>
                      <w:szCs w:val="20"/>
                    </w:rPr>
                    <w:t>orecast estimates for a</w:t>
                  </w:r>
                  <w:r w:rsidR="00F2703E">
                    <w:rPr>
                      <w:rFonts w:ascii="Corbel" w:hAnsi="Corbel" w:cstheme="minorHAnsi"/>
                      <w:sz w:val="20"/>
                      <w:szCs w:val="20"/>
                    </w:rPr>
                    <w:t>n</w:t>
                  </w:r>
                  <w:r w:rsidR="00E20647" w:rsidRPr="00E20647">
                    <w:rPr>
                      <w:rFonts w:ascii="Corbel" w:hAnsi="Corbel" w:cstheme="minorHAnsi"/>
                      <w:sz w:val="20"/>
                      <w:szCs w:val="20"/>
                    </w:rPr>
                    <w:t xml:space="preserve"> 1</w:t>
                  </w:r>
                  <w:r w:rsidR="00F2703E">
                    <w:rPr>
                      <w:rFonts w:ascii="Corbel" w:hAnsi="Corbel" w:cstheme="minorHAnsi"/>
                      <w:sz w:val="20"/>
                      <w:szCs w:val="20"/>
                    </w:rPr>
                    <w:t>8</w:t>
                  </w:r>
                  <w:r w:rsidR="00D86885">
                    <w:rPr>
                      <w:rFonts w:ascii="Corbel" w:hAnsi="Corbel" w:cstheme="minorHAnsi"/>
                      <w:sz w:val="20"/>
                      <w:szCs w:val="20"/>
                    </w:rPr>
                    <w:t>-</w:t>
                  </w:r>
                  <w:r w:rsidR="00E20647" w:rsidRPr="00E20647">
                    <w:rPr>
                      <w:rFonts w:ascii="Corbel" w:hAnsi="Corbel" w:cstheme="minorHAnsi"/>
                      <w:sz w:val="20"/>
                      <w:szCs w:val="20"/>
                    </w:rPr>
                    <w:t>month period, which are provided by jurisdictions each quarter outlining the numbers of doses of essential National Immunisation Program vaccines required to meet expected demand.</w:t>
                  </w:r>
                </w:p>
              </w:tc>
            </w:tr>
            <w:tr w:rsidR="00E20647" w:rsidRPr="00E20647" w14:paraId="206F13F1" w14:textId="77777777" w:rsidTr="00E20647">
              <w:tc>
                <w:tcPr>
                  <w:tcW w:w="2410" w:type="dxa"/>
                </w:tcPr>
                <w:p w14:paraId="318EF6EC" w14:textId="77777777" w:rsidR="00E20647" w:rsidRPr="00E20647" w:rsidRDefault="00E20647" w:rsidP="00E20647">
                  <w:pPr>
                    <w:spacing w:after="200"/>
                    <w:rPr>
                      <w:rFonts w:ascii="Corbel" w:hAnsi="Corbel" w:cstheme="minorHAnsi"/>
                      <w:b/>
                      <w:color w:val="000000" w:themeColor="text1"/>
                      <w:sz w:val="20"/>
                      <w:szCs w:val="20"/>
                    </w:rPr>
                  </w:pPr>
                  <w:r w:rsidRPr="00E20647">
                    <w:rPr>
                      <w:rFonts w:ascii="Corbel" w:hAnsi="Corbel" w:cstheme="minorHAnsi"/>
                      <w:b/>
                      <w:color w:val="000000" w:themeColor="text1"/>
                      <w:sz w:val="20"/>
                      <w:szCs w:val="20"/>
                    </w:rPr>
                    <w:t>Geographic Areas of Low Coverage</w:t>
                  </w:r>
                  <w:r w:rsidRPr="00E20647" w:rsidDel="000F2BF2">
                    <w:rPr>
                      <w:rFonts w:ascii="Corbel" w:hAnsi="Corbel" w:cstheme="minorHAnsi"/>
                      <w:b/>
                      <w:color w:val="000000" w:themeColor="text1"/>
                      <w:sz w:val="20"/>
                      <w:szCs w:val="20"/>
                    </w:rPr>
                    <w:t xml:space="preserve"> </w:t>
                  </w:r>
                </w:p>
              </w:tc>
              <w:tc>
                <w:tcPr>
                  <w:tcW w:w="5123" w:type="dxa"/>
                </w:tcPr>
                <w:p w14:paraId="54A38696" w14:textId="77777777" w:rsidR="00E20647" w:rsidRPr="00E20647" w:rsidRDefault="00E20647" w:rsidP="00E20647">
                  <w:pPr>
                    <w:spacing w:after="200"/>
                    <w:rPr>
                      <w:rFonts w:ascii="Corbel" w:hAnsi="Corbel" w:cstheme="minorHAnsi"/>
                      <w:color w:val="000000" w:themeColor="text1"/>
                      <w:sz w:val="20"/>
                      <w:szCs w:val="20"/>
                    </w:rPr>
                  </w:pPr>
                  <w:r w:rsidRPr="00E20647">
                    <w:rPr>
                      <w:rFonts w:ascii="Corbel" w:hAnsi="Corbel" w:cstheme="minorHAnsi"/>
                      <w:color w:val="000000" w:themeColor="text1"/>
                      <w:sz w:val="20"/>
                      <w:szCs w:val="20"/>
                    </w:rPr>
                    <w:t>Means geographic areas with vaccination coverage rates below the target coverage rate of 95 per cent.</w:t>
                  </w:r>
                </w:p>
              </w:tc>
            </w:tr>
            <w:tr w:rsidR="00E20647" w:rsidRPr="00E20647" w14:paraId="06363DAD" w14:textId="77777777" w:rsidTr="00E20647">
              <w:tc>
                <w:tcPr>
                  <w:tcW w:w="2410" w:type="dxa"/>
                </w:tcPr>
                <w:p w14:paraId="45995598" w14:textId="6D31FBC6" w:rsidR="00E20647" w:rsidRPr="00E20647" w:rsidRDefault="00E20647" w:rsidP="00E20647">
                  <w:pPr>
                    <w:spacing w:after="200"/>
                    <w:rPr>
                      <w:rFonts w:ascii="Corbel" w:hAnsi="Corbel" w:cstheme="minorHAnsi"/>
                      <w:b/>
                      <w:color w:val="000000" w:themeColor="text1"/>
                      <w:sz w:val="20"/>
                      <w:szCs w:val="20"/>
                    </w:rPr>
                  </w:pPr>
                  <w:r w:rsidRPr="00E20647">
                    <w:rPr>
                      <w:rFonts w:ascii="Corbel" w:hAnsi="Corbel"/>
                      <w:b/>
                      <w:color w:val="000000" w:themeColor="text1"/>
                      <w:sz w:val="20"/>
                      <w:szCs w:val="20"/>
                    </w:rPr>
                    <w:t>Head Agreement</w:t>
                  </w:r>
                </w:p>
              </w:tc>
              <w:tc>
                <w:tcPr>
                  <w:tcW w:w="5123" w:type="dxa"/>
                </w:tcPr>
                <w:p w14:paraId="267589DA" w14:textId="3194B9A4" w:rsidR="00E20647" w:rsidRPr="00E20647" w:rsidRDefault="00E20647" w:rsidP="00E20647">
                  <w:pPr>
                    <w:spacing w:after="200"/>
                    <w:rPr>
                      <w:rFonts w:ascii="Corbel" w:hAnsi="Corbel" w:cstheme="minorHAnsi"/>
                      <w:color w:val="000000" w:themeColor="text1"/>
                      <w:sz w:val="20"/>
                      <w:szCs w:val="20"/>
                    </w:rPr>
                  </w:pPr>
                  <w:r w:rsidRPr="00E20647">
                    <w:rPr>
                      <w:rFonts w:ascii="Corbel" w:hAnsi="Corbel"/>
                      <w:color w:val="000000" w:themeColor="text1"/>
                      <w:sz w:val="20"/>
                      <w:szCs w:val="20"/>
                    </w:rPr>
                    <w:t xml:space="preserve">Means an agreement between the Commonwealth, States and Territories and a Vaccine Sponsor for the supply of National Immunisation Program vaccines including its amendments. </w:t>
                  </w:r>
                </w:p>
              </w:tc>
            </w:tr>
            <w:tr w:rsidR="00E20647" w:rsidRPr="00E20647" w14:paraId="2E9F78BA" w14:textId="77777777" w:rsidTr="00E20647">
              <w:tc>
                <w:tcPr>
                  <w:tcW w:w="2410" w:type="dxa"/>
                </w:tcPr>
                <w:p w14:paraId="7F185BA3" w14:textId="421A4BFA" w:rsidR="00E20647" w:rsidRPr="00E20647" w:rsidRDefault="00E20647" w:rsidP="00E20647">
                  <w:pPr>
                    <w:spacing w:after="200"/>
                    <w:rPr>
                      <w:rFonts w:ascii="Corbel" w:hAnsi="Corbel"/>
                      <w:b/>
                      <w:color w:val="000000" w:themeColor="text1"/>
                      <w:sz w:val="20"/>
                      <w:szCs w:val="20"/>
                    </w:rPr>
                  </w:pPr>
                  <w:r w:rsidRPr="00E20647">
                    <w:rPr>
                      <w:rFonts w:ascii="Corbel" w:hAnsi="Corbel"/>
                      <w:b/>
                      <w:color w:val="000000" w:themeColor="text1"/>
                      <w:sz w:val="20"/>
                      <w:szCs w:val="20"/>
                    </w:rPr>
                    <w:t>National Immunisation Program (NIP) Vaccine Management</w:t>
                  </w:r>
                </w:p>
              </w:tc>
              <w:tc>
                <w:tcPr>
                  <w:tcW w:w="5123" w:type="dxa"/>
                </w:tcPr>
                <w:p w14:paraId="648071ED" w14:textId="43243F30" w:rsidR="00E20647" w:rsidRPr="00E20647" w:rsidRDefault="00E20647" w:rsidP="00BE17F5">
                  <w:pPr>
                    <w:spacing w:after="200"/>
                    <w:rPr>
                      <w:rFonts w:ascii="Corbel" w:hAnsi="Corbel"/>
                      <w:color w:val="000000" w:themeColor="text1"/>
                      <w:sz w:val="20"/>
                      <w:szCs w:val="20"/>
                    </w:rPr>
                  </w:pPr>
                  <w:r w:rsidRPr="00E20647">
                    <w:rPr>
                      <w:rFonts w:ascii="Corbel" w:hAnsi="Corbel"/>
                      <w:color w:val="000000" w:themeColor="text1"/>
                      <w:sz w:val="20"/>
                      <w:szCs w:val="20"/>
                    </w:rPr>
                    <w:t xml:space="preserve">Means the inventory monitoring, forecasting, ordering, data collection and reporting, cold chain maintenance, delivery and invoice verification, storage, vaccine wastage and leakage prevention, and distribution activities that States and Territories are required to undertake with respect to National Immunisation Program vaccines under the arrangements outlined in this </w:t>
                  </w:r>
                  <w:r w:rsidR="00BE17F5">
                    <w:rPr>
                      <w:rFonts w:ascii="Corbel" w:hAnsi="Corbel"/>
                      <w:color w:val="000000" w:themeColor="text1"/>
                      <w:sz w:val="20"/>
                      <w:szCs w:val="20"/>
                    </w:rPr>
                    <w:t>Schedule</w:t>
                  </w:r>
                  <w:r w:rsidRPr="00E20647">
                    <w:rPr>
                      <w:rFonts w:ascii="Corbel" w:hAnsi="Corbel"/>
                      <w:color w:val="000000" w:themeColor="text1"/>
                      <w:sz w:val="20"/>
                      <w:szCs w:val="20"/>
                    </w:rPr>
                    <w:t xml:space="preserve">. Further detail </w:t>
                  </w:r>
                  <w:r w:rsidRPr="00E20647">
                    <w:rPr>
                      <w:rFonts w:ascii="Corbel" w:hAnsi="Corbel"/>
                      <w:color w:val="000000" w:themeColor="text1"/>
                      <w:sz w:val="20"/>
                      <w:szCs w:val="20"/>
                    </w:rPr>
                    <w:lastRenderedPageBreak/>
                    <w:t xml:space="preserve">is at </w:t>
                  </w:r>
                  <w:r w:rsidR="00BE17F5">
                    <w:rPr>
                      <w:rFonts w:ascii="Corbel" w:hAnsi="Corbel"/>
                      <w:color w:val="000000" w:themeColor="text1"/>
                      <w:sz w:val="20"/>
                      <w:szCs w:val="20"/>
                    </w:rPr>
                    <w:t>Tables 2 and 3</w:t>
                  </w:r>
                  <w:r w:rsidRPr="00E20647">
                    <w:rPr>
                      <w:rFonts w:ascii="Corbel" w:hAnsi="Corbel"/>
                      <w:color w:val="000000" w:themeColor="text1"/>
                      <w:sz w:val="20"/>
                      <w:szCs w:val="20"/>
                    </w:rPr>
                    <w:t>.</w:t>
                  </w:r>
                </w:p>
              </w:tc>
            </w:tr>
            <w:tr w:rsidR="00E20647" w:rsidRPr="00E20647" w14:paraId="75A6E671" w14:textId="77777777" w:rsidTr="00E20647">
              <w:tc>
                <w:tcPr>
                  <w:tcW w:w="2410" w:type="dxa"/>
                </w:tcPr>
                <w:p w14:paraId="47AB1CCE" w14:textId="2ADBF71B" w:rsidR="00E20647" w:rsidRPr="00E20647" w:rsidRDefault="00E20647" w:rsidP="004D36E3">
                  <w:pPr>
                    <w:spacing w:after="200"/>
                    <w:rPr>
                      <w:rFonts w:ascii="Corbel" w:hAnsi="Corbel" w:cstheme="minorHAnsi"/>
                      <w:b/>
                      <w:snapToGrid w:val="0"/>
                      <w:sz w:val="20"/>
                      <w:szCs w:val="20"/>
                    </w:rPr>
                  </w:pPr>
                  <w:r>
                    <w:rPr>
                      <w:rFonts w:ascii="Corbel" w:hAnsi="Corbel" w:cstheme="minorHAnsi"/>
                      <w:b/>
                      <w:snapToGrid w:val="0"/>
                      <w:sz w:val="20"/>
                      <w:szCs w:val="20"/>
                    </w:rPr>
                    <w:lastRenderedPageBreak/>
                    <w:t>Vaccines</w:t>
                  </w:r>
                </w:p>
              </w:tc>
              <w:tc>
                <w:tcPr>
                  <w:tcW w:w="5123" w:type="dxa"/>
                </w:tcPr>
                <w:p w14:paraId="73A7564E" w14:textId="1CE2368C" w:rsidR="00E20647" w:rsidRPr="00E20647" w:rsidRDefault="00E20647" w:rsidP="00E20647">
                  <w:pPr>
                    <w:spacing w:after="200"/>
                    <w:rPr>
                      <w:rFonts w:ascii="Corbel" w:hAnsi="Corbel" w:cstheme="minorHAnsi"/>
                      <w:sz w:val="20"/>
                      <w:szCs w:val="20"/>
                    </w:rPr>
                  </w:pPr>
                  <w:r w:rsidRPr="00E20647">
                    <w:rPr>
                      <w:rFonts w:ascii="Corbel" w:hAnsi="Corbel" w:cstheme="minorHAnsi"/>
                      <w:sz w:val="20"/>
                      <w:szCs w:val="20"/>
                    </w:rPr>
                    <w:t>Means essential vaccines or National</w:t>
                  </w:r>
                  <w:r>
                    <w:rPr>
                      <w:rFonts w:ascii="Corbel" w:hAnsi="Corbel" w:cstheme="minorHAnsi"/>
                      <w:sz w:val="20"/>
                      <w:szCs w:val="20"/>
                    </w:rPr>
                    <w:t xml:space="preserve"> Immunisation Program vaccines.</w:t>
                  </w:r>
                </w:p>
              </w:tc>
            </w:tr>
            <w:tr w:rsidR="00E20647" w:rsidRPr="00E20647" w14:paraId="76833AB1" w14:textId="77777777" w:rsidTr="00E20647">
              <w:tc>
                <w:tcPr>
                  <w:tcW w:w="2410" w:type="dxa"/>
                </w:tcPr>
                <w:p w14:paraId="3ACCB3EB" w14:textId="7302AA1D" w:rsidR="00E20647" w:rsidRPr="00E20647" w:rsidRDefault="00E20647" w:rsidP="00E20647">
                  <w:pPr>
                    <w:spacing w:after="200"/>
                    <w:rPr>
                      <w:rFonts w:ascii="Corbel" w:hAnsi="Corbel" w:cstheme="minorHAnsi"/>
                      <w:b/>
                      <w:snapToGrid w:val="0"/>
                      <w:sz w:val="20"/>
                      <w:szCs w:val="20"/>
                    </w:rPr>
                  </w:pPr>
                  <w:r>
                    <w:rPr>
                      <w:rFonts w:ascii="Corbel" w:hAnsi="Corbel" w:cstheme="minorHAnsi"/>
                      <w:b/>
                      <w:snapToGrid w:val="0"/>
                      <w:sz w:val="20"/>
                      <w:szCs w:val="20"/>
                    </w:rPr>
                    <w:t>Vaccine Leakage</w:t>
                  </w:r>
                </w:p>
              </w:tc>
              <w:tc>
                <w:tcPr>
                  <w:tcW w:w="5123" w:type="dxa"/>
                </w:tcPr>
                <w:p w14:paraId="5A1F1C08" w14:textId="7E199A71" w:rsidR="00E20647" w:rsidRPr="00E20647" w:rsidRDefault="00E20647" w:rsidP="00E20647">
                  <w:pPr>
                    <w:spacing w:after="200"/>
                    <w:rPr>
                      <w:rFonts w:ascii="Corbel" w:hAnsi="Corbel" w:cstheme="minorHAnsi"/>
                      <w:sz w:val="20"/>
                      <w:szCs w:val="20"/>
                    </w:rPr>
                  </w:pPr>
                  <w:r w:rsidRPr="00E20647">
                    <w:rPr>
                      <w:rFonts w:ascii="Corbel" w:hAnsi="Corbel" w:cstheme="minorHAnsi"/>
                      <w:sz w:val="20"/>
                      <w:szCs w:val="20"/>
                    </w:rPr>
                    <w:t>Means a vaccine that is purchased for administration to eligible cohorts is administered to a person who is not e</w:t>
                  </w:r>
                  <w:r>
                    <w:rPr>
                      <w:rFonts w:ascii="Corbel" w:hAnsi="Corbel" w:cstheme="minorHAnsi"/>
                      <w:sz w:val="20"/>
                      <w:szCs w:val="20"/>
                    </w:rPr>
                    <w:t>ligible to receive the vaccine.</w:t>
                  </w:r>
                </w:p>
              </w:tc>
            </w:tr>
            <w:tr w:rsidR="00E20647" w:rsidRPr="00E20647" w14:paraId="65B3103A" w14:textId="77777777" w:rsidTr="00E20647">
              <w:tc>
                <w:tcPr>
                  <w:tcW w:w="2410" w:type="dxa"/>
                </w:tcPr>
                <w:p w14:paraId="2257A3BF" w14:textId="274E5614" w:rsidR="00E20647" w:rsidRPr="00E20647" w:rsidRDefault="00E20647" w:rsidP="00E20647">
                  <w:pPr>
                    <w:spacing w:after="200"/>
                    <w:rPr>
                      <w:rFonts w:ascii="Corbel" w:hAnsi="Corbel" w:cstheme="minorHAnsi"/>
                      <w:b/>
                      <w:snapToGrid w:val="0"/>
                      <w:sz w:val="20"/>
                      <w:szCs w:val="20"/>
                    </w:rPr>
                  </w:pPr>
                  <w:r w:rsidRPr="00E20647">
                    <w:rPr>
                      <w:rFonts w:ascii="Corbel" w:hAnsi="Corbel" w:cstheme="minorHAnsi"/>
                      <w:b/>
                      <w:snapToGrid w:val="0"/>
                      <w:sz w:val="20"/>
                      <w:szCs w:val="20"/>
                    </w:rPr>
                    <w:t>Vaccine Preventable Diseases</w:t>
                  </w:r>
                </w:p>
              </w:tc>
              <w:tc>
                <w:tcPr>
                  <w:tcW w:w="5123" w:type="dxa"/>
                </w:tcPr>
                <w:p w14:paraId="17319F25" w14:textId="3A3FB49A" w:rsidR="00E20647" w:rsidRPr="00E20647" w:rsidRDefault="00E20647" w:rsidP="00E20647">
                  <w:pPr>
                    <w:spacing w:after="200"/>
                    <w:rPr>
                      <w:rFonts w:ascii="Corbel" w:hAnsi="Corbel" w:cstheme="minorHAnsi"/>
                      <w:sz w:val="20"/>
                      <w:szCs w:val="20"/>
                    </w:rPr>
                  </w:pPr>
                  <w:r w:rsidRPr="00E20647">
                    <w:rPr>
                      <w:rFonts w:ascii="Corbel" w:hAnsi="Corbel" w:cstheme="minorHAnsi"/>
                      <w:sz w:val="20"/>
                      <w:szCs w:val="20"/>
                    </w:rPr>
                    <w:t>Means communicable diseases that can be prevented by vaccination.</w:t>
                  </w:r>
                </w:p>
              </w:tc>
            </w:tr>
            <w:tr w:rsidR="00E20647" w:rsidRPr="00E20647" w14:paraId="296A4909" w14:textId="77777777" w:rsidTr="00E20647">
              <w:tc>
                <w:tcPr>
                  <w:tcW w:w="2410" w:type="dxa"/>
                </w:tcPr>
                <w:p w14:paraId="592DCCA8" w14:textId="22911D1D" w:rsidR="00E20647" w:rsidRPr="00E20647" w:rsidRDefault="00E20647" w:rsidP="00E20647">
                  <w:pPr>
                    <w:spacing w:after="200"/>
                    <w:rPr>
                      <w:rFonts w:ascii="Corbel" w:hAnsi="Corbel" w:cstheme="minorHAnsi"/>
                      <w:b/>
                      <w:snapToGrid w:val="0"/>
                      <w:sz w:val="20"/>
                      <w:szCs w:val="20"/>
                    </w:rPr>
                  </w:pPr>
                  <w:r w:rsidRPr="00E20647">
                    <w:rPr>
                      <w:rFonts w:ascii="Corbel" w:hAnsi="Corbel"/>
                      <w:b/>
                      <w:snapToGrid w:val="0"/>
                      <w:sz w:val="20"/>
                      <w:szCs w:val="20"/>
                    </w:rPr>
                    <w:t>Vaccine Sponsor</w:t>
                  </w:r>
                </w:p>
              </w:tc>
              <w:tc>
                <w:tcPr>
                  <w:tcW w:w="5123" w:type="dxa"/>
                </w:tcPr>
                <w:p w14:paraId="4D113D52" w14:textId="3416B156" w:rsidR="00E20647" w:rsidRPr="00E20647" w:rsidRDefault="00E20647" w:rsidP="00E20647">
                  <w:pPr>
                    <w:spacing w:after="200"/>
                    <w:rPr>
                      <w:rFonts w:ascii="Corbel" w:hAnsi="Corbel" w:cstheme="minorHAnsi"/>
                      <w:sz w:val="20"/>
                      <w:szCs w:val="20"/>
                    </w:rPr>
                  </w:pPr>
                  <w:r w:rsidRPr="00E20647">
                    <w:rPr>
                      <w:rFonts w:ascii="Corbel" w:hAnsi="Corbel"/>
                      <w:sz w:val="20"/>
                      <w:szCs w:val="20"/>
                    </w:rPr>
                    <w:t xml:space="preserve">Means a third party who is under a contractual agreement with the Commonwealth, </w:t>
                  </w:r>
                  <w:r w:rsidRPr="00E20647">
                    <w:rPr>
                      <w:rFonts w:ascii="Corbel" w:hAnsi="Corbel"/>
                      <w:color w:val="000000" w:themeColor="text1"/>
                      <w:sz w:val="20"/>
                      <w:szCs w:val="20"/>
                    </w:rPr>
                    <w:t xml:space="preserve">States or Territories </w:t>
                  </w:r>
                  <w:r w:rsidRPr="00E20647">
                    <w:rPr>
                      <w:rFonts w:ascii="Corbel" w:hAnsi="Corbel"/>
                      <w:sz w:val="20"/>
                      <w:szCs w:val="20"/>
                    </w:rPr>
                    <w:t xml:space="preserve">to supply a National Immunisation Program vaccine. </w:t>
                  </w:r>
                </w:p>
              </w:tc>
            </w:tr>
            <w:tr w:rsidR="00E20647" w:rsidRPr="00E20647" w14:paraId="038E719C" w14:textId="77777777" w:rsidTr="00E20647">
              <w:tc>
                <w:tcPr>
                  <w:tcW w:w="2410" w:type="dxa"/>
                </w:tcPr>
                <w:p w14:paraId="1EE383D9" w14:textId="77777777" w:rsidR="00E20647" w:rsidRPr="00E20647" w:rsidRDefault="00E20647" w:rsidP="00E20647">
                  <w:pPr>
                    <w:spacing w:after="200"/>
                    <w:rPr>
                      <w:rFonts w:ascii="Corbel" w:hAnsi="Corbel" w:cstheme="minorHAnsi"/>
                      <w:b/>
                      <w:snapToGrid w:val="0"/>
                      <w:color w:val="3D4B67"/>
                      <w:sz w:val="20"/>
                      <w:szCs w:val="20"/>
                    </w:rPr>
                  </w:pPr>
                  <w:r w:rsidRPr="00E20647">
                    <w:rPr>
                      <w:rFonts w:ascii="Corbel" w:hAnsi="Corbel" w:cstheme="minorHAnsi"/>
                      <w:b/>
                      <w:snapToGrid w:val="0"/>
                      <w:sz w:val="20"/>
                      <w:szCs w:val="20"/>
                    </w:rPr>
                    <w:t>Vaccine Wastage</w:t>
                  </w:r>
                </w:p>
              </w:tc>
              <w:tc>
                <w:tcPr>
                  <w:tcW w:w="5123" w:type="dxa"/>
                </w:tcPr>
                <w:p w14:paraId="2AA12829" w14:textId="345376E9" w:rsidR="00E20647" w:rsidRPr="00E20647" w:rsidRDefault="00E20647" w:rsidP="00E20647">
                  <w:pPr>
                    <w:tabs>
                      <w:tab w:val="left" w:pos="2589"/>
                    </w:tabs>
                    <w:spacing w:after="200"/>
                    <w:rPr>
                      <w:rFonts w:ascii="Corbel" w:hAnsi="Corbel" w:cstheme="minorHAnsi"/>
                      <w:sz w:val="20"/>
                      <w:szCs w:val="20"/>
                    </w:rPr>
                  </w:pPr>
                  <w:r w:rsidRPr="00E20647">
                    <w:rPr>
                      <w:rFonts w:ascii="Corbel" w:hAnsi="Corbel" w:cstheme="minorHAnsi"/>
                      <w:sz w:val="20"/>
                      <w:szCs w:val="20"/>
                    </w:rPr>
                    <w:t>Means loss of vaccines due to cold chain br</w:t>
                  </w:r>
                  <w:r>
                    <w:rPr>
                      <w:rFonts w:ascii="Corbel" w:hAnsi="Corbel" w:cstheme="minorHAnsi"/>
                      <w:sz w:val="20"/>
                      <w:szCs w:val="20"/>
                    </w:rPr>
                    <w:t>eaches, expiry or other damage.</w:t>
                  </w:r>
                </w:p>
              </w:tc>
            </w:tr>
          </w:tbl>
          <w:p w14:paraId="7E543C92" w14:textId="0FCA6AE3" w:rsidR="00EA63BE" w:rsidRPr="00C240A2" w:rsidRDefault="00EA63BE" w:rsidP="00C240A2">
            <w:pPr>
              <w:pStyle w:val="Normalnumbered"/>
              <w:tabs>
                <w:tab w:val="clear" w:pos="360"/>
              </w:tabs>
              <w:spacing w:after="0" w:line="240" w:lineRule="auto"/>
              <w:ind w:left="32" w:firstLine="0"/>
              <w:jc w:val="left"/>
              <w:rPr>
                <w:rFonts w:cstheme="minorHAnsi"/>
                <w:sz w:val="26"/>
                <w:szCs w:val="26"/>
              </w:rPr>
            </w:pPr>
          </w:p>
        </w:tc>
      </w:tr>
    </w:tbl>
    <w:p w14:paraId="7417F48D" w14:textId="6B4B114E" w:rsidR="00C91B5F" w:rsidRDefault="00C91B5F" w:rsidP="00C91B5F"/>
    <w:p w14:paraId="39E3D7EB" w14:textId="74DF3280" w:rsidR="0002594D" w:rsidRDefault="0002594D">
      <w:pPr>
        <w:widowControl/>
        <w:spacing w:after="160" w:line="259" w:lineRule="auto"/>
      </w:pPr>
      <w:r>
        <w:br w:type="page"/>
      </w:r>
    </w:p>
    <w:p w14:paraId="31A15A6D" w14:textId="1616E03E" w:rsidR="0002594D" w:rsidRDefault="0002594D" w:rsidP="00C91B5F"/>
    <w:tbl>
      <w:tblPr>
        <w:tblStyle w:val="TableGrid"/>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628"/>
      </w:tblGrid>
      <w:tr w:rsidR="0002594D" w14:paraId="0A78B028" w14:textId="77777777" w:rsidTr="00153AD1">
        <w:trPr>
          <w:trHeight w:val="432"/>
        </w:trPr>
        <w:tc>
          <w:tcPr>
            <w:tcW w:w="9628" w:type="dxa"/>
            <w:shd w:val="clear" w:color="auto" w:fill="DEEAF6" w:themeFill="accent1" w:themeFillTint="33"/>
          </w:tcPr>
          <w:p w14:paraId="15CD9278" w14:textId="76E35E06" w:rsidR="0002594D" w:rsidRDefault="0002594D" w:rsidP="00C91B5F">
            <w:r w:rsidRPr="00153AD1">
              <w:rPr>
                <w:rFonts w:ascii="Corbel" w:eastAsia="Times New Roman" w:hAnsi="Corbel" w:cs="Arial"/>
                <w:b/>
                <w:iCs/>
                <w:sz w:val="26"/>
                <w:szCs w:val="26"/>
                <w:lang w:eastAsia="en-AU"/>
              </w:rPr>
              <w:t>Table 2</w:t>
            </w:r>
            <w:r w:rsidR="00153AD1">
              <w:rPr>
                <w:rFonts w:ascii="Corbel" w:eastAsia="Times New Roman" w:hAnsi="Corbel" w:cs="Arial"/>
                <w:b/>
                <w:iCs/>
                <w:sz w:val="26"/>
                <w:szCs w:val="26"/>
                <w:lang w:eastAsia="en-AU"/>
              </w:rPr>
              <w:t>: Arrangements for implementation of the National Immunisation Program</w:t>
            </w:r>
          </w:p>
        </w:tc>
      </w:tr>
      <w:tr w:rsidR="0002594D" w14:paraId="5AF2ED04" w14:textId="77777777" w:rsidTr="00153AD1">
        <w:tc>
          <w:tcPr>
            <w:tcW w:w="9628" w:type="dxa"/>
          </w:tcPr>
          <w:p w14:paraId="48CB6F7D" w14:textId="77777777" w:rsidR="002D7502" w:rsidRPr="00B805AB" w:rsidRDefault="002D7502" w:rsidP="000B173A">
            <w:pPr>
              <w:rPr>
                <w:rFonts w:ascii="Corbel" w:eastAsia="Times New Roman" w:hAnsi="Corbel" w:cs="Arial"/>
                <w:b/>
                <w:iCs/>
                <w:sz w:val="23"/>
                <w:szCs w:val="23"/>
                <w:lang w:eastAsia="en-AU"/>
              </w:rPr>
            </w:pPr>
          </w:p>
          <w:p w14:paraId="0FB068A0" w14:textId="4ABCD1DA" w:rsidR="0002594D" w:rsidRPr="00B805AB" w:rsidRDefault="0002594D" w:rsidP="000B173A">
            <w:pPr>
              <w:rPr>
                <w:rFonts w:ascii="Corbel" w:eastAsia="Times New Roman" w:hAnsi="Corbel" w:cs="Arial"/>
                <w:b/>
                <w:iCs/>
                <w:color w:val="44546A" w:themeColor="text2"/>
                <w:sz w:val="26"/>
                <w:szCs w:val="26"/>
                <w:lang w:eastAsia="en-AU"/>
              </w:rPr>
            </w:pPr>
            <w:r w:rsidRPr="00B805AB">
              <w:rPr>
                <w:rFonts w:ascii="Corbel" w:eastAsia="Times New Roman" w:hAnsi="Corbel" w:cs="Arial"/>
                <w:b/>
                <w:iCs/>
                <w:color w:val="44546A" w:themeColor="text2"/>
                <w:sz w:val="26"/>
                <w:szCs w:val="26"/>
                <w:lang w:eastAsia="en-AU"/>
              </w:rPr>
              <w:t>Description</w:t>
            </w:r>
          </w:p>
          <w:p w14:paraId="4304A4E5" w14:textId="77777777" w:rsidR="000B173A" w:rsidRPr="00B805AB" w:rsidRDefault="000B173A" w:rsidP="000B173A">
            <w:pPr>
              <w:rPr>
                <w:rFonts w:ascii="Corbel" w:eastAsia="Times New Roman" w:hAnsi="Corbel" w:cs="Arial"/>
                <w:b/>
                <w:iCs/>
                <w:sz w:val="23"/>
                <w:szCs w:val="23"/>
                <w:lang w:eastAsia="en-AU"/>
              </w:rPr>
            </w:pPr>
          </w:p>
          <w:p w14:paraId="6D9A29D2" w14:textId="719D30EA" w:rsidR="0002594D" w:rsidRPr="00B805AB" w:rsidRDefault="0002594D" w:rsidP="00B805AB">
            <w:pPr>
              <w:pStyle w:val="ScheduleNumberedPara"/>
              <w:spacing w:after="120" w:line="240" w:lineRule="auto"/>
              <w:ind w:left="447"/>
              <w:jc w:val="left"/>
              <w:rPr>
                <w:vanish/>
                <w:szCs w:val="23"/>
              </w:rPr>
            </w:pPr>
            <w:r w:rsidRPr="00B805AB">
              <w:rPr>
                <w:color w:val="000000" w:themeColor="text1"/>
                <w:szCs w:val="23"/>
              </w:rPr>
              <w:t xml:space="preserve">This </w:t>
            </w:r>
            <w:r w:rsidR="00153AD1" w:rsidRPr="00B805AB">
              <w:rPr>
                <w:color w:val="000000" w:themeColor="text1"/>
                <w:szCs w:val="23"/>
              </w:rPr>
              <w:t>Table</w:t>
            </w:r>
            <w:r w:rsidRPr="00B805AB">
              <w:rPr>
                <w:color w:val="000000" w:themeColor="text1"/>
                <w:szCs w:val="23"/>
              </w:rPr>
              <w:t xml:space="preserve"> provides for</w:t>
            </w:r>
            <w:r w:rsidR="00E373D9">
              <w:rPr>
                <w:color w:val="000000" w:themeColor="text1"/>
                <w:szCs w:val="23"/>
              </w:rPr>
              <w:t xml:space="preserve"> </w:t>
            </w:r>
          </w:p>
          <w:p w14:paraId="4E4349A3" w14:textId="6BCE6585" w:rsidR="0002594D" w:rsidRPr="00B805AB" w:rsidRDefault="0002594D" w:rsidP="002D7502">
            <w:pPr>
              <w:pStyle w:val="ListParagraph"/>
              <w:widowControl/>
              <w:numPr>
                <w:ilvl w:val="0"/>
                <w:numId w:val="27"/>
              </w:numPr>
              <w:spacing w:after="120"/>
              <w:ind w:left="1014" w:hanging="567"/>
              <w:rPr>
                <w:rFonts w:ascii="Corbel" w:hAnsi="Corbel"/>
                <w:color w:val="000000" w:themeColor="text1"/>
                <w:sz w:val="23"/>
                <w:szCs w:val="23"/>
              </w:rPr>
            </w:pPr>
            <w:r w:rsidRPr="00B805AB">
              <w:rPr>
                <w:rFonts w:ascii="Corbel" w:hAnsi="Corbel"/>
                <w:color w:val="000000" w:themeColor="text1"/>
                <w:sz w:val="23"/>
                <w:szCs w:val="23"/>
              </w:rPr>
              <w:t>National Immunisation Program (NIP) vaccine management by the States and Territories and distribution of NIP vaccines to immunisation providers by the States</w:t>
            </w:r>
            <w:r w:rsidR="00153AD1" w:rsidRPr="00B805AB">
              <w:rPr>
                <w:rFonts w:ascii="Corbel" w:hAnsi="Corbel"/>
                <w:color w:val="000000" w:themeColor="text1"/>
                <w:sz w:val="23"/>
                <w:szCs w:val="23"/>
              </w:rPr>
              <w:t xml:space="preserve"> and Territories</w:t>
            </w:r>
            <w:r w:rsidRPr="00B805AB">
              <w:rPr>
                <w:rFonts w:ascii="Corbel" w:hAnsi="Corbel"/>
                <w:color w:val="000000" w:themeColor="text1"/>
                <w:sz w:val="23"/>
                <w:szCs w:val="23"/>
              </w:rPr>
              <w:t>;</w:t>
            </w:r>
          </w:p>
          <w:p w14:paraId="066CBEDF" w14:textId="0CF56B11" w:rsidR="0002594D" w:rsidRPr="00B805AB" w:rsidRDefault="0002594D" w:rsidP="002D7502">
            <w:pPr>
              <w:pStyle w:val="ListParagraph"/>
              <w:widowControl/>
              <w:numPr>
                <w:ilvl w:val="0"/>
                <w:numId w:val="27"/>
              </w:numPr>
              <w:spacing w:after="120"/>
              <w:ind w:left="1014" w:hanging="567"/>
              <w:rPr>
                <w:rFonts w:ascii="Corbel" w:hAnsi="Corbel"/>
                <w:color w:val="000000" w:themeColor="text1"/>
                <w:sz w:val="23"/>
                <w:szCs w:val="23"/>
              </w:rPr>
            </w:pPr>
            <w:r w:rsidRPr="00B805AB">
              <w:rPr>
                <w:rFonts w:ascii="Corbel" w:hAnsi="Corbel"/>
                <w:color w:val="000000" w:themeColor="text1"/>
                <w:sz w:val="23"/>
                <w:szCs w:val="23"/>
              </w:rPr>
              <w:t xml:space="preserve">Commonwealth coordination of procurement of NIP vaccines and the provision of Commonwealth payments to Vaccine Sponsors for NIP vaccines as </w:t>
            </w:r>
            <w:r w:rsidR="003F3A76">
              <w:rPr>
                <w:rFonts w:ascii="Corbel" w:hAnsi="Corbel"/>
                <w:color w:val="000000" w:themeColor="text1"/>
                <w:sz w:val="23"/>
                <w:szCs w:val="23"/>
              </w:rPr>
              <w:t>purchaser</w:t>
            </w:r>
            <w:r w:rsidRPr="00B805AB">
              <w:rPr>
                <w:rFonts w:ascii="Corbel" w:hAnsi="Corbel"/>
                <w:color w:val="000000" w:themeColor="text1"/>
                <w:sz w:val="23"/>
                <w:szCs w:val="23"/>
              </w:rPr>
              <w:t xml:space="preserve"> for the States</w:t>
            </w:r>
            <w:r w:rsidR="00153AD1" w:rsidRPr="00B805AB">
              <w:rPr>
                <w:rFonts w:ascii="Corbel" w:hAnsi="Corbel"/>
                <w:color w:val="000000" w:themeColor="text1"/>
                <w:sz w:val="23"/>
                <w:szCs w:val="23"/>
              </w:rPr>
              <w:t xml:space="preserve"> and Territories</w:t>
            </w:r>
            <w:r w:rsidRPr="00B805AB">
              <w:rPr>
                <w:rFonts w:ascii="Corbel" w:hAnsi="Corbel"/>
                <w:color w:val="000000" w:themeColor="text1"/>
                <w:sz w:val="23"/>
                <w:szCs w:val="23"/>
              </w:rPr>
              <w:t>; and</w:t>
            </w:r>
          </w:p>
          <w:p w14:paraId="14E31D86" w14:textId="61018D7C" w:rsidR="0002594D" w:rsidRPr="00B805AB" w:rsidRDefault="0002594D" w:rsidP="002D7502">
            <w:pPr>
              <w:pStyle w:val="ListParagraph"/>
              <w:widowControl/>
              <w:numPr>
                <w:ilvl w:val="0"/>
                <w:numId w:val="27"/>
              </w:numPr>
              <w:ind w:left="1015" w:hanging="567"/>
              <w:rPr>
                <w:rFonts w:ascii="Corbel" w:hAnsi="Corbel"/>
                <w:color w:val="000000" w:themeColor="text1"/>
                <w:sz w:val="23"/>
                <w:szCs w:val="23"/>
              </w:rPr>
            </w:pPr>
            <w:r w:rsidRPr="00B805AB">
              <w:rPr>
                <w:rFonts w:ascii="Corbel" w:hAnsi="Corbel"/>
                <w:color w:val="000000" w:themeColor="text1"/>
                <w:sz w:val="23"/>
                <w:szCs w:val="23"/>
              </w:rPr>
              <w:t xml:space="preserve">State </w:t>
            </w:r>
            <w:r w:rsidR="00153AD1" w:rsidRPr="00B805AB">
              <w:rPr>
                <w:rFonts w:ascii="Corbel" w:hAnsi="Corbel"/>
                <w:color w:val="000000" w:themeColor="text1"/>
                <w:sz w:val="23"/>
                <w:szCs w:val="23"/>
              </w:rPr>
              <w:t xml:space="preserve">and Territory </w:t>
            </w:r>
            <w:r w:rsidRPr="00B805AB">
              <w:rPr>
                <w:rFonts w:ascii="Corbel" w:hAnsi="Corbel"/>
                <w:color w:val="000000" w:themeColor="text1"/>
                <w:sz w:val="23"/>
                <w:szCs w:val="23"/>
              </w:rPr>
              <w:t>assistance to the Commonwealth for the coordination of procurement of NIP vaccines under the Deed or Head Agreements.</w:t>
            </w:r>
          </w:p>
          <w:p w14:paraId="5A9D4DE3" w14:textId="77777777" w:rsidR="002D7502" w:rsidRPr="00B805AB" w:rsidRDefault="002D7502" w:rsidP="000B173A">
            <w:pPr>
              <w:pStyle w:val="ScheduleNumberedPara"/>
              <w:spacing w:after="0" w:line="240" w:lineRule="auto"/>
              <w:jc w:val="left"/>
              <w:rPr>
                <w:color w:val="000000" w:themeColor="text1"/>
                <w:szCs w:val="23"/>
              </w:rPr>
            </w:pPr>
          </w:p>
          <w:p w14:paraId="67F04D1B" w14:textId="2AE2D1F4" w:rsidR="0002594D" w:rsidRPr="00B805AB" w:rsidRDefault="0002594D" w:rsidP="00B805AB">
            <w:pPr>
              <w:pStyle w:val="ScheduleNumberedPara"/>
              <w:spacing w:after="0" w:line="240" w:lineRule="auto"/>
              <w:ind w:left="447"/>
              <w:jc w:val="left"/>
              <w:rPr>
                <w:color w:val="000000" w:themeColor="text1"/>
                <w:szCs w:val="23"/>
              </w:rPr>
            </w:pPr>
            <w:r w:rsidRPr="00B805AB">
              <w:rPr>
                <w:color w:val="000000" w:themeColor="text1"/>
                <w:szCs w:val="23"/>
              </w:rPr>
              <w:t>The Commonwealth and the States</w:t>
            </w:r>
            <w:r w:rsidR="009D22BC" w:rsidRPr="00B805AB">
              <w:rPr>
                <w:color w:val="000000" w:themeColor="text1"/>
                <w:szCs w:val="23"/>
              </w:rPr>
              <w:t xml:space="preserve"> and Territories</w:t>
            </w:r>
            <w:r w:rsidRPr="00B805AB">
              <w:rPr>
                <w:color w:val="000000" w:themeColor="text1"/>
                <w:szCs w:val="23"/>
              </w:rPr>
              <w:t xml:space="preserve"> will agree, from time to time as new contracts for purchasing NIP vaccines are entered into, on specific obligations relating to those new NIP vaccines.  </w:t>
            </w:r>
          </w:p>
          <w:p w14:paraId="2D841972" w14:textId="77777777" w:rsidR="002D7502" w:rsidRPr="00B805AB" w:rsidRDefault="002D7502" w:rsidP="00B805AB">
            <w:pPr>
              <w:pStyle w:val="ScheduleNumberedPara"/>
              <w:spacing w:after="0" w:line="240" w:lineRule="auto"/>
              <w:ind w:left="447"/>
              <w:jc w:val="left"/>
              <w:rPr>
                <w:color w:val="000000" w:themeColor="text1"/>
                <w:szCs w:val="23"/>
              </w:rPr>
            </w:pPr>
          </w:p>
          <w:p w14:paraId="08CB0431" w14:textId="5FC1EBE8" w:rsidR="0002594D" w:rsidRPr="00B805AB" w:rsidRDefault="0002594D" w:rsidP="00B805AB">
            <w:pPr>
              <w:pStyle w:val="ScheduleNumberedPara"/>
              <w:spacing w:after="0" w:line="240" w:lineRule="auto"/>
              <w:ind w:left="447"/>
              <w:jc w:val="left"/>
              <w:rPr>
                <w:color w:val="000000" w:themeColor="text1"/>
                <w:szCs w:val="23"/>
              </w:rPr>
            </w:pPr>
            <w:r w:rsidRPr="00B805AB">
              <w:rPr>
                <w:color w:val="000000" w:themeColor="text1"/>
                <w:szCs w:val="23"/>
              </w:rPr>
              <w:t xml:space="preserve">In this </w:t>
            </w:r>
            <w:r w:rsidR="009D22BC" w:rsidRPr="00B805AB">
              <w:rPr>
                <w:color w:val="000000" w:themeColor="text1"/>
                <w:szCs w:val="23"/>
              </w:rPr>
              <w:t>Table and broader Schedule</w:t>
            </w:r>
            <w:r w:rsidRPr="00B805AB">
              <w:rPr>
                <w:color w:val="000000" w:themeColor="text1"/>
                <w:szCs w:val="23"/>
              </w:rPr>
              <w:t>, words that are capitalised and not defined have the meaning ascribed to them in the relevant Deed or Head Agreement</w:t>
            </w:r>
            <w:r w:rsidRPr="00B805AB">
              <w:rPr>
                <w:i/>
                <w:color w:val="000000" w:themeColor="text1"/>
                <w:szCs w:val="23"/>
              </w:rPr>
              <w:t>.</w:t>
            </w:r>
          </w:p>
          <w:p w14:paraId="4D6F87E2" w14:textId="77777777" w:rsidR="002D7502" w:rsidRPr="00B805AB" w:rsidRDefault="002D7502" w:rsidP="000B173A">
            <w:pPr>
              <w:rPr>
                <w:rFonts w:ascii="Corbel" w:eastAsia="Times New Roman" w:hAnsi="Corbel" w:cs="Arial"/>
                <w:b/>
                <w:iCs/>
                <w:sz w:val="23"/>
                <w:szCs w:val="23"/>
                <w:lang w:eastAsia="en-AU"/>
              </w:rPr>
            </w:pPr>
          </w:p>
          <w:p w14:paraId="6F6C772F" w14:textId="3FD0EF0C" w:rsidR="0002594D" w:rsidRPr="00B805AB" w:rsidRDefault="009D22BC" w:rsidP="000B173A">
            <w:pPr>
              <w:rPr>
                <w:rFonts w:ascii="Corbel" w:eastAsia="Times New Roman" w:hAnsi="Corbel" w:cs="Arial"/>
                <w:b/>
                <w:iCs/>
                <w:color w:val="44546A" w:themeColor="text2"/>
                <w:sz w:val="26"/>
                <w:szCs w:val="26"/>
                <w:lang w:eastAsia="en-AU"/>
              </w:rPr>
            </w:pPr>
            <w:r w:rsidRPr="00B805AB">
              <w:rPr>
                <w:rFonts w:ascii="Corbel" w:eastAsia="Times New Roman" w:hAnsi="Corbel" w:cs="Arial"/>
                <w:b/>
                <w:iCs/>
                <w:color w:val="44546A" w:themeColor="text2"/>
                <w:sz w:val="26"/>
                <w:szCs w:val="26"/>
                <w:lang w:eastAsia="en-AU"/>
              </w:rPr>
              <w:t>General obligations of the Parties</w:t>
            </w:r>
          </w:p>
          <w:p w14:paraId="31F0A841" w14:textId="77777777" w:rsidR="009D22BC" w:rsidRPr="00B805AB" w:rsidRDefault="009D22BC" w:rsidP="000B173A">
            <w:pPr>
              <w:rPr>
                <w:rFonts w:ascii="Corbel" w:eastAsia="Times New Roman" w:hAnsi="Corbel" w:cs="Arial"/>
                <w:b/>
                <w:iCs/>
                <w:sz w:val="23"/>
                <w:szCs w:val="23"/>
                <w:lang w:eastAsia="en-AU"/>
              </w:rPr>
            </w:pPr>
          </w:p>
          <w:p w14:paraId="2F25266F" w14:textId="77777777" w:rsidR="0002594D" w:rsidRPr="00B805AB" w:rsidRDefault="0002594D" w:rsidP="00B805AB">
            <w:pPr>
              <w:pStyle w:val="ScheduleNumberedPara"/>
              <w:spacing w:after="120" w:line="240" w:lineRule="auto"/>
              <w:ind w:left="447"/>
              <w:jc w:val="left"/>
              <w:rPr>
                <w:color w:val="000000" w:themeColor="text1"/>
                <w:szCs w:val="23"/>
              </w:rPr>
            </w:pPr>
            <w:r w:rsidRPr="00B805AB">
              <w:rPr>
                <w:color w:val="000000" w:themeColor="text1"/>
                <w:szCs w:val="23"/>
              </w:rPr>
              <w:t>The Commonwealth agrees to:</w:t>
            </w:r>
          </w:p>
          <w:p w14:paraId="3F403A94" w14:textId="63569F51" w:rsidR="0002594D" w:rsidRPr="00B805AB" w:rsidRDefault="0002594D" w:rsidP="002D7502">
            <w:pPr>
              <w:pStyle w:val="ListParagraph"/>
              <w:widowControl/>
              <w:numPr>
                <w:ilvl w:val="0"/>
                <w:numId w:val="28"/>
              </w:numPr>
              <w:spacing w:after="120"/>
              <w:ind w:left="1014" w:hanging="567"/>
              <w:rPr>
                <w:rFonts w:ascii="Corbel" w:hAnsi="Corbel"/>
                <w:color w:val="000000" w:themeColor="text1"/>
                <w:sz w:val="23"/>
                <w:szCs w:val="23"/>
              </w:rPr>
            </w:pPr>
            <w:r w:rsidRPr="00B805AB">
              <w:rPr>
                <w:rFonts w:ascii="Corbel" w:hAnsi="Corbel"/>
                <w:color w:val="000000" w:themeColor="text1"/>
                <w:sz w:val="23"/>
                <w:szCs w:val="23"/>
              </w:rPr>
              <w:t>appoint a "contract manager" responsible for all aspects of the Deed or Head Agreement between the Commonwealth and the States</w:t>
            </w:r>
            <w:r w:rsidR="009D22BC" w:rsidRPr="00B805AB">
              <w:rPr>
                <w:rFonts w:ascii="Corbel" w:hAnsi="Corbel"/>
                <w:color w:val="000000" w:themeColor="text1"/>
                <w:sz w:val="23"/>
                <w:szCs w:val="23"/>
              </w:rPr>
              <w:t xml:space="preserve"> and Territories, and</w:t>
            </w:r>
            <w:r w:rsidRPr="00B805AB">
              <w:rPr>
                <w:rFonts w:ascii="Corbel" w:hAnsi="Corbel"/>
                <w:color w:val="000000" w:themeColor="text1"/>
                <w:sz w:val="23"/>
                <w:szCs w:val="23"/>
              </w:rPr>
              <w:t xml:space="preserve"> the Vaccine Sponsor for supply of NIP vaccines;</w:t>
            </w:r>
          </w:p>
          <w:p w14:paraId="1E1419D5" w14:textId="24A2441C" w:rsidR="0002594D" w:rsidRPr="00B805AB" w:rsidRDefault="0002594D" w:rsidP="002D7502">
            <w:pPr>
              <w:pStyle w:val="ListParagraph"/>
              <w:widowControl/>
              <w:numPr>
                <w:ilvl w:val="0"/>
                <w:numId w:val="28"/>
              </w:numPr>
              <w:spacing w:after="120"/>
              <w:ind w:left="1014" w:hanging="567"/>
              <w:rPr>
                <w:rFonts w:ascii="Corbel" w:hAnsi="Corbel"/>
                <w:color w:val="000000" w:themeColor="text1"/>
                <w:sz w:val="23"/>
                <w:szCs w:val="23"/>
              </w:rPr>
            </w:pPr>
            <w:r w:rsidRPr="00B805AB">
              <w:rPr>
                <w:rFonts w:ascii="Corbel" w:hAnsi="Corbel"/>
                <w:color w:val="000000" w:themeColor="text1"/>
                <w:sz w:val="23"/>
                <w:szCs w:val="23"/>
              </w:rPr>
              <w:t xml:space="preserve">provide written quarterly forecasts to the Vaccine Sponsor (in accordance with the timeframes in this </w:t>
            </w:r>
            <w:r w:rsidR="009D22BC" w:rsidRPr="00B805AB">
              <w:rPr>
                <w:rFonts w:ascii="Corbel" w:hAnsi="Corbel"/>
                <w:color w:val="000000" w:themeColor="text1"/>
                <w:sz w:val="23"/>
                <w:szCs w:val="23"/>
              </w:rPr>
              <w:t>Schedule</w:t>
            </w:r>
            <w:r w:rsidRPr="00B805AB">
              <w:rPr>
                <w:rFonts w:ascii="Corbel" w:hAnsi="Corbel"/>
                <w:color w:val="000000" w:themeColor="text1"/>
                <w:sz w:val="23"/>
                <w:szCs w:val="23"/>
              </w:rPr>
              <w:t xml:space="preserve"> or relevant Deed or Head Agreement), in accordance with advice from the States</w:t>
            </w:r>
            <w:r w:rsidR="009D22BC" w:rsidRPr="00B805AB">
              <w:rPr>
                <w:rFonts w:ascii="Corbel" w:hAnsi="Corbel"/>
                <w:color w:val="000000" w:themeColor="text1"/>
                <w:sz w:val="23"/>
                <w:szCs w:val="23"/>
              </w:rPr>
              <w:t xml:space="preserve"> and Territories</w:t>
            </w:r>
            <w:r w:rsidRPr="00B805AB">
              <w:rPr>
                <w:rFonts w:ascii="Corbel" w:hAnsi="Corbel"/>
                <w:color w:val="000000" w:themeColor="text1"/>
                <w:sz w:val="23"/>
                <w:szCs w:val="23"/>
              </w:rPr>
              <w:t>, of the quantities of NIP vaccines required nationally for the next 1</w:t>
            </w:r>
            <w:r w:rsidR="00F2703E">
              <w:rPr>
                <w:rFonts w:ascii="Corbel" w:hAnsi="Corbel"/>
                <w:color w:val="000000" w:themeColor="text1"/>
                <w:sz w:val="23"/>
                <w:szCs w:val="23"/>
              </w:rPr>
              <w:t>8</w:t>
            </w:r>
            <w:r w:rsidRPr="00B805AB">
              <w:rPr>
                <w:rFonts w:ascii="Corbel" w:hAnsi="Corbel"/>
                <w:color w:val="000000" w:themeColor="text1"/>
                <w:sz w:val="23"/>
                <w:szCs w:val="23"/>
              </w:rPr>
              <w:t xml:space="preserve"> months, or such other period as is agreed in the relevant Deed or Head Agreement; </w:t>
            </w:r>
          </w:p>
          <w:p w14:paraId="042FC099" w14:textId="3A387649" w:rsidR="0002594D" w:rsidRPr="00B805AB" w:rsidRDefault="0002594D" w:rsidP="002D7502">
            <w:pPr>
              <w:pStyle w:val="ListParagraph"/>
              <w:widowControl/>
              <w:numPr>
                <w:ilvl w:val="0"/>
                <w:numId w:val="28"/>
              </w:numPr>
              <w:spacing w:after="120"/>
              <w:ind w:left="1014" w:hanging="567"/>
              <w:rPr>
                <w:rFonts w:ascii="Corbel" w:hAnsi="Corbel"/>
                <w:color w:val="000000" w:themeColor="text1"/>
                <w:sz w:val="23"/>
                <w:szCs w:val="23"/>
              </w:rPr>
            </w:pPr>
            <w:r w:rsidRPr="00B805AB">
              <w:rPr>
                <w:rFonts w:ascii="Corbel" w:hAnsi="Corbel"/>
                <w:color w:val="000000" w:themeColor="text1"/>
                <w:sz w:val="23"/>
                <w:szCs w:val="23"/>
              </w:rPr>
              <w:t>use its best endeavours to negotiate with the relevant Vaccine Sponsor amendments to any Deed or Head Agreement which all of the States</w:t>
            </w:r>
            <w:r w:rsidR="009D22BC" w:rsidRPr="00B805AB">
              <w:rPr>
                <w:rFonts w:ascii="Corbel" w:hAnsi="Corbel"/>
                <w:color w:val="000000" w:themeColor="text1"/>
                <w:sz w:val="23"/>
                <w:szCs w:val="23"/>
              </w:rPr>
              <w:t xml:space="preserve"> and Territories</w:t>
            </w:r>
            <w:r w:rsidRPr="00B805AB">
              <w:rPr>
                <w:rFonts w:ascii="Corbel" w:hAnsi="Corbel"/>
                <w:color w:val="000000" w:themeColor="text1"/>
                <w:sz w:val="23"/>
                <w:szCs w:val="23"/>
              </w:rPr>
              <w:t xml:space="preserve"> agree are required to be made for the extension of a Deed or Head Agreement or negotiation of a new Deed or Head Agreement;</w:t>
            </w:r>
          </w:p>
          <w:p w14:paraId="36FC543F" w14:textId="5EA93A9F" w:rsidR="0002594D" w:rsidRPr="00B805AB" w:rsidRDefault="0002594D" w:rsidP="002D7502">
            <w:pPr>
              <w:pStyle w:val="ListParagraph"/>
              <w:widowControl/>
              <w:numPr>
                <w:ilvl w:val="0"/>
                <w:numId w:val="28"/>
              </w:numPr>
              <w:spacing w:after="120"/>
              <w:ind w:left="1014" w:hanging="567"/>
              <w:rPr>
                <w:rFonts w:ascii="Corbel" w:hAnsi="Corbel"/>
                <w:color w:val="000000" w:themeColor="text1"/>
                <w:sz w:val="23"/>
                <w:szCs w:val="23"/>
              </w:rPr>
            </w:pPr>
            <w:r w:rsidRPr="00B805AB">
              <w:rPr>
                <w:rFonts w:ascii="Corbel" w:hAnsi="Corbel"/>
                <w:color w:val="000000" w:themeColor="text1"/>
                <w:sz w:val="23"/>
                <w:szCs w:val="23"/>
              </w:rPr>
              <w:t>promptly notify all States</w:t>
            </w:r>
            <w:r w:rsidR="009D22BC" w:rsidRPr="00B805AB">
              <w:rPr>
                <w:rFonts w:ascii="Corbel" w:hAnsi="Corbel"/>
                <w:color w:val="000000" w:themeColor="text1"/>
                <w:sz w:val="23"/>
                <w:szCs w:val="23"/>
              </w:rPr>
              <w:t xml:space="preserve"> and Territories</w:t>
            </w:r>
            <w:r w:rsidRPr="00B805AB">
              <w:rPr>
                <w:rFonts w:ascii="Corbel" w:hAnsi="Corbel"/>
                <w:color w:val="000000" w:themeColor="text1"/>
                <w:sz w:val="23"/>
                <w:szCs w:val="23"/>
              </w:rPr>
              <w:t xml:space="preserve"> of any actual or potential interruptions to the supply of NIP vaccines advised by the Vaccine Sponsor or of any product recall or retrieval for NIP vaccines advised by the Vaccine Sponsor or otherwise advised to the Commonwealth and promptly provide all relevant information as requested by the States in relation to those events; </w:t>
            </w:r>
          </w:p>
          <w:p w14:paraId="0938C43D" w14:textId="77777777" w:rsidR="0002594D" w:rsidRPr="00B805AB" w:rsidRDefault="0002594D" w:rsidP="002D7502">
            <w:pPr>
              <w:pStyle w:val="ListParagraph"/>
              <w:widowControl/>
              <w:numPr>
                <w:ilvl w:val="0"/>
                <w:numId w:val="28"/>
              </w:numPr>
              <w:spacing w:after="120"/>
              <w:ind w:left="1014" w:hanging="567"/>
              <w:rPr>
                <w:rFonts w:ascii="Corbel" w:hAnsi="Corbel"/>
                <w:color w:val="000000" w:themeColor="text1"/>
                <w:sz w:val="23"/>
                <w:szCs w:val="23"/>
              </w:rPr>
            </w:pPr>
            <w:r w:rsidRPr="00B805AB">
              <w:rPr>
                <w:rFonts w:ascii="Corbel" w:hAnsi="Corbel"/>
                <w:color w:val="000000" w:themeColor="text1"/>
                <w:sz w:val="23"/>
                <w:szCs w:val="23"/>
              </w:rPr>
              <w:t xml:space="preserve">negotiate with Vaccine Sponsors to resolve NIP vaccine supply issues that impact on the delivery of the NIP; </w:t>
            </w:r>
          </w:p>
          <w:p w14:paraId="61CD1959" w14:textId="64C33753" w:rsidR="0002594D" w:rsidRPr="00B805AB" w:rsidRDefault="0002594D" w:rsidP="002D7502">
            <w:pPr>
              <w:pStyle w:val="ListParagraph"/>
              <w:widowControl/>
              <w:numPr>
                <w:ilvl w:val="0"/>
                <w:numId w:val="28"/>
              </w:numPr>
              <w:spacing w:after="120"/>
              <w:ind w:left="1014" w:hanging="567"/>
              <w:rPr>
                <w:rFonts w:ascii="Corbel" w:hAnsi="Corbel"/>
                <w:color w:val="000000" w:themeColor="text1"/>
                <w:sz w:val="23"/>
                <w:szCs w:val="23"/>
              </w:rPr>
            </w:pPr>
            <w:r w:rsidRPr="00B805AB">
              <w:rPr>
                <w:rFonts w:ascii="Corbel" w:hAnsi="Corbel"/>
                <w:color w:val="000000" w:themeColor="text1"/>
                <w:sz w:val="23"/>
                <w:szCs w:val="23"/>
              </w:rPr>
              <w:t>consult with each State</w:t>
            </w:r>
            <w:r w:rsidR="009D22BC" w:rsidRPr="00B805AB">
              <w:rPr>
                <w:rFonts w:ascii="Corbel" w:hAnsi="Corbel"/>
                <w:color w:val="000000" w:themeColor="text1"/>
                <w:sz w:val="23"/>
                <w:szCs w:val="23"/>
              </w:rPr>
              <w:t xml:space="preserve"> and Territory</w:t>
            </w:r>
            <w:r w:rsidRPr="00B805AB">
              <w:rPr>
                <w:rFonts w:ascii="Corbel" w:hAnsi="Corbel"/>
                <w:color w:val="000000" w:themeColor="text1"/>
                <w:sz w:val="23"/>
                <w:szCs w:val="23"/>
              </w:rPr>
              <w:t xml:space="preserve"> on any critical event and proposed actions;</w:t>
            </w:r>
          </w:p>
          <w:p w14:paraId="14524639" w14:textId="77777777" w:rsidR="0002594D" w:rsidRPr="00B805AB" w:rsidRDefault="0002594D" w:rsidP="002D7502">
            <w:pPr>
              <w:pStyle w:val="ListParagraph"/>
              <w:widowControl/>
              <w:numPr>
                <w:ilvl w:val="0"/>
                <w:numId w:val="28"/>
              </w:numPr>
              <w:spacing w:after="120"/>
              <w:ind w:left="1014" w:hanging="567"/>
              <w:rPr>
                <w:rFonts w:ascii="Corbel" w:hAnsi="Corbel"/>
                <w:color w:val="000000" w:themeColor="text1"/>
                <w:sz w:val="23"/>
                <w:szCs w:val="23"/>
              </w:rPr>
            </w:pPr>
            <w:r w:rsidRPr="00B805AB">
              <w:rPr>
                <w:rFonts w:ascii="Corbel" w:hAnsi="Corbel"/>
                <w:color w:val="000000" w:themeColor="text1"/>
                <w:sz w:val="23"/>
                <w:szCs w:val="23"/>
              </w:rPr>
              <w:t xml:space="preserve">liaise with the Therapeutic Goods Administration (TGA) in relation to the registration and cancellation of Supplies under the </w:t>
            </w:r>
            <w:r w:rsidRPr="00B805AB">
              <w:rPr>
                <w:rFonts w:ascii="Corbel" w:hAnsi="Corbel"/>
                <w:i/>
                <w:color w:val="000000" w:themeColor="text1"/>
                <w:sz w:val="23"/>
                <w:szCs w:val="23"/>
              </w:rPr>
              <w:t>Therapeutic Goods Act 1989</w:t>
            </w:r>
            <w:r w:rsidRPr="00B805AB">
              <w:rPr>
                <w:rFonts w:ascii="Corbel" w:hAnsi="Corbel"/>
                <w:color w:val="000000" w:themeColor="text1"/>
                <w:sz w:val="23"/>
                <w:szCs w:val="23"/>
              </w:rPr>
              <w:t xml:space="preserve"> (Cth); and</w:t>
            </w:r>
          </w:p>
          <w:p w14:paraId="335CB8D9" w14:textId="77777777" w:rsidR="0002594D" w:rsidRPr="00B805AB" w:rsidRDefault="0002594D" w:rsidP="000B173A">
            <w:pPr>
              <w:pStyle w:val="ListParagraph"/>
              <w:widowControl/>
              <w:numPr>
                <w:ilvl w:val="0"/>
                <w:numId w:val="28"/>
              </w:numPr>
              <w:ind w:left="1014" w:hanging="567"/>
              <w:rPr>
                <w:rFonts w:ascii="Corbel" w:hAnsi="Corbel"/>
                <w:color w:val="000000" w:themeColor="text1"/>
                <w:sz w:val="23"/>
                <w:szCs w:val="23"/>
              </w:rPr>
            </w:pPr>
            <w:r w:rsidRPr="00B805AB">
              <w:rPr>
                <w:rFonts w:ascii="Corbel" w:hAnsi="Corbel"/>
                <w:color w:val="000000" w:themeColor="text1"/>
                <w:sz w:val="23"/>
                <w:szCs w:val="23"/>
              </w:rPr>
              <w:lastRenderedPageBreak/>
              <w:t>review and increase the Payment Cap as required.</w:t>
            </w:r>
          </w:p>
          <w:p w14:paraId="4D1EAAA8" w14:textId="77777777" w:rsidR="002D7502" w:rsidRPr="00B805AB" w:rsidRDefault="002D7502" w:rsidP="000B173A">
            <w:pPr>
              <w:pStyle w:val="ScheduleNumberedPara"/>
              <w:spacing w:after="0" w:line="240" w:lineRule="auto"/>
              <w:jc w:val="left"/>
              <w:rPr>
                <w:color w:val="000000" w:themeColor="text1"/>
                <w:szCs w:val="23"/>
              </w:rPr>
            </w:pPr>
            <w:bookmarkStart w:id="1" w:name="_Ref225134084"/>
          </w:p>
          <w:p w14:paraId="072C22E5" w14:textId="3E192F5D" w:rsidR="0002594D" w:rsidRPr="00B805AB" w:rsidRDefault="0002594D" w:rsidP="00B805AB">
            <w:pPr>
              <w:pStyle w:val="ScheduleNumberedPara"/>
              <w:spacing w:after="120" w:line="240" w:lineRule="auto"/>
              <w:ind w:left="447"/>
              <w:jc w:val="left"/>
              <w:rPr>
                <w:color w:val="000000" w:themeColor="text1"/>
                <w:szCs w:val="23"/>
              </w:rPr>
            </w:pPr>
            <w:r w:rsidRPr="00B805AB">
              <w:rPr>
                <w:color w:val="000000" w:themeColor="text1"/>
                <w:szCs w:val="23"/>
              </w:rPr>
              <w:t xml:space="preserve">The States </w:t>
            </w:r>
            <w:r w:rsidR="009D22BC" w:rsidRPr="00B805AB">
              <w:rPr>
                <w:color w:val="000000" w:themeColor="text1"/>
                <w:szCs w:val="23"/>
              </w:rPr>
              <w:t>and Territories agree</w:t>
            </w:r>
            <w:r w:rsidRPr="00B805AB">
              <w:rPr>
                <w:color w:val="000000" w:themeColor="text1"/>
                <w:szCs w:val="23"/>
              </w:rPr>
              <w:t xml:space="preserve"> to comply with the terms and conditions of the relevant Deed or Head Agreement and Order when purchasing NIP vaccines and</w:t>
            </w:r>
            <w:bookmarkEnd w:id="1"/>
            <w:r w:rsidR="00F7422D">
              <w:rPr>
                <w:color w:val="000000" w:themeColor="text1"/>
                <w:szCs w:val="23"/>
              </w:rPr>
              <w:t>,</w:t>
            </w:r>
            <w:r w:rsidRPr="00B805AB">
              <w:rPr>
                <w:color w:val="000000" w:themeColor="text1"/>
                <w:szCs w:val="23"/>
              </w:rPr>
              <w:t xml:space="preserve"> in addition to such compliance, to:</w:t>
            </w:r>
          </w:p>
          <w:p w14:paraId="4343584C" w14:textId="77777777" w:rsidR="0002594D" w:rsidRPr="00B805AB" w:rsidRDefault="0002594D" w:rsidP="002D7502">
            <w:pPr>
              <w:pStyle w:val="ListParagraph"/>
              <w:widowControl/>
              <w:numPr>
                <w:ilvl w:val="0"/>
                <w:numId w:val="29"/>
              </w:numPr>
              <w:spacing w:after="120"/>
              <w:ind w:left="1014" w:hanging="567"/>
              <w:rPr>
                <w:rFonts w:ascii="Corbel" w:hAnsi="Corbel"/>
                <w:color w:val="000000" w:themeColor="text1"/>
                <w:sz w:val="23"/>
                <w:szCs w:val="23"/>
              </w:rPr>
            </w:pPr>
            <w:r w:rsidRPr="00B805AB">
              <w:rPr>
                <w:rFonts w:ascii="Corbel" w:hAnsi="Corbel"/>
                <w:color w:val="000000" w:themeColor="text1"/>
                <w:sz w:val="23"/>
                <w:szCs w:val="23"/>
              </w:rPr>
              <w:t>comply with the terms and conditions of the relevant Deed or Head Agreement and Order when purchasing NIP vaccines;</w:t>
            </w:r>
          </w:p>
          <w:p w14:paraId="099F42CA" w14:textId="77777777" w:rsidR="0002594D" w:rsidRPr="00B805AB" w:rsidRDefault="0002594D" w:rsidP="002D7502">
            <w:pPr>
              <w:pStyle w:val="ListParagraph"/>
              <w:widowControl/>
              <w:numPr>
                <w:ilvl w:val="0"/>
                <w:numId w:val="29"/>
              </w:numPr>
              <w:spacing w:after="120"/>
              <w:ind w:left="1014" w:hanging="567"/>
              <w:rPr>
                <w:rFonts w:ascii="Corbel" w:hAnsi="Corbel"/>
                <w:color w:val="000000" w:themeColor="text1"/>
                <w:sz w:val="23"/>
                <w:szCs w:val="23"/>
              </w:rPr>
            </w:pPr>
            <w:r w:rsidRPr="00B805AB">
              <w:rPr>
                <w:rFonts w:ascii="Corbel" w:hAnsi="Corbel"/>
                <w:color w:val="000000" w:themeColor="text1"/>
                <w:sz w:val="23"/>
                <w:szCs w:val="23"/>
              </w:rPr>
              <w:t>appoint an "authorised representative/s" responsible for all aspects of the Contract with the Vaccine Sponsor, as well as liaising with the Commonwealth in relation to the Deed or Head Agreements;</w:t>
            </w:r>
          </w:p>
          <w:p w14:paraId="3DD1F76E" w14:textId="001BA9D6" w:rsidR="0002594D" w:rsidRPr="00B805AB" w:rsidRDefault="0002594D" w:rsidP="002D7502">
            <w:pPr>
              <w:pStyle w:val="ListParagraph"/>
              <w:widowControl/>
              <w:numPr>
                <w:ilvl w:val="0"/>
                <w:numId w:val="29"/>
              </w:numPr>
              <w:spacing w:after="120"/>
              <w:ind w:left="1014" w:hanging="567"/>
              <w:rPr>
                <w:rFonts w:ascii="Corbel" w:hAnsi="Corbel"/>
                <w:color w:val="000000" w:themeColor="text1"/>
                <w:sz w:val="23"/>
                <w:szCs w:val="23"/>
              </w:rPr>
            </w:pPr>
            <w:r w:rsidRPr="00B805AB">
              <w:rPr>
                <w:rFonts w:ascii="Corbel" w:hAnsi="Corbel"/>
                <w:color w:val="000000" w:themeColor="text1"/>
                <w:sz w:val="23"/>
                <w:szCs w:val="23"/>
              </w:rPr>
              <w:t>provide to the Commonwealth 1</w:t>
            </w:r>
            <w:r w:rsidR="00F2703E">
              <w:rPr>
                <w:rFonts w:ascii="Corbel" w:hAnsi="Corbel"/>
                <w:color w:val="000000" w:themeColor="text1"/>
                <w:sz w:val="23"/>
                <w:szCs w:val="23"/>
              </w:rPr>
              <w:t>8</w:t>
            </w:r>
            <w:r w:rsidRPr="00B805AB">
              <w:rPr>
                <w:rFonts w:ascii="Corbel" w:hAnsi="Corbel"/>
                <w:color w:val="000000" w:themeColor="text1"/>
                <w:sz w:val="23"/>
                <w:szCs w:val="23"/>
              </w:rPr>
              <w:t xml:space="preserve"> month rolling dose estimates for all NIP vaccines on a quarterly basis;</w:t>
            </w:r>
          </w:p>
          <w:p w14:paraId="74F94BF7" w14:textId="6BE9BFDD" w:rsidR="0002594D" w:rsidRPr="00B805AB" w:rsidRDefault="0002594D" w:rsidP="002D7502">
            <w:pPr>
              <w:pStyle w:val="ScheduleNumberedPara"/>
              <w:numPr>
                <w:ilvl w:val="0"/>
                <w:numId w:val="29"/>
              </w:numPr>
              <w:spacing w:after="120" w:line="240" w:lineRule="auto"/>
              <w:ind w:left="1014" w:hanging="567"/>
              <w:jc w:val="left"/>
              <w:rPr>
                <w:color w:val="000000" w:themeColor="text1"/>
                <w:szCs w:val="23"/>
              </w:rPr>
            </w:pPr>
            <w:r w:rsidRPr="00B805AB">
              <w:rPr>
                <w:color w:val="000000" w:themeColor="text1"/>
                <w:szCs w:val="23"/>
              </w:rPr>
              <w:t>enter into local arrangements, if required, with the Vaccine Sponsor or its distributor regarding the actual dates and times for which supplies of NIP vaccines will be delivered to a site(s) nominated by a State</w:t>
            </w:r>
            <w:r w:rsidR="009D22BC" w:rsidRPr="00B805AB">
              <w:rPr>
                <w:color w:val="000000" w:themeColor="text1"/>
                <w:szCs w:val="23"/>
              </w:rPr>
              <w:t xml:space="preserve"> or Territory</w:t>
            </w:r>
            <w:r w:rsidRPr="00B805AB">
              <w:rPr>
                <w:color w:val="000000" w:themeColor="text1"/>
                <w:szCs w:val="23"/>
              </w:rPr>
              <w:t>;</w:t>
            </w:r>
          </w:p>
          <w:p w14:paraId="1AE44928" w14:textId="77777777" w:rsidR="0002594D" w:rsidRPr="00B805AB" w:rsidRDefault="0002594D" w:rsidP="002D7502">
            <w:pPr>
              <w:pStyle w:val="ScheduleNumberedPara"/>
              <w:numPr>
                <w:ilvl w:val="0"/>
                <w:numId w:val="29"/>
              </w:numPr>
              <w:spacing w:after="120" w:line="240" w:lineRule="auto"/>
              <w:ind w:left="1014" w:hanging="567"/>
              <w:jc w:val="left"/>
              <w:rPr>
                <w:color w:val="000000" w:themeColor="text1"/>
                <w:szCs w:val="23"/>
              </w:rPr>
            </w:pPr>
            <w:r w:rsidRPr="00B805AB">
              <w:rPr>
                <w:color w:val="000000" w:themeColor="text1"/>
                <w:szCs w:val="23"/>
              </w:rPr>
              <w:t>keep a record of the dates on which each delivery of NIP vaccines are delivered to a nominated site, noting that such records will be required in the event of consideration of a supply credit to the Commonwealth due to late delivery;</w:t>
            </w:r>
          </w:p>
          <w:p w14:paraId="42D731E9" w14:textId="77777777" w:rsidR="0002594D" w:rsidRPr="00B805AB" w:rsidRDefault="0002594D" w:rsidP="002D7502">
            <w:pPr>
              <w:pStyle w:val="ScheduleNumberedPara"/>
              <w:numPr>
                <w:ilvl w:val="0"/>
                <w:numId w:val="29"/>
              </w:numPr>
              <w:spacing w:after="120" w:line="240" w:lineRule="auto"/>
              <w:ind w:left="1014" w:hanging="567"/>
              <w:jc w:val="left"/>
              <w:rPr>
                <w:color w:val="000000" w:themeColor="text1"/>
                <w:szCs w:val="23"/>
              </w:rPr>
            </w:pPr>
            <w:r w:rsidRPr="00B805AB">
              <w:rPr>
                <w:color w:val="000000" w:themeColor="text1"/>
                <w:szCs w:val="23"/>
              </w:rPr>
              <w:t>promptly notify the Commonwealth in writing of any deliveries of orders for NIP vaccines to a site that is outside the delivery timeframe requirements of the Deed or Head Agreement, and of any persistent late delivery of Orders of NIP vaccines;</w:t>
            </w:r>
          </w:p>
          <w:p w14:paraId="54A2A231" w14:textId="3B53B3B6" w:rsidR="0002594D" w:rsidRPr="00B805AB" w:rsidRDefault="0002594D" w:rsidP="002D7502">
            <w:pPr>
              <w:pStyle w:val="ScheduleNumberedPara"/>
              <w:numPr>
                <w:ilvl w:val="0"/>
                <w:numId w:val="29"/>
              </w:numPr>
              <w:spacing w:after="120" w:line="240" w:lineRule="auto"/>
              <w:ind w:left="1014" w:hanging="567"/>
              <w:jc w:val="left"/>
              <w:rPr>
                <w:color w:val="000000" w:themeColor="text1"/>
                <w:szCs w:val="23"/>
              </w:rPr>
            </w:pPr>
            <w:r w:rsidRPr="00B805AB">
              <w:rPr>
                <w:color w:val="000000" w:themeColor="text1"/>
                <w:szCs w:val="23"/>
              </w:rPr>
              <w:t>promptly notify the Commonwealth in writing of any financial or in kind reimbursement from the Vaccine Sponsor or organisation warehousing NIP vaccines, on behalf of a State</w:t>
            </w:r>
            <w:r w:rsidR="009D22BC" w:rsidRPr="00B805AB">
              <w:rPr>
                <w:color w:val="000000" w:themeColor="text1"/>
                <w:szCs w:val="23"/>
              </w:rPr>
              <w:t xml:space="preserve"> or Territory</w:t>
            </w:r>
            <w:r w:rsidRPr="00B805AB">
              <w:rPr>
                <w:color w:val="000000" w:themeColor="text1"/>
                <w:szCs w:val="23"/>
              </w:rPr>
              <w:t>, resulting from vaccine wastage or leakage;</w:t>
            </w:r>
          </w:p>
          <w:p w14:paraId="7E3516E0" w14:textId="77777777" w:rsidR="0002594D" w:rsidRPr="00B805AB" w:rsidRDefault="0002594D" w:rsidP="002D7502">
            <w:pPr>
              <w:pStyle w:val="ScheduleNumberedPara"/>
              <w:numPr>
                <w:ilvl w:val="0"/>
                <w:numId w:val="29"/>
              </w:numPr>
              <w:spacing w:after="120" w:line="240" w:lineRule="auto"/>
              <w:ind w:left="1014" w:hanging="567"/>
              <w:jc w:val="left"/>
              <w:rPr>
                <w:color w:val="000000" w:themeColor="text1"/>
                <w:szCs w:val="23"/>
              </w:rPr>
            </w:pPr>
            <w:r w:rsidRPr="00B805AB">
              <w:rPr>
                <w:color w:val="000000" w:themeColor="text1"/>
                <w:szCs w:val="23"/>
              </w:rPr>
              <w:t>promptly notify the Commonwealth in writing if NIP vaccines have not been transported within agreed temperature range and if NIP vaccines and/or their packaging or labelling are found not to comply with the Deed or Head Agreement;</w:t>
            </w:r>
          </w:p>
          <w:p w14:paraId="55BB90DA" w14:textId="77777777" w:rsidR="0002594D" w:rsidRPr="00B805AB" w:rsidRDefault="0002594D" w:rsidP="002D7502">
            <w:pPr>
              <w:pStyle w:val="ScheduleNumberedPara"/>
              <w:numPr>
                <w:ilvl w:val="0"/>
                <w:numId w:val="29"/>
              </w:numPr>
              <w:spacing w:after="120" w:line="240" w:lineRule="auto"/>
              <w:ind w:left="1014" w:hanging="567"/>
              <w:jc w:val="left"/>
              <w:rPr>
                <w:color w:val="000000" w:themeColor="text1"/>
                <w:szCs w:val="23"/>
              </w:rPr>
            </w:pPr>
            <w:r w:rsidRPr="00B805AB">
              <w:rPr>
                <w:color w:val="000000" w:themeColor="text1"/>
                <w:szCs w:val="23"/>
              </w:rPr>
              <w:t>promptly verify in writing to the Commonwealth that the NIP vaccines were received from the Vaccine Sponsor in accordance with its Order and send a copy of the delivery docket to the Commonwealth within three days of receipt;</w:t>
            </w:r>
          </w:p>
          <w:p w14:paraId="17B0D03E" w14:textId="77777777" w:rsidR="0002594D" w:rsidRPr="00B805AB" w:rsidRDefault="0002594D" w:rsidP="002D7502">
            <w:pPr>
              <w:pStyle w:val="ScheduleNumberedPara"/>
              <w:numPr>
                <w:ilvl w:val="0"/>
                <w:numId w:val="29"/>
              </w:numPr>
              <w:spacing w:after="120" w:line="240" w:lineRule="auto"/>
              <w:ind w:left="1014" w:hanging="567"/>
              <w:jc w:val="left"/>
              <w:rPr>
                <w:color w:val="000000" w:themeColor="text1"/>
                <w:szCs w:val="23"/>
              </w:rPr>
            </w:pPr>
            <w:r w:rsidRPr="00B805AB">
              <w:rPr>
                <w:color w:val="000000" w:themeColor="text1"/>
                <w:szCs w:val="23"/>
              </w:rPr>
              <w:t>promptly notify the Commonwealth of any substantial and unavoidable changes in levels of vaccine wastage and leakage;</w:t>
            </w:r>
          </w:p>
          <w:p w14:paraId="75319437" w14:textId="2FF0F09A" w:rsidR="0002594D" w:rsidRPr="00B805AB" w:rsidRDefault="0002594D" w:rsidP="002D7502">
            <w:pPr>
              <w:pStyle w:val="ScheduleNumberedPara"/>
              <w:numPr>
                <w:ilvl w:val="0"/>
                <w:numId w:val="29"/>
              </w:numPr>
              <w:spacing w:after="120" w:line="240" w:lineRule="auto"/>
              <w:ind w:left="1014" w:hanging="567"/>
              <w:jc w:val="left"/>
              <w:rPr>
                <w:color w:val="000000" w:themeColor="text1"/>
                <w:szCs w:val="23"/>
              </w:rPr>
            </w:pPr>
            <w:r w:rsidRPr="00B805AB">
              <w:rPr>
                <w:color w:val="000000" w:themeColor="text1"/>
                <w:szCs w:val="23"/>
              </w:rPr>
              <w:t>promptly notify the Commonwealth in relation to rejection by that State</w:t>
            </w:r>
            <w:r w:rsidR="009D22BC" w:rsidRPr="00B805AB">
              <w:rPr>
                <w:color w:val="000000" w:themeColor="text1"/>
                <w:szCs w:val="23"/>
              </w:rPr>
              <w:t xml:space="preserve"> or Territory</w:t>
            </w:r>
            <w:r w:rsidRPr="00B805AB">
              <w:rPr>
                <w:color w:val="000000" w:themeColor="text1"/>
                <w:szCs w:val="23"/>
              </w:rPr>
              <w:t xml:space="preserve"> of any NIP vaccine delivery under a Contract or a recall or retrieval by the Vaccine Sponsor of any NIP vaccine;</w:t>
            </w:r>
          </w:p>
          <w:p w14:paraId="0A0FFCF1" w14:textId="77777777" w:rsidR="0002594D" w:rsidRPr="00B805AB" w:rsidRDefault="0002594D" w:rsidP="002D7502">
            <w:pPr>
              <w:pStyle w:val="ScheduleNumberedPara"/>
              <w:numPr>
                <w:ilvl w:val="0"/>
                <w:numId w:val="29"/>
              </w:numPr>
              <w:spacing w:after="120" w:line="240" w:lineRule="auto"/>
              <w:ind w:left="1014" w:hanging="567"/>
              <w:jc w:val="left"/>
              <w:rPr>
                <w:color w:val="000000" w:themeColor="text1"/>
                <w:szCs w:val="23"/>
              </w:rPr>
            </w:pPr>
            <w:r w:rsidRPr="00B805AB">
              <w:rPr>
                <w:color w:val="000000" w:themeColor="text1"/>
                <w:szCs w:val="23"/>
              </w:rPr>
              <w:t>notify the Vaccine Sponsor of its requirements in relation to Additional Supplies in accordance with the relevant Deed or Head Agreement;</w:t>
            </w:r>
          </w:p>
          <w:p w14:paraId="22675FE0" w14:textId="77777777" w:rsidR="0002594D" w:rsidRPr="00B805AB" w:rsidRDefault="0002594D" w:rsidP="002D7502">
            <w:pPr>
              <w:pStyle w:val="ScheduleNumberedPara"/>
              <w:numPr>
                <w:ilvl w:val="0"/>
                <w:numId w:val="29"/>
              </w:numPr>
              <w:spacing w:after="120" w:line="240" w:lineRule="auto"/>
              <w:ind w:left="1014" w:hanging="567"/>
              <w:jc w:val="left"/>
              <w:rPr>
                <w:color w:val="000000" w:themeColor="text1"/>
                <w:szCs w:val="23"/>
              </w:rPr>
            </w:pPr>
            <w:r w:rsidRPr="00B805AB">
              <w:rPr>
                <w:color w:val="000000" w:themeColor="text1"/>
                <w:szCs w:val="23"/>
              </w:rPr>
              <w:t xml:space="preserve">refer any dispute under a Contract to the Commonwealth in accordance with the requirements of the relevant Deed or Head Agreement; </w:t>
            </w:r>
          </w:p>
          <w:p w14:paraId="72D5E24C" w14:textId="51AA9826" w:rsidR="0002594D" w:rsidRPr="00B805AB" w:rsidRDefault="0002594D" w:rsidP="002D7502">
            <w:pPr>
              <w:pStyle w:val="ScheduleNumberedPara"/>
              <w:numPr>
                <w:ilvl w:val="0"/>
                <w:numId w:val="29"/>
              </w:numPr>
              <w:spacing w:after="120" w:line="240" w:lineRule="auto"/>
              <w:ind w:left="1014" w:hanging="567"/>
              <w:jc w:val="left"/>
              <w:rPr>
                <w:color w:val="000000" w:themeColor="text1"/>
                <w:szCs w:val="23"/>
              </w:rPr>
            </w:pPr>
            <w:r w:rsidRPr="00B805AB">
              <w:rPr>
                <w:color w:val="000000" w:themeColor="text1"/>
                <w:szCs w:val="23"/>
              </w:rPr>
              <w:t>provide early notice to the Commonwealth, and in any case six months prior to the expiry of the term of any Deed or Head Agreement, if it requires amendments to be made before the extension of a Deed or Head Agreement or negotiation of a new Deed or Head Agreement. The Commonwealth will only negotiate amendments that are agreed by the Commonwealth and all States</w:t>
            </w:r>
            <w:r w:rsidR="009D22BC" w:rsidRPr="00B805AB">
              <w:rPr>
                <w:color w:val="000000" w:themeColor="text1"/>
                <w:szCs w:val="23"/>
              </w:rPr>
              <w:t xml:space="preserve"> and Territories</w:t>
            </w:r>
            <w:r w:rsidRPr="00B805AB">
              <w:rPr>
                <w:color w:val="000000" w:themeColor="text1"/>
                <w:szCs w:val="23"/>
              </w:rPr>
              <w:t>;</w:t>
            </w:r>
          </w:p>
          <w:p w14:paraId="12577A38" w14:textId="2B961BC6" w:rsidR="0002594D" w:rsidRPr="00B805AB" w:rsidRDefault="0002594D" w:rsidP="002D7502">
            <w:pPr>
              <w:pStyle w:val="ScheduleNumberedPara"/>
              <w:numPr>
                <w:ilvl w:val="0"/>
                <w:numId w:val="29"/>
              </w:numPr>
              <w:spacing w:after="120" w:line="240" w:lineRule="auto"/>
              <w:ind w:left="1014" w:hanging="567"/>
              <w:jc w:val="left"/>
              <w:rPr>
                <w:color w:val="000000" w:themeColor="text1"/>
                <w:szCs w:val="23"/>
              </w:rPr>
            </w:pPr>
            <w:r w:rsidRPr="00B805AB">
              <w:rPr>
                <w:color w:val="000000" w:themeColor="text1"/>
                <w:szCs w:val="23"/>
              </w:rPr>
              <w:lastRenderedPageBreak/>
              <w:t>notify the Commonwealth promptly if the State</w:t>
            </w:r>
            <w:r w:rsidR="009D22BC" w:rsidRPr="00B805AB">
              <w:rPr>
                <w:color w:val="000000" w:themeColor="text1"/>
                <w:szCs w:val="23"/>
              </w:rPr>
              <w:t xml:space="preserve"> or Territory</w:t>
            </w:r>
            <w:r w:rsidRPr="00B805AB">
              <w:rPr>
                <w:color w:val="000000" w:themeColor="text1"/>
                <w:szCs w:val="23"/>
              </w:rPr>
              <w:t xml:space="preserve"> becomes aware of any claim that may give rise to damages or rights under an indemnity under a Deed or Head Agreement; </w:t>
            </w:r>
          </w:p>
          <w:p w14:paraId="40F86C84" w14:textId="334599DA" w:rsidR="0002594D" w:rsidRPr="00B805AB" w:rsidRDefault="0002594D" w:rsidP="002D7502">
            <w:pPr>
              <w:pStyle w:val="ScheduleNumberedPara"/>
              <w:numPr>
                <w:ilvl w:val="0"/>
                <w:numId w:val="29"/>
              </w:numPr>
              <w:spacing w:after="120" w:line="240" w:lineRule="auto"/>
              <w:ind w:left="1014" w:hanging="567"/>
              <w:jc w:val="left"/>
              <w:rPr>
                <w:color w:val="000000" w:themeColor="text1"/>
                <w:szCs w:val="23"/>
              </w:rPr>
            </w:pPr>
            <w:r w:rsidRPr="00B805AB">
              <w:rPr>
                <w:color w:val="000000" w:themeColor="text1"/>
                <w:szCs w:val="23"/>
              </w:rPr>
              <w:t>notify the Commonwealth as soon as practicable of any problems or issues concerning a relevant Vacci</w:t>
            </w:r>
            <w:r w:rsidR="009D22BC" w:rsidRPr="00B805AB">
              <w:rPr>
                <w:color w:val="000000" w:themeColor="text1"/>
                <w:szCs w:val="23"/>
              </w:rPr>
              <w:t>ne Sponsor or the State or Territory’s</w:t>
            </w:r>
            <w:r w:rsidRPr="00B805AB">
              <w:rPr>
                <w:color w:val="000000" w:themeColor="text1"/>
                <w:szCs w:val="23"/>
              </w:rPr>
              <w:t xml:space="preserve"> dealings with a relevant Vaccine Sponsor in connection with NIP vaccines, including any failure by a Vaccine Sponsor to comply with the terms and conditions of the relevant Deed or Head Agreement;</w:t>
            </w:r>
          </w:p>
          <w:p w14:paraId="1567EA4F" w14:textId="18CA7A25" w:rsidR="0002594D" w:rsidRPr="00B805AB" w:rsidRDefault="0002594D" w:rsidP="002D7502">
            <w:pPr>
              <w:pStyle w:val="ScheduleNumberedPara"/>
              <w:numPr>
                <w:ilvl w:val="0"/>
                <w:numId w:val="29"/>
              </w:numPr>
              <w:spacing w:after="120" w:line="240" w:lineRule="auto"/>
              <w:ind w:left="1014" w:hanging="567"/>
              <w:jc w:val="left"/>
              <w:rPr>
                <w:color w:val="000000" w:themeColor="text1"/>
                <w:szCs w:val="23"/>
              </w:rPr>
            </w:pPr>
            <w:r w:rsidRPr="00B805AB">
              <w:rPr>
                <w:color w:val="000000" w:themeColor="text1"/>
                <w:szCs w:val="23"/>
              </w:rPr>
              <w:t>promptly notify the Commonwealth if that State</w:t>
            </w:r>
            <w:r w:rsidR="009D22BC" w:rsidRPr="00B805AB">
              <w:rPr>
                <w:color w:val="000000" w:themeColor="text1"/>
                <w:szCs w:val="23"/>
              </w:rPr>
              <w:t xml:space="preserve"> or Territory</w:t>
            </w:r>
            <w:r w:rsidRPr="00B805AB">
              <w:rPr>
                <w:color w:val="000000" w:themeColor="text1"/>
                <w:szCs w:val="23"/>
              </w:rPr>
              <w:t xml:space="preserve">: </w:t>
            </w:r>
          </w:p>
          <w:p w14:paraId="4E9490D2" w14:textId="75A344B2" w:rsidR="0002594D" w:rsidRPr="00B805AB" w:rsidRDefault="0002594D" w:rsidP="002D7502">
            <w:pPr>
              <w:pStyle w:val="ListParagraph"/>
              <w:widowControl/>
              <w:numPr>
                <w:ilvl w:val="0"/>
                <w:numId w:val="36"/>
              </w:numPr>
              <w:spacing w:after="120"/>
              <w:ind w:left="1865"/>
              <w:rPr>
                <w:rFonts w:ascii="Corbel" w:hAnsi="Corbel"/>
                <w:color w:val="000000" w:themeColor="text1"/>
                <w:sz w:val="23"/>
                <w:szCs w:val="23"/>
              </w:rPr>
            </w:pPr>
            <w:r w:rsidRPr="00B805AB">
              <w:rPr>
                <w:rFonts w:ascii="Corbel" w:hAnsi="Corbel"/>
                <w:color w:val="000000" w:themeColor="text1"/>
                <w:sz w:val="23"/>
                <w:szCs w:val="23"/>
              </w:rPr>
              <w:t xml:space="preserve">would like the Commonwealth to consider terminating a Deed or Head Agreement (noting that a State </w:t>
            </w:r>
            <w:r w:rsidR="009D22BC" w:rsidRPr="00B805AB">
              <w:rPr>
                <w:rFonts w:ascii="Corbel" w:hAnsi="Corbel"/>
                <w:color w:val="000000" w:themeColor="text1"/>
                <w:sz w:val="23"/>
                <w:szCs w:val="23"/>
              </w:rPr>
              <w:t xml:space="preserve">or Territory </w:t>
            </w:r>
            <w:r w:rsidRPr="00B805AB">
              <w:rPr>
                <w:rFonts w:ascii="Corbel" w:hAnsi="Corbel"/>
                <w:color w:val="000000" w:themeColor="text1"/>
                <w:sz w:val="23"/>
                <w:szCs w:val="23"/>
              </w:rPr>
              <w:t xml:space="preserve">on its own cannot terminate a Deed or Head Agreement); and </w:t>
            </w:r>
          </w:p>
          <w:p w14:paraId="3484A401" w14:textId="77777777" w:rsidR="0002594D" w:rsidRPr="00B805AB" w:rsidRDefault="0002594D" w:rsidP="002D7502">
            <w:pPr>
              <w:pStyle w:val="ListParagraph"/>
              <w:widowControl/>
              <w:numPr>
                <w:ilvl w:val="0"/>
                <w:numId w:val="36"/>
              </w:numPr>
              <w:spacing w:after="120"/>
              <w:ind w:left="1865"/>
              <w:rPr>
                <w:rFonts w:ascii="Corbel" w:hAnsi="Corbel"/>
                <w:color w:val="000000" w:themeColor="text1"/>
                <w:sz w:val="23"/>
                <w:szCs w:val="23"/>
              </w:rPr>
            </w:pPr>
            <w:r w:rsidRPr="00B805AB">
              <w:rPr>
                <w:rFonts w:ascii="Corbel" w:hAnsi="Corbel"/>
                <w:color w:val="000000" w:themeColor="text1"/>
                <w:sz w:val="23"/>
                <w:szCs w:val="23"/>
              </w:rPr>
              <w:t>discuss in good faith with the Commonwealth the implications, including financial implications (if any), of the termination before any termination action is taken in respect of the Deed or Head Agreement.</w:t>
            </w:r>
          </w:p>
          <w:p w14:paraId="5F947A6D" w14:textId="18C414FE" w:rsidR="0002594D" w:rsidRPr="00B805AB" w:rsidRDefault="0002594D" w:rsidP="002D7502">
            <w:pPr>
              <w:pStyle w:val="ScheduleNumberedPara"/>
              <w:numPr>
                <w:ilvl w:val="0"/>
                <w:numId w:val="29"/>
              </w:numPr>
              <w:spacing w:after="120" w:line="240" w:lineRule="auto"/>
              <w:ind w:left="1014" w:hanging="567"/>
              <w:jc w:val="left"/>
              <w:rPr>
                <w:color w:val="000000" w:themeColor="text1"/>
                <w:szCs w:val="23"/>
              </w:rPr>
            </w:pPr>
            <w:r w:rsidRPr="00B805AB">
              <w:rPr>
                <w:color w:val="000000" w:themeColor="text1"/>
                <w:szCs w:val="23"/>
              </w:rPr>
              <w:t>repay to the Commonwealth any monies a State</w:t>
            </w:r>
            <w:r w:rsidR="009D22BC" w:rsidRPr="00B805AB">
              <w:rPr>
                <w:color w:val="000000" w:themeColor="text1"/>
                <w:szCs w:val="23"/>
              </w:rPr>
              <w:t xml:space="preserve"> or Territory</w:t>
            </w:r>
            <w:r w:rsidRPr="00B805AB">
              <w:rPr>
                <w:color w:val="000000" w:themeColor="text1"/>
                <w:szCs w:val="23"/>
              </w:rPr>
              <w:t xml:space="preserve"> receives from a Vaccine Sponsor which should have been received by the Commonwealth as a result of it being </w:t>
            </w:r>
            <w:r w:rsidR="003F3A76">
              <w:rPr>
                <w:color w:val="000000" w:themeColor="text1"/>
                <w:szCs w:val="23"/>
              </w:rPr>
              <w:t>purchaser</w:t>
            </w:r>
            <w:r w:rsidRPr="00B805AB">
              <w:rPr>
                <w:color w:val="000000" w:themeColor="text1"/>
                <w:szCs w:val="23"/>
              </w:rPr>
              <w:t xml:space="preserve"> for the NIP vaccine;</w:t>
            </w:r>
          </w:p>
          <w:p w14:paraId="5E298D0D" w14:textId="77777777" w:rsidR="0002594D" w:rsidRPr="00B805AB" w:rsidRDefault="0002594D" w:rsidP="002D7502">
            <w:pPr>
              <w:pStyle w:val="ScheduleNumberedPara"/>
              <w:numPr>
                <w:ilvl w:val="0"/>
                <w:numId w:val="29"/>
              </w:numPr>
              <w:spacing w:after="120" w:line="240" w:lineRule="auto"/>
              <w:ind w:left="1014" w:hanging="567"/>
              <w:jc w:val="left"/>
              <w:rPr>
                <w:color w:val="000000" w:themeColor="text1"/>
                <w:szCs w:val="23"/>
              </w:rPr>
            </w:pPr>
            <w:r w:rsidRPr="00B805AB">
              <w:rPr>
                <w:color w:val="000000" w:themeColor="text1"/>
                <w:szCs w:val="23"/>
              </w:rPr>
              <w:t xml:space="preserve">consider any information relating to a Critical Event as requested by the Commonwealth and in accordance with the Deed or Head Agreement; </w:t>
            </w:r>
          </w:p>
          <w:p w14:paraId="7B150350" w14:textId="1B6D4B6D" w:rsidR="0002594D" w:rsidRPr="00B805AB" w:rsidRDefault="0002594D" w:rsidP="002D7502">
            <w:pPr>
              <w:pStyle w:val="ScheduleNumberedPara"/>
              <w:numPr>
                <w:ilvl w:val="0"/>
                <w:numId w:val="29"/>
              </w:numPr>
              <w:spacing w:after="120" w:line="240" w:lineRule="auto"/>
              <w:ind w:left="1014" w:hanging="567"/>
              <w:jc w:val="left"/>
              <w:rPr>
                <w:color w:val="000000" w:themeColor="text1"/>
                <w:szCs w:val="23"/>
              </w:rPr>
            </w:pPr>
            <w:r w:rsidRPr="00B805AB">
              <w:rPr>
                <w:color w:val="000000" w:themeColor="text1"/>
                <w:szCs w:val="23"/>
              </w:rPr>
              <w:t>not purchase any NIP vaccine affected by a Critical Event where the Commonwealth has made a decision under the relevant Deed or Head Agreement that a Critical Event has occurred where the Commonwealth has notified the States</w:t>
            </w:r>
            <w:r w:rsidR="009D22BC" w:rsidRPr="00B805AB">
              <w:rPr>
                <w:color w:val="000000" w:themeColor="text1"/>
                <w:szCs w:val="23"/>
              </w:rPr>
              <w:t xml:space="preserve"> and Territories</w:t>
            </w:r>
            <w:r w:rsidRPr="00B805AB">
              <w:rPr>
                <w:color w:val="000000" w:themeColor="text1"/>
                <w:szCs w:val="23"/>
              </w:rPr>
              <w:t xml:space="preserve"> of that decision; and</w:t>
            </w:r>
          </w:p>
          <w:p w14:paraId="08A0D238" w14:textId="3472D20C" w:rsidR="0002594D" w:rsidRPr="00B805AB" w:rsidRDefault="0002594D" w:rsidP="000B173A">
            <w:pPr>
              <w:pStyle w:val="ScheduleNumberedPara"/>
              <w:numPr>
                <w:ilvl w:val="0"/>
                <w:numId w:val="29"/>
              </w:numPr>
              <w:spacing w:after="0" w:line="240" w:lineRule="auto"/>
              <w:ind w:left="1014" w:hanging="567"/>
              <w:jc w:val="left"/>
              <w:rPr>
                <w:color w:val="000000" w:themeColor="text1"/>
                <w:szCs w:val="23"/>
              </w:rPr>
            </w:pPr>
            <w:r w:rsidRPr="00B805AB">
              <w:rPr>
                <w:color w:val="000000" w:themeColor="text1"/>
                <w:szCs w:val="23"/>
              </w:rPr>
              <w:t>promptly notify the Commonwealth of any transfers of NIP vaccines betwe</w:t>
            </w:r>
            <w:r w:rsidR="009D22BC" w:rsidRPr="00B805AB">
              <w:rPr>
                <w:color w:val="000000" w:themeColor="text1"/>
                <w:szCs w:val="23"/>
              </w:rPr>
              <w:t xml:space="preserve">en </w:t>
            </w:r>
            <w:r w:rsidRPr="00B805AB">
              <w:rPr>
                <w:color w:val="000000" w:themeColor="text1"/>
                <w:szCs w:val="23"/>
              </w:rPr>
              <w:t>States</w:t>
            </w:r>
            <w:r w:rsidR="009D22BC" w:rsidRPr="00B805AB">
              <w:rPr>
                <w:color w:val="000000" w:themeColor="text1"/>
                <w:szCs w:val="23"/>
              </w:rPr>
              <w:t xml:space="preserve"> and Territories</w:t>
            </w:r>
            <w:r w:rsidRPr="00B805AB">
              <w:rPr>
                <w:color w:val="000000" w:themeColor="text1"/>
                <w:szCs w:val="23"/>
              </w:rPr>
              <w:t xml:space="preserve">.  Payments will be adjusted accordingly. </w:t>
            </w:r>
          </w:p>
          <w:p w14:paraId="25916C80" w14:textId="77777777" w:rsidR="002D7502" w:rsidRPr="00B805AB" w:rsidRDefault="002D7502" w:rsidP="000B173A">
            <w:pPr>
              <w:pStyle w:val="Heading2"/>
              <w:keepNext w:val="0"/>
              <w:keepLines w:val="0"/>
              <w:spacing w:before="0"/>
              <w:rPr>
                <w:rFonts w:ascii="Corbel" w:hAnsi="Corbel"/>
                <w:b/>
                <w:sz w:val="23"/>
                <w:szCs w:val="23"/>
              </w:rPr>
            </w:pPr>
          </w:p>
          <w:p w14:paraId="1CAD7168" w14:textId="2C85D6E2" w:rsidR="0002594D" w:rsidRPr="00B805AB" w:rsidRDefault="0002594D" w:rsidP="002D7502">
            <w:pPr>
              <w:keepNext/>
              <w:keepLines/>
              <w:rPr>
                <w:rFonts w:ascii="Corbel" w:eastAsia="Times New Roman" w:hAnsi="Corbel" w:cs="Arial"/>
                <w:b/>
                <w:iCs/>
                <w:color w:val="44546A" w:themeColor="text2"/>
                <w:sz w:val="26"/>
                <w:szCs w:val="26"/>
                <w:lang w:eastAsia="en-AU"/>
              </w:rPr>
            </w:pPr>
            <w:r w:rsidRPr="00B805AB">
              <w:rPr>
                <w:rFonts w:ascii="Corbel" w:eastAsia="Times New Roman" w:hAnsi="Corbel" w:cs="Arial"/>
                <w:b/>
                <w:iCs/>
                <w:color w:val="44546A" w:themeColor="text2"/>
                <w:sz w:val="26"/>
                <w:szCs w:val="26"/>
                <w:lang w:eastAsia="en-AU"/>
              </w:rPr>
              <w:t>Payment for NIP vaccines</w:t>
            </w:r>
          </w:p>
          <w:p w14:paraId="2643F5E0" w14:textId="77777777" w:rsidR="002D7502" w:rsidRPr="00B805AB" w:rsidRDefault="002D7502" w:rsidP="002D7502">
            <w:pPr>
              <w:pStyle w:val="ScheduleNumberedPara"/>
              <w:keepNext/>
              <w:keepLines/>
              <w:spacing w:after="0" w:line="240" w:lineRule="auto"/>
              <w:jc w:val="left"/>
              <w:rPr>
                <w:color w:val="000000" w:themeColor="text1"/>
                <w:szCs w:val="23"/>
              </w:rPr>
            </w:pPr>
          </w:p>
          <w:p w14:paraId="44E46C10" w14:textId="3A064FF2" w:rsidR="0002594D" w:rsidRPr="00B805AB" w:rsidRDefault="0002594D" w:rsidP="00B805AB">
            <w:pPr>
              <w:pStyle w:val="ScheduleNumberedPara"/>
              <w:keepNext/>
              <w:keepLines/>
              <w:spacing w:after="120" w:line="240" w:lineRule="auto"/>
              <w:ind w:left="447"/>
              <w:jc w:val="left"/>
              <w:rPr>
                <w:color w:val="000000" w:themeColor="text1"/>
                <w:szCs w:val="23"/>
              </w:rPr>
            </w:pPr>
            <w:r w:rsidRPr="00B805AB">
              <w:rPr>
                <w:color w:val="000000" w:themeColor="text1"/>
                <w:szCs w:val="23"/>
              </w:rPr>
              <w:t xml:space="preserve">The Commonwealth will, as a </w:t>
            </w:r>
            <w:r w:rsidR="003F3A76">
              <w:rPr>
                <w:color w:val="000000" w:themeColor="text1"/>
                <w:szCs w:val="23"/>
              </w:rPr>
              <w:t>purchaser</w:t>
            </w:r>
            <w:r w:rsidRPr="00B805AB">
              <w:rPr>
                <w:color w:val="000000" w:themeColor="text1"/>
                <w:szCs w:val="23"/>
              </w:rPr>
              <w:t>, pay Vaccine Sponsors directly for NIP vaccines:</w:t>
            </w:r>
          </w:p>
          <w:p w14:paraId="0A126E05" w14:textId="215CAB4D" w:rsidR="0002594D" w:rsidRPr="00B805AB" w:rsidRDefault="0002594D" w:rsidP="002D7502">
            <w:pPr>
              <w:pStyle w:val="ScheduleNumberedPara"/>
              <w:numPr>
                <w:ilvl w:val="0"/>
                <w:numId w:val="30"/>
              </w:numPr>
              <w:spacing w:after="120" w:line="240" w:lineRule="auto"/>
              <w:ind w:left="1014" w:hanging="567"/>
              <w:jc w:val="left"/>
              <w:rPr>
                <w:color w:val="000000" w:themeColor="text1"/>
                <w:szCs w:val="23"/>
              </w:rPr>
            </w:pPr>
            <w:r w:rsidRPr="00B805AB">
              <w:rPr>
                <w:color w:val="000000" w:themeColor="text1"/>
                <w:szCs w:val="23"/>
              </w:rPr>
              <w:t>ordered and managed by that State</w:t>
            </w:r>
            <w:r w:rsidR="000B173A" w:rsidRPr="00B805AB">
              <w:rPr>
                <w:color w:val="000000" w:themeColor="text1"/>
                <w:szCs w:val="23"/>
              </w:rPr>
              <w:t xml:space="preserve"> or Territory</w:t>
            </w:r>
            <w:r w:rsidRPr="00B805AB">
              <w:rPr>
                <w:color w:val="000000" w:themeColor="text1"/>
                <w:szCs w:val="23"/>
              </w:rPr>
              <w:t xml:space="preserve"> in accordance with </w:t>
            </w:r>
            <w:r w:rsidR="002D7502" w:rsidRPr="00B805AB">
              <w:rPr>
                <w:color w:val="000000" w:themeColor="text1"/>
                <w:szCs w:val="23"/>
              </w:rPr>
              <w:t>this Table</w:t>
            </w:r>
            <w:r w:rsidRPr="00B805AB">
              <w:rPr>
                <w:color w:val="000000" w:themeColor="text1"/>
                <w:szCs w:val="23"/>
              </w:rPr>
              <w:t>;</w:t>
            </w:r>
          </w:p>
          <w:p w14:paraId="00135EE2" w14:textId="370E5D2D" w:rsidR="0002594D" w:rsidRPr="00B805AB" w:rsidRDefault="0002594D" w:rsidP="002D7502">
            <w:pPr>
              <w:pStyle w:val="ScheduleNumberedPara"/>
              <w:numPr>
                <w:ilvl w:val="0"/>
                <w:numId w:val="30"/>
              </w:numPr>
              <w:spacing w:after="120" w:line="240" w:lineRule="auto"/>
              <w:ind w:left="1014" w:hanging="567"/>
              <w:jc w:val="left"/>
              <w:rPr>
                <w:color w:val="000000" w:themeColor="text1"/>
                <w:szCs w:val="23"/>
              </w:rPr>
            </w:pPr>
            <w:r w:rsidRPr="00B805AB">
              <w:rPr>
                <w:color w:val="000000" w:themeColor="text1"/>
                <w:szCs w:val="23"/>
              </w:rPr>
              <w:t>verified in writing to the Commonwealth by the State</w:t>
            </w:r>
            <w:r w:rsidR="000B173A" w:rsidRPr="00B805AB">
              <w:rPr>
                <w:color w:val="000000" w:themeColor="text1"/>
                <w:szCs w:val="23"/>
              </w:rPr>
              <w:t xml:space="preserve"> or Territory</w:t>
            </w:r>
            <w:r w:rsidRPr="00B805AB">
              <w:rPr>
                <w:color w:val="000000" w:themeColor="text1"/>
                <w:szCs w:val="23"/>
              </w:rPr>
              <w:t xml:space="preserve"> as having been delivered by the Vaccine Sponsor to that State </w:t>
            </w:r>
            <w:r w:rsidR="000B173A" w:rsidRPr="00B805AB">
              <w:rPr>
                <w:color w:val="000000" w:themeColor="text1"/>
                <w:szCs w:val="23"/>
              </w:rPr>
              <w:t xml:space="preserve">or Territory </w:t>
            </w:r>
            <w:r w:rsidRPr="00B805AB">
              <w:rPr>
                <w:color w:val="000000" w:themeColor="text1"/>
                <w:szCs w:val="23"/>
              </w:rPr>
              <w:t>under, and in accordance with the relevant Deed or Head Agreement; and</w:t>
            </w:r>
          </w:p>
          <w:p w14:paraId="022BA5E6" w14:textId="356DEC20" w:rsidR="0002594D" w:rsidRPr="00B805AB" w:rsidRDefault="0002594D" w:rsidP="000B173A">
            <w:pPr>
              <w:pStyle w:val="ScheduleNumberedPara"/>
              <w:numPr>
                <w:ilvl w:val="0"/>
                <w:numId w:val="30"/>
              </w:numPr>
              <w:spacing w:after="0" w:line="240" w:lineRule="auto"/>
              <w:ind w:left="1014" w:hanging="567"/>
              <w:jc w:val="left"/>
              <w:rPr>
                <w:color w:val="000000" w:themeColor="text1"/>
                <w:szCs w:val="23"/>
              </w:rPr>
            </w:pPr>
            <w:r w:rsidRPr="00B805AB">
              <w:rPr>
                <w:color w:val="000000" w:themeColor="text1"/>
                <w:szCs w:val="23"/>
              </w:rPr>
              <w:t>up to the Payment Cap, after receipt of a copy of the Tax Invoice from the Vaccine Sponsor and the verification of the Tax Invoice to the Commonwealth by the relevant State</w:t>
            </w:r>
            <w:r w:rsidR="000B173A" w:rsidRPr="00B805AB">
              <w:rPr>
                <w:color w:val="000000" w:themeColor="text1"/>
                <w:szCs w:val="23"/>
              </w:rPr>
              <w:t xml:space="preserve"> or Territory</w:t>
            </w:r>
            <w:r w:rsidRPr="00B805AB">
              <w:rPr>
                <w:color w:val="000000" w:themeColor="text1"/>
                <w:szCs w:val="23"/>
              </w:rPr>
              <w:t>.</w:t>
            </w:r>
          </w:p>
          <w:p w14:paraId="4A09E4B1" w14:textId="77777777" w:rsidR="002D7502" w:rsidRPr="00B805AB" w:rsidRDefault="002D7502" w:rsidP="000B173A">
            <w:pPr>
              <w:pStyle w:val="ScheduleNumberedPara"/>
              <w:spacing w:after="0" w:line="240" w:lineRule="auto"/>
              <w:jc w:val="left"/>
              <w:rPr>
                <w:color w:val="000000" w:themeColor="text1"/>
                <w:szCs w:val="23"/>
              </w:rPr>
            </w:pPr>
          </w:p>
          <w:p w14:paraId="5F8818F5" w14:textId="4268D03F" w:rsidR="0002594D" w:rsidRPr="00B805AB" w:rsidRDefault="0002594D" w:rsidP="00B805AB">
            <w:pPr>
              <w:pStyle w:val="ScheduleNumberedPara"/>
              <w:spacing w:after="0" w:line="240" w:lineRule="auto"/>
              <w:ind w:left="447"/>
              <w:jc w:val="left"/>
              <w:rPr>
                <w:color w:val="000000" w:themeColor="text1"/>
                <w:szCs w:val="23"/>
              </w:rPr>
            </w:pPr>
            <w:r w:rsidRPr="00B805AB">
              <w:rPr>
                <w:color w:val="000000" w:themeColor="text1"/>
                <w:szCs w:val="23"/>
              </w:rPr>
              <w:t>The Commonwealth will not be required to make any payment to a Vaccine Sponsor in excess of the Payment Cap for a Reference Period unless an extension to the Payment Cap has been agreed by the Commonwealth. The Payment Cap is specified in the relevant Deed or Head Agreement.</w:t>
            </w:r>
          </w:p>
          <w:p w14:paraId="5B679E5F" w14:textId="77777777" w:rsidR="002D7502" w:rsidRPr="00B805AB" w:rsidRDefault="002D7502" w:rsidP="00B805AB">
            <w:pPr>
              <w:pStyle w:val="ScheduleNumberedPara"/>
              <w:spacing w:after="0" w:line="240" w:lineRule="auto"/>
              <w:ind w:left="447"/>
              <w:jc w:val="left"/>
              <w:rPr>
                <w:color w:val="000000" w:themeColor="text1"/>
                <w:szCs w:val="23"/>
              </w:rPr>
            </w:pPr>
          </w:p>
          <w:p w14:paraId="62408486" w14:textId="77777777" w:rsidR="00B805AB" w:rsidRDefault="000B173A" w:rsidP="00B805AB">
            <w:pPr>
              <w:pStyle w:val="ScheduleNumberedPara"/>
              <w:spacing w:after="0" w:line="240" w:lineRule="auto"/>
              <w:ind w:left="447"/>
              <w:jc w:val="left"/>
              <w:rPr>
                <w:color w:val="000000" w:themeColor="text1"/>
                <w:szCs w:val="23"/>
              </w:rPr>
            </w:pPr>
            <w:r w:rsidRPr="00B805AB">
              <w:rPr>
                <w:color w:val="000000" w:themeColor="text1"/>
                <w:szCs w:val="23"/>
              </w:rPr>
              <w:t>The Commonwealth and the States and Territories</w:t>
            </w:r>
            <w:r w:rsidR="0002594D" w:rsidRPr="00B805AB">
              <w:rPr>
                <w:color w:val="000000" w:themeColor="text1"/>
                <w:szCs w:val="23"/>
              </w:rPr>
              <w:t xml:space="preserve"> may agree to adjust the size of the Cohort, but must not do so prior to funds being</w:t>
            </w:r>
            <w:r w:rsidR="00B805AB">
              <w:rPr>
                <w:color w:val="000000" w:themeColor="text1"/>
                <w:szCs w:val="23"/>
              </w:rPr>
              <w:t xml:space="preserve"> committed by the Commonwealth.</w:t>
            </w:r>
          </w:p>
          <w:p w14:paraId="1DE83E93" w14:textId="77777777" w:rsidR="00B805AB" w:rsidRDefault="00B805AB" w:rsidP="00B805AB">
            <w:pPr>
              <w:pStyle w:val="ScheduleNumberedPara"/>
              <w:spacing w:after="0" w:line="240" w:lineRule="auto"/>
              <w:ind w:left="447"/>
              <w:jc w:val="left"/>
              <w:rPr>
                <w:color w:val="000000" w:themeColor="text1"/>
                <w:szCs w:val="23"/>
              </w:rPr>
            </w:pPr>
          </w:p>
          <w:p w14:paraId="3F21620D" w14:textId="6028F267" w:rsidR="0002594D" w:rsidRPr="00B805AB" w:rsidRDefault="0002594D" w:rsidP="00B805AB">
            <w:pPr>
              <w:pStyle w:val="ScheduleNumberedPara"/>
              <w:spacing w:after="0" w:line="240" w:lineRule="auto"/>
              <w:ind w:left="447"/>
              <w:jc w:val="left"/>
              <w:rPr>
                <w:color w:val="000000" w:themeColor="text1"/>
                <w:szCs w:val="23"/>
              </w:rPr>
            </w:pPr>
            <w:r w:rsidRPr="00B805AB">
              <w:rPr>
                <w:color w:val="000000" w:themeColor="text1"/>
                <w:szCs w:val="23"/>
              </w:rPr>
              <w:lastRenderedPageBreak/>
              <w:t>Payments for State Scheme Supplies are the responsibility of the State</w:t>
            </w:r>
            <w:r w:rsidR="000B173A" w:rsidRPr="00B805AB">
              <w:rPr>
                <w:color w:val="000000" w:themeColor="text1"/>
                <w:szCs w:val="23"/>
              </w:rPr>
              <w:t xml:space="preserve"> or Territory</w:t>
            </w:r>
            <w:r w:rsidRPr="00B805AB">
              <w:rPr>
                <w:color w:val="000000" w:themeColor="text1"/>
                <w:szCs w:val="23"/>
              </w:rPr>
              <w:t xml:space="preserve"> ordering those supplies.</w:t>
            </w:r>
          </w:p>
          <w:p w14:paraId="15C85B72" w14:textId="77777777" w:rsidR="002D7502" w:rsidRPr="00B805AB" w:rsidRDefault="002D7502" w:rsidP="000B173A">
            <w:pPr>
              <w:pStyle w:val="ScheduleNumberedPara"/>
              <w:spacing w:after="0" w:line="240" w:lineRule="auto"/>
              <w:jc w:val="left"/>
              <w:rPr>
                <w:color w:val="000000" w:themeColor="text1"/>
                <w:szCs w:val="23"/>
              </w:rPr>
            </w:pPr>
          </w:p>
          <w:p w14:paraId="7EBB5A0C" w14:textId="77777777" w:rsidR="0002594D" w:rsidRPr="00B805AB" w:rsidRDefault="0002594D" w:rsidP="000B173A">
            <w:pPr>
              <w:pStyle w:val="Heading2"/>
              <w:keepNext w:val="0"/>
              <w:keepLines w:val="0"/>
              <w:spacing w:before="0"/>
              <w:rPr>
                <w:rFonts w:ascii="Corbel" w:eastAsia="Times New Roman" w:hAnsi="Corbel" w:cs="Arial"/>
                <w:b/>
                <w:iCs/>
                <w:color w:val="44546A" w:themeColor="text2"/>
                <w:lang w:eastAsia="en-AU"/>
              </w:rPr>
            </w:pPr>
            <w:r w:rsidRPr="00B805AB">
              <w:rPr>
                <w:rFonts w:ascii="Corbel" w:eastAsia="Times New Roman" w:hAnsi="Corbel" w:cs="Arial"/>
                <w:b/>
                <w:iCs/>
                <w:color w:val="44546A" w:themeColor="text2"/>
                <w:lang w:eastAsia="en-AU"/>
              </w:rPr>
              <w:t>Payments subject to Parliamentary Appropriation</w:t>
            </w:r>
          </w:p>
          <w:p w14:paraId="1F365A5F" w14:textId="77777777" w:rsidR="002D7502" w:rsidRPr="00B805AB" w:rsidRDefault="002D7502" w:rsidP="000B173A">
            <w:pPr>
              <w:pStyle w:val="ScheduleNumberedPara"/>
              <w:spacing w:after="0" w:line="240" w:lineRule="auto"/>
              <w:jc w:val="left"/>
              <w:rPr>
                <w:color w:val="000000" w:themeColor="text1"/>
                <w:szCs w:val="23"/>
              </w:rPr>
            </w:pPr>
            <w:bookmarkStart w:id="2" w:name="_Ref225132307"/>
          </w:p>
          <w:p w14:paraId="747A8095" w14:textId="1F7A9D0C" w:rsidR="0002594D" w:rsidRPr="00B805AB" w:rsidRDefault="0002594D" w:rsidP="00B805AB">
            <w:pPr>
              <w:pStyle w:val="ScheduleNumberedPara"/>
              <w:spacing w:after="0" w:line="240" w:lineRule="auto"/>
              <w:ind w:left="447"/>
              <w:jc w:val="left"/>
              <w:rPr>
                <w:color w:val="000000" w:themeColor="text1"/>
                <w:szCs w:val="23"/>
              </w:rPr>
            </w:pPr>
            <w:r w:rsidRPr="00B805AB">
              <w:rPr>
                <w:color w:val="000000" w:themeColor="text1"/>
                <w:szCs w:val="23"/>
              </w:rPr>
              <w:t xml:space="preserve">The Commonwealth will, subject to the appropriation of the funds by the Commonwealth Parliament, provide payments under or in connection with the Deed or Head Agreement in accordance with this </w:t>
            </w:r>
            <w:r w:rsidR="00556B77" w:rsidRPr="00B805AB">
              <w:rPr>
                <w:color w:val="000000" w:themeColor="text1"/>
                <w:szCs w:val="23"/>
              </w:rPr>
              <w:t>Table</w:t>
            </w:r>
            <w:r w:rsidRPr="00B805AB">
              <w:rPr>
                <w:color w:val="000000" w:themeColor="text1"/>
                <w:szCs w:val="23"/>
              </w:rPr>
              <w:t xml:space="preserve"> and the Deed or Head Agreement.</w:t>
            </w:r>
            <w:bookmarkEnd w:id="2"/>
          </w:p>
          <w:p w14:paraId="3B82F95C" w14:textId="77777777" w:rsidR="002D7502" w:rsidRPr="00B805AB" w:rsidRDefault="002D7502" w:rsidP="000B173A">
            <w:pPr>
              <w:pStyle w:val="Heading2"/>
              <w:keepNext w:val="0"/>
              <w:keepLines w:val="0"/>
              <w:spacing w:before="0"/>
              <w:rPr>
                <w:rFonts w:ascii="Corbel" w:eastAsia="Times New Roman" w:hAnsi="Corbel" w:cs="Arial"/>
                <w:b/>
                <w:iCs/>
                <w:color w:val="auto"/>
                <w:sz w:val="23"/>
                <w:szCs w:val="23"/>
                <w:lang w:eastAsia="en-AU"/>
              </w:rPr>
            </w:pPr>
          </w:p>
          <w:p w14:paraId="1AA3C8A5" w14:textId="0335A18B" w:rsidR="0002594D" w:rsidRPr="00B805AB" w:rsidRDefault="0002594D" w:rsidP="002D7502">
            <w:pPr>
              <w:pStyle w:val="Heading2"/>
              <w:spacing w:before="0"/>
              <w:rPr>
                <w:rFonts w:ascii="Corbel" w:eastAsia="Times New Roman" w:hAnsi="Corbel" w:cs="Arial"/>
                <w:b/>
                <w:iCs/>
                <w:color w:val="44546A" w:themeColor="text2"/>
                <w:lang w:eastAsia="en-AU"/>
              </w:rPr>
            </w:pPr>
            <w:r w:rsidRPr="00B805AB">
              <w:rPr>
                <w:rFonts w:ascii="Corbel" w:eastAsia="Times New Roman" w:hAnsi="Corbel" w:cs="Arial"/>
                <w:b/>
                <w:iCs/>
                <w:color w:val="44546A" w:themeColor="text2"/>
                <w:lang w:eastAsia="en-AU"/>
              </w:rPr>
              <w:t>Compensation amount payable under a Deed or Head Agreement</w:t>
            </w:r>
          </w:p>
          <w:p w14:paraId="18844355" w14:textId="77777777" w:rsidR="002D7502" w:rsidRPr="00B805AB" w:rsidRDefault="002D7502" w:rsidP="002D7502">
            <w:pPr>
              <w:pStyle w:val="ScheduleNumberedPara"/>
              <w:keepNext/>
              <w:keepLines/>
              <w:spacing w:after="0" w:line="240" w:lineRule="auto"/>
              <w:jc w:val="left"/>
              <w:rPr>
                <w:color w:val="000000" w:themeColor="text1"/>
                <w:szCs w:val="23"/>
              </w:rPr>
            </w:pPr>
          </w:p>
          <w:p w14:paraId="185526CE" w14:textId="2AA50A2E" w:rsidR="0002594D" w:rsidRPr="00B805AB" w:rsidRDefault="0002594D" w:rsidP="00B805AB">
            <w:pPr>
              <w:pStyle w:val="ScheduleNumberedPara"/>
              <w:keepNext/>
              <w:keepLines/>
              <w:spacing w:after="120" w:line="240" w:lineRule="auto"/>
              <w:ind w:left="447"/>
              <w:jc w:val="left"/>
              <w:rPr>
                <w:color w:val="000000" w:themeColor="text1"/>
                <w:szCs w:val="23"/>
              </w:rPr>
            </w:pPr>
            <w:r w:rsidRPr="00B805AB">
              <w:rPr>
                <w:color w:val="000000" w:themeColor="text1"/>
                <w:szCs w:val="23"/>
              </w:rPr>
              <w:t>The State or Territory agrees to:</w:t>
            </w:r>
          </w:p>
          <w:p w14:paraId="15BE5D8B" w14:textId="77777777" w:rsidR="0002594D" w:rsidRPr="00B805AB" w:rsidRDefault="0002594D" w:rsidP="002D7502">
            <w:pPr>
              <w:pStyle w:val="ScheduleNumberedPara"/>
              <w:numPr>
                <w:ilvl w:val="0"/>
                <w:numId w:val="31"/>
              </w:numPr>
              <w:spacing w:after="120" w:line="240" w:lineRule="auto"/>
              <w:ind w:left="1014" w:hanging="567"/>
              <w:jc w:val="left"/>
              <w:rPr>
                <w:color w:val="000000" w:themeColor="text1"/>
                <w:szCs w:val="23"/>
              </w:rPr>
            </w:pPr>
            <w:r w:rsidRPr="00B805AB">
              <w:rPr>
                <w:color w:val="000000" w:themeColor="text1"/>
                <w:szCs w:val="23"/>
              </w:rPr>
              <w:t>comply with the national market share provisions set out in the Deed or Head Agreement; and</w:t>
            </w:r>
          </w:p>
          <w:p w14:paraId="43175385" w14:textId="77777777" w:rsidR="0002594D" w:rsidRPr="00B805AB" w:rsidRDefault="0002594D" w:rsidP="000B173A">
            <w:pPr>
              <w:pStyle w:val="ScheduleNumberedPara"/>
              <w:numPr>
                <w:ilvl w:val="0"/>
                <w:numId w:val="31"/>
              </w:numPr>
              <w:spacing w:after="0" w:line="240" w:lineRule="auto"/>
              <w:ind w:left="1014" w:hanging="567"/>
              <w:jc w:val="left"/>
              <w:rPr>
                <w:color w:val="000000" w:themeColor="text1"/>
                <w:szCs w:val="23"/>
              </w:rPr>
            </w:pPr>
            <w:r w:rsidRPr="00B805AB">
              <w:rPr>
                <w:color w:val="000000" w:themeColor="text1"/>
                <w:szCs w:val="23"/>
              </w:rPr>
              <w:t>use its best endeavours to avoid any delays in providing documentation to the Commonwealth for payment verification.</w:t>
            </w:r>
          </w:p>
          <w:p w14:paraId="1BFA233A" w14:textId="77777777" w:rsidR="002D7502" w:rsidRPr="00B805AB" w:rsidRDefault="002D7502" w:rsidP="000B173A">
            <w:pPr>
              <w:pStyle w:val="ScheduleNumberedPara"/>
              <w:spacing w:after="0" w:line="240" w:lineRule="auto"/>
              <w:jc w:val="left"/>
              <w:rPr>
                <w:color w:val="000000" w:themeColor="text1"/>
                <w:szCs w:val="23"/>
              </w:rPr>
            </w:pPr>
          </w:p>
          <w:p w14:paraId="70EBEDBB" w14:textId="2517C555" w:rsidR="0002594D" w:rsidRPr="00B805AB" w:rsidRDefault="0002594D" w:rsidP="00B805AB">
            <w:pPr>
              <w:pStyle w:val="ScheduleNumberedPara"/>
              <w:spacing w:after="0" w:line="240" w:lineRule="auto"/>
              <w:ind w:left="447"/>
              <w:jc w:val="left"/>
              <w:rPr>
                <w:color w:val="000000" w:themeColor="text1"/>
                <w:szCs w:val="23"/>
              </w:rPr>
            </w:pPr>
            <w:r w:rsidRPr="00B805AB">
              <w:rPr>
                <w:color w:val="000000" w:themeColor="text1"/>
                <w:szCs w:val="23"/>
              </w:rPr>
              <w:t>The States</w:t>
            </w:r>
            <w:r w:rsidR="000B173A" w:rsidRPr="00B805AB">
              <w:rPr>
                <w:color w:val="000000" w:themeColor="text1"/>
                <w:szCs w:val="23"/>
              </w:rPr>
              <w:t xml:space="preserve"> and Territories</w:t>
            </w:r>
            <w:r w:rsidRPr="00B805AB">
              <w:rPr>
                <w:color w:val="000000" w:themeColor="text1"/>
                <w:szCs w:val="23"/>
              </w:rPr>
              <w:t xml:space="preserve"> acknowledge that failure to comply with these arrangements may result in the Commonwealth becoming liable to pay an amount to a Vaccine Sponsor under the Head Agreement (Compensation Payment).</w:t>
            </w:r>
          </w:p>
          <w:p w14:paraId="5E57C2E7" w14:textId="77777777" w:rsidR="002D7502" w:rsidRPr="00B805AB" w:rsidRDefault="002D7502" w:rsidP="00B805AB">
            <w:pPr>
              <w:pStyle w:val="ScheduleNumberedPara"/>
              <w:spacing w:after="0" w:line="240" w:lineRule="auto"/>
              <w:ind w:left="447"/>
              <w:jc w:val="left"/>
              <w:rPr>
                <w:color w:val="000000" w:themeColor="text1"/>
                <w:szCs w:val="23"/>
              </w:rPr>
            </w:pPr>
          </w:p>
          <w:p w14:paraId="260C05AA" w14:textId="494C7BD4" w:rsidR="0002594D" w:rsidRPr="00B805AB" w:rsidRDefault="0002594D" w:rsidP="00B805AB">
            <w:pPr>
              <w:pStyle w:val="ScheduleNumberedPara"/>
              <w:spacing w:after="0" w:line="240" w:lineRule="auto"/>
              <w:ind w:left="447"/>
              <w:jc w:val="left"/>
              <w:rPr>
                <w:color w:val="000000" w:themeColor="text1"/>
                <w:szCs w:val="23"/>
              </w:rPr>
            </w:pPr>
            <w:r w:rsidRPr="00B805AB">
              <w:rPr>
                <w:color w:val="000000" w:themeColor="text1"/>
                <w:szCs w:val="23"/>
              </w:rPr>
              <w:t xml:space="preserve">Further to </w:t>
            </w:r>
            <w:r w:rsidR="00556B77" w:rsidRPr="00B805AB">
              <w:rPr>
                <w:color w:val="000000" w:themeColor="text1"/>
                <w:szCs w:val="23"/>
              </w:rPr>
              <w:t xml:space="preserve">the General obligations of the Parties </w:t>
            </w:r>
            <w:r w:rsidRPr="00B805AB">
              <w:rPr>
                <w:color w:val="000000" w:themeColor="text1"/>
                <w:szCs w:val="23"/>
              </w:rPr>
              <w:t>where the State</w:t>
            </w:r>
            <w:r w:rsidR="000B173A" w:rsidRPr="00B805AB">
              <w:rPr>
                <w:color w:val="000000" w:themeColor="text1"/>
                <w:szCs w:val="23"/>
              </w:rPr>
              <w:t xml:space="preserve"> or Territory</w:t>
            </w:r>
            <w:r w:rsidRPr="00B805AB">
              <w:rPr>
                <w:color w:val="000000" w:themeColor="text1"/>
                <w:szCs w:val="23"/>
              </w:rPr>
              <w:t xml:space="preserve"> agrees to purchase NIP vaccines in accordance with the market shares set out in the Deed or Head Agreement, the States</w:t>
            </w:r>
            <w:r w:rsidR="000B173A" w:rsidRPr="00B805AB">
              <w:rPr>
                <w:color w:val="000000" w:themeColor="text1"/>
                <w:szCs w:val="23"/>
              </w:rPr>
              <w:t xml:space="preserve"> and Territories</w:t>
            </w:r>
            <w:r w:rsidRPr="00B805AB">
              <w:rPr>
                <w:color w:val="000000" w:themeColor="text1"/>
                <w:szCs w:val="23"/>
              </w:rPr>
              <w:t xml:space="preserve"> agree to work closely with the Commonwealth in managing vaccine orders to ensure market share arrangements under a Deed or Head Agreement are met.</w:t>
            </w:r>
          </w:p>
          <w:p w14:paraId="22D749C7" w14:textId="77777777" w:rsidR="002D7502" w:rsidRPr="00B805AB" w:rsidRDefault="002D7502" w:rsidP="000B173A">
            <w:pPr>
              <w:pStyle w:val="Heading2"/>
              <w:keepNext w:val="0"/>
              <w:keepLines w:val="0"/>
              <w:spacing w:before="0"/>
              <w:rPr>
                <w:rFonts w:ascii="Corbel" w:eastAsia="Times New Roman" w:hAnsi="Corbel" w:cs="Arial"/>
                <w:b/>
                <w:iCs/>
                <w:color w:val="auto"/>
                <w:sz w:val="23"/>
                <w:szCs w:val="23"/>
                <w:lang w:eastAsia="en-AU"/>
              </w:rPr>
            </w:pPr>
          </w:p>
          <w:p w14:paraId="3641FF6F" w14:textId="67DCF607" w:rsidR="0002594D" w:rsidRPr="00B805AB" w:rsidRDefault="0002594D" w:rsidP="000B173A">
            <w:pPr>
              <w:pStyle w:val="Heading2"/>
              <w:keepNext w:val="0"/>
              <w:keepLines w:val="0"/>
              <w:spacing w:before="0"/>
              <w:rPr>
                <w:rFonts w:ascii="Corbel" w:eastAsia="Times New Roman" w:hAnsi="Corbel" w:cs="Arial"/>
                <w:b/>
                <w:iCs/>
                <w:color w:val="44546A" w:themeColor="text2"/>
                <w:lang w:eastAsia="en-AU"/>
              </w:rPr>
            </w:pPr>
            <w:r w:rsidRPr="00B805AB">
              <w:rPr>
                <w:rFonts w:ascii="Corbel" w:eastAsia="Times New Roman" w:hAnsi="Corbel" w:cs="Arial"/>
                <w:b/>
                <w:iCs/>
                <w:color w:val="44546A" w:themeColor="text2"/>
                <w:lang w:eastAsia="en-AU"/>
              </w:rPr>
              <w:t>Goods and Services Tax</w:t>
            </w:r>
          </w:p>
          <w:p w14:paraId="11415FF3" w14:textId="77777777" w:rsidR="002D7502" w:rsidRPr="00B805AB" w:rsidRDefault="002D7502" w:rsidP="000B173A">
            <w:pPr>
              <w:pStyle w:val="ScheduleNumberedPara"/>
              <w:spacing w:after="0" w:line="240" w:lineRule="auto"/>
              <w:jc w:val="left"/>
              <w:rPr>
                <w:color w:val="000000" w:themeColor="text1"/>
                <w:szCs w:val="23"/>
              </w:rPr>
            </w:pPr>
            <w:bookmarkStart w:id="3" w:name="_Ref225240196"/>
          </w:p>
          <w:p w14:paraId="1CF11367" w14:textId="1AE7C1F2" w:rsidR="0002594D" w:rsidRPr="00B805AB" w:rsidRDefault="0002594D" w:rsidP="00B805AB">
            <w:pPr>
              <w:pStyle w:val="ScheduleNumberedPara"/>
              <w:spacing w:after="0" w:line="240" w:lineRule="auto"/>
              <w:ind w:left="447"/>
              <w:jc w:val="left"/>
              <w:rPr>
                <w:color w:val="000000" w:themeColor="text1"/>
                <w:szCs w:val="23"/>
              </w:rPr>
            </w:pPr>
            <w:r w:rsidRPr="00B805AB">
              <w:rPr>
                <w:color w:val="000000" w:themeColor="text1"/>
                <w:szCs w:val="23"/>
              </w:rPr>
              <w:t xml:space="preserve">Unless otherwise expressly stated, all sums payable and all consideration to be provided pursuant to this </w:t>
            </w:r>
            <w:r w:rsidR="00556B77" w:rsidRPr="00B805AB">
              <w:rPr>
                <w:color w:val="000000" w:themeColor="text1"/>
                <w:szCs w:val="23"/>
              </w:rPr>
              <w:t>Schedule</w:t>
            </w:r>
            <w:r w:rsidRPr="00B805AB">
              <w:rPr>
                <w:color w:val="000000" w:themeColor="text1"/>
                <w:szCs w:val="23"/>
              </w:rPr>
              <w:t xml:space="preserve"> or Payments are exclusive of Goods and Services Tax (GST).</w:t>
            </w:r>
            <w:bookmarkEnd w:id="3"/>
          </w:p>
          <w:p w14:paraId="2E5EEB97" w14:textId="77777777" w:rsidR="002D7502" w:rsidRPr="00B805AB" w:rsidRDefault="002D7502" w:rsidP="00B805AB">
            <w:pPr>
              <w:pStyle w:val="ScheduleNumberedPara"/>
              <w:spacing w:after="0" w:line="240" w:lineRule="auto"/>
              <w:ind w:left="447"/>
              <w:jc w:val="left"/>
              <w:rPr>
                <w:color w:val="000000" w:themeColor="text1"/>
                <w:szCs w:val="23"/>
              </w:rPr>
            </w:pPr>
            <w:bookmarkStart w:id="4" w:name="_Ref228168136"/>
          </w:p>
          <w:p w14:paraId="6782143B" w14:textId="14585358" w:rsidR="0002594D" w:rsidRPr="00B805AB" w:rsidRDefault="0002594D" w:rsidP="00B805AB">
            <w:pPr>
              <w:pStyle w:val="ScheduleNumberedPara"/>
              <w:spacing w:after="120" w:line="240" w:lineRule="auto"/>
              <w:ind w:left="447"/>
              <w:jc w:val="left"/>
              <w:rPr>
                <w:color w:val="000000" w:themeColor="text1"/>
                <w:szCs w:val="23"/>
              </w:rPr>
            </w:pPr>
            <w:r w:rsidRPr="00B805AB">
              <w:rPr>
                <w:color w:val="000000" w:themeColor="text1"/>
                <w:szCs w:val="23"/>
              </w:rPr>
              <w:t xml:space="preserve">Where a Party is required under this </w:t>
            </w:r>
            <w:r w:rsidR="00556B77" w:rsidRPr="00B805AB">
              <w:rPr>
                <w:color w:val="000000" w:themeColor="text1"/>
                <w:szCs w:val="23"/>
              </w:rPr>
              <w:t>Schedule</w:t>
            </w:r>
            <w:r w:rsidRPr="00B805AB">
              <w:rPr>
                <w:color w:val="000000" w:themeColor="text1"/>
                <w:szCs w:val="23"/>
              </w:rPr>
              <w:t xml:space="preserve"> or </w:t>
            </w:r>
            <w:r w:rsidR="00556B77" w:rsidRPr="00B805AB">
              <w:rPr>
                <w:color w:val="000000" w:themeColor="text1"/>
                <w:szCs w:val="23"/>
              </w:rPr>
              <w:t>Table</w:t>
            </w:r>
            <w:r w:rsidRPr="00B805AB">
              <w:rPr>
                <w:color w:val="000000" w:themeColor="text1"/>
                <w:szCs w:val="23"/>
              </w:rPr>
              <w:t xml:space="preserve"> to pay or reimburse an expense or outgoing of the other Party, including under an indemnity or other claim made under this Agreement, the amount to be paid or reimbursed by the first Party will be the sum of:</w:t>
            </w:r>
            <w:bookmarkEnd w:id="4"/>
          </w:p>
          <w:p w14:paraId="044F1605" w14:textId="77777777" w:rsidR="0002594D" w:rsidRPr="00B805AB" w:rsidRDefault="0002594D" w:rsidP="002D7502">
            <w:pPr>
              <w:pStyle w:val="ScheduleNumberedPara"/>
              <w:numPr>
                <w:ilvl w:val="0"/>
                <w:numId w:val="32"/>
              </w:numPr>
              <w:spacing w:after="120" w:line="240" w:lineRule="auto"/>
              <w:ind w:left="1014" w:hanging="567"/>
              <w:jc w:val="left"/>
              <w:rPr>
                <w:color w:val="000000" w:themeColor="text1"/>
                <w:szCs w:val="23"/>
              </w:rPr>
            </w:pPr>
            <w:r w:rsidRPr="00B805AB">
              <w:rPr>
                <w:color w:val="000000" w:themeColor="text1"/>
                <w:szCs w:val="23"/>
              </w:rPr>
              <w:t>the amount of the expense or outgoing less any input tax credits in respect of the expense or outgoing to which the other Party, or to which the representative member for a GST group of which the other Party is a member, is entitled; and</w:t>
            </w:r>
          </w:p>
          <w:p w14:paraId="690C7795" w14:textId="77777777" w:rsidR="0002594D" w:rsidRPr="00B805AB" w:rsidRDefault="0002594D" w:rsidP="002D7502">
            <w:pPr>
              <w:pStyle w:val="ScheduleNumberedPara"/>
              <w:keepNext/>
              <w:keepLines/>
              <w:numPr>
                <w:ilvl w:val="0"/>
                <w:numId w:val="32"/>
              </w:numPr>
              <w:spacing w:after="0" w:line="240" w:lineRule="auto"/>
              <w:ind w:left="1014" w:hanging="567"/>
              <w:jc w:val="left"/>
              <w:rPr>
                <w:color w:val="000000" w:themeColor="text1"/>
                <w:szCs w:val="23"/>
              </w:rPr>
            </w:pPr>
            <w:r w:rsidRPr="00B805AB">
              <w:rPr>
                <w:color w:val="000000" w:themeColor="text1"/>
                <w:szCs w:val="23"/>
              </w:rPr>
              <w:t>if the payment or reimbursement is subject to GST, an amount equal to that GST.</w:t>
            </w:r>
          </w:p>
          <w:p w14:paraId="4EE49AD6" w14:textId="77777777" w:rsidR="002D7502" w:rsidRPr="00B805AB" w:rsidRDefault="002D7502" w:rsidP="000B173A">
            <w:pPr>
              <w:pStyle w:val="Heading2"/>
              <w:keepNext w:val="0"/>
              <w:keepLines w:val="0"/>
              <w:spacing w:before="0"/>
              <w:rPr>
                <w:rFonts w:ascii="Corbel" w:hAnsi="Corbel"/>
                <w:b/>
                <w:sz w:val="23"/>
                <w:szCs w:val="23"/>
              </w:rPr>
            </w:pPr>
          </w:p>
          <w:p w14:paraId="1E54910F" w14:textId="0FA52E0E" w:rsidR="0002594D" w:rsidRPr="00B805AB" w:rsidRDefault="0002594D" w:rsidP="000B173A">
            <w:pPr>
              <w:pStyle w:val="Heading2"/>
              <w:keepNext w:val="0"/>
              <w:keepLines w:val="0"/>
              <w:spacing w:before="0"/>
              <w:rPr>
                <w:rFonts w:ascii="Corbel" w:eastAsia="Times New Roman" w:hAnsi="Corbel" w:cs="Arial"/>
                <w:b/>
                <w:iCs/>
                <w:color w:val="44546A" w:themeColor="text2"/>
                <w:lang w:eastAsia="en-AU"/>
              </w:rPr>
            </w:pPr>
            <w:r w:rsidRPr="00B805AB">
              <w:rPr>
                <w:rFonts w:ascii="Corbel" w:eastAsia="Times New Roman" w:hAnsi="Corbel" w:cs="Arial"/>
                <w:b/>
                <w:iCs/>
                <w:color w:val="44546A" w:themeColor="text2"/>
                <w:lang w:eastAsia="en-AU"/>
              </w:rPr>
              <w:t>Audit requirements</w:t>
            </w:r>
          </w:p>
          <w:p w14:paraId="72B7C8F4" w14:textId="77777777" w:rsidR="002D7502" w:rsidRPr="00B805AB" w:rsidRDefault="002D7502" w:rsidP="002D7502">
            <w:pPr>
              <w:rPr>
                <w:sz w:val="23"/>
                <w:szCs w:val="23"/>
              </w:rPr>
            </w:pPr>
          </w:p>
          <w:p w14:paraId="2D4D9E94" w14:textId="77777777" w:rsidR="0002594D" w:rsidRPr="00B805AB" w:rsidRDefault="0002594D" w:rsidP="00B805AB">
            <w:pPr>
              <w:pStyle w:val="ScheduleNumberedPara"/>
              <w:spacing w:after="120" w:line="240" w:lineRule="auto"/>
              <w:ind w:left="447"/>
              <w:jc w:val="left"/>
              <w:rPr>
                <w:color w:val="000000" w:themeColor="text1"/>
                <w:szCs w:val="23"/>
              </w:rPr>
            </w:pPr>
            <w:bookmarkStart w:id="5" w:name="_Ref250628209"/>
            <w:bookmarkStart w:id="6" w:name="_Ref306878776"/>
            <w:r w:rsidRPr="00B805AB">
              <w:rPr>
                <w:color w:val="000000" w:themeColor="text1"/>
                <w:szCs w:val="23"/>
              </w:rPr>
              <w:t>Without limiting the provisions of any Deed or Head Agreement, audits may be conducted of:</w:t>
            </w:r>
            <w:bookmarkEnd w:id="5"/>
            <w:bookmarkEnd w:id="6"/>
          </w:p>
          <w:p w14:paraId="15C95B1A" w14:textId="77777777" w:rsidR="0002594D" w:rsidRPr="00B805AB" w:rsidRDefault="0002594D" w:rsidP="002D7502">
            <w:pPr>
              <w:pStyle w:val="ScheduleNumberedPara"/>
              <w:numPr>
                <w:ilvl w:val="0"/>
                <w:numId w:val="33"/>
              </w:numPr>
              <w:spacing w:after="120" w:line="240" w:lineRule="auto"/>
              <w:ind w:left="1014" w:hanging="567"/>
              <w:jc w:val="left"/>
              <w:rPr>
                <w:color w:val="000000" w:themeColor="text1"/>
                <w:szCs w:val="23"/>
              </w:rPr>
            </w:pPr>
            <w:r w:rsidRPr="00B805AB">
              <w:rPr>
                <w:color w:val="000000" w:themeColor="text1"/>
                <w:szCs w:val="23"/>
              </w:rPr>
              <w:t>the provision of the NIP vaccines under a Deed or Head Agreement or a Contract;</w:t>
            </w:r>
          </w:p>
          <w:p w14:paraId="68B8A4EC" w14:textId="77777777" w:rsidR="0002594D" w:rsidRPr="00B805AB" w:rsidRDefault="0002594D" w:rsidP="002D7502">
            <w:pPr>
              <w:pStyle w:val="ScheduleNumberedPara"/>
              <w:numPr>
                <w:ilvl w:val="0"/>
                <w:numId w:val="33"/>
              </w:numPr>
              <w:spacing w:after="120" w:line="240" w:lineRule="auto"/>
              <w:ind w:left="1014" w:hanging="567"/>
              <w:jc w:val="left"/>
              <w:rPr>
                <w:color w:val="000000" w:themeColor="text1"/>
                <w:szCs w:val="23"/>
              </w:rPr>
            </w:pPr>
            <w:r w:rsidRPr="00B805AB">
              <w:rPr>
                <w:color w:val="000000" w:themeColor="text1"/>
                <w:szCs w:val="23"/>
              </w:rPr>
              <w:t>the accuracy of the Vaccine Sponsor's Tax Invoices and reports in relation to the provision of the NIP vaccines under a Deed or Head Agreement or a Contract;</w:t>
            </w:r>
          </w:p>
          <w:p w14:paraId="0E9BDF95" w14:textId="77777777" w:rsidR="0002594D" w:rsidRPr="00B805AB" w:rsidRDefault="0002594D" w:rsidP="002D7502">
            <w:pPr>
              <w:pStyle w:val="ScheduleNumberedPara"/>
              <w:numPr>
                <w:ilvl w:val="0"/>
                <w:numId w:val="33"/>
              </w:numPr>
              <w:spacing w:after="120" w:line="240" w:lineRule="auto"/>
              <w:ind w:left="1014" w:hanging="567"/>
              <w:jc w:val="left"/>
              <w:rPr>
                <w:color w:val="000000" w:themeColor="text1"/>
                <w:szCs w:val="23"/>
              </w:rPr>
            </w:pPr>
            <w:r w:rsidRPr="00B805AB">
              <w:rPr>
                <w:color w:val="000000" w:themeColor="text1"/>
                <w:szCs w:val="23"/>
              </w:rPr>
              <w:lastRenderedPageBreak/>
              <w:t>the Vaccine Sponsor's compliance with its confidentiality, privacy and security obligations under the Deed or Head Agreement or a Contract; and</w:t>
            </w:r>
          </w:p>
          <w:p w14:paraId="0CDD158C" w14:textId="77777777" w:rsidR="0002594D" w:rsidRPr="00B805AB" w:rsidRDefault="0002594D" w:rsidP="000B173A">
            <w:pPr>
              <w:pStyle w:val="ScheduleNumberedPara"/>
              <w:numPr>
                <w:ilvl w:val="0"/>
                <w:numId w:val="33"/>
              </w:numPr>
              <w:spacing w:after="0" w:line="240" w:lineRule="auto"/>
              <w:ind w:left="1014" w:hanging="567"/>
              <w:jc w:val="left"/>
              <w:rPr>
                <w:color w:val="000000" w:themeColor="text1"/>
                <w:szCs w:val="23"/>
              </w:rPr>
            </w:pPr>
            <w:r w:rsidRPr="00B805AB">
              <w:rPr>
                <w:color w:val="000000" w:themeColor="text1"/>
                <w:szCs w:val="23"/>
              </w:rPr>
              <w:t>any other matters reasonably determined by the Commonwealth to be relevant to the provision of the NIP vaccines.</w:t>
            </w:r>
          </w:p>
          <w:p w14:paraId="53E1CB27" w14:textId="77777777" w:rsidR="002D7502" w:rsidRPr="00B805AB" w:rsidRDefault="002D7502" w:rsidP="000B173A">
            <w:pPr>
              <w:pStyle w:val="ScheduleNumberedPara"/>
              <w:spacing w:after="0" w:line="240" w:lineRule="auto"/>
              <w:jc w:val="left"/>
              <w:rPr>
                <w:color w:val="000000" w:themeColor="text1"/>
                <w:szCs w:val="23"/>
              </w:rPr>
            </w:pPr>
          </w:p>
          <w:p w14:paraId="18905B1A" w14:textId="048AB894" w:rsidR="0002594D" w:rsidRPr="00B805AB" w:rsidRDefault="0002594D" w:rsidP="00B805AB">
            <w:pPr>
              <w:pStyle w:val="ScheduleNumberedPara"/>
              <w:spacing w:after="0" w:line="240" w:lineRule="auto"/>
              <w:ind w:left="447"/>
              <w:jc w:val="left"/>
              <w:rPr>
                <w:color w:val="000000" w:themeColor="text1"/>
                <w:szCs w:val="23"/>
              </w:rPr>
            </w:pPr>
            <w:r w:rsidRPr="00B805AB">
              <w:rPr>
                <w:color w:val="000000" w:themeColor="text1"/>
                <w:szCs w:val="23"/>
              </w:rPr>
              <w:t>States</w:t>
            </w:r>
            <w:r w:rsidR="000B173A" w:rsidRPr="00B805AB">
              <w:rPr>
                <w:color w:val="000000" w:themeColor="text1"/>
                <w:szCs w:val="23"/>
              </w:rPr>
              <w:t xml:space="preserve"> and Territories</w:t>
            </w:r>
            <w:r w:rsidRPr="00B805AB">
              <w:rPr>
                <w:color w:val="000000" w:themeColor="text1"/>
                <w:szCs w:val="23"/>
              </w:rPr>
              <w:t xml:space="preserve"> must participate in audits conducted under </w:t>
            </w:r>
            <w:r w:rsidR="00556B77" w:rsidRPr="00B805AB">
              <w:rPr>
                <w:color w:val="000000" w:themeColor="text1"/>
                <w:szCs w:val="23"/>
              </w:rPr>
              <w:t>Audit requirements</w:t>
            </w:r>
            <w:r w:rsidRPr="00B805AB">
              <w:rPr>
                <w:color w:val="000000" w:themeColor="text1"/>
                <w:szCs w:val="23"/>
              </w:rPr>
              <w:t xml:space="preserve"> of this </w:t>
            </w:r>
            <w:r w:rsidR="00556B77" w:rsidRPr="00B805AB">
              <w:rPr>
                <w:color w:val="000000" w:themeColor="text1"/>
                <w:szCs w:val="23"/>
              </w:rPr>
              <w:t>Table</w:t>
            </w:r>
            <w:r w:rsidRPr="00B805AB">
              <w:rPr>
                <w:color w:val="000000" w:themeColor="text1"/>
                <w:szCs w:val="23"/>
              </w:rPr>
              <w:t xml:space="preserve"> as reasonably required.</w:t>
            </w:r>
          </w:p>
          <w:p w14:paraId="3C06646A" w14:textId="77777777" w:rsidR="002D7502" w:rsidRPr="00B805AB" w:rsidRDefault="002D7502" w:rsidP="00B805AB">
            <w:pPr>
              <w:pStyle w:val="ScheduleNumberedPara"/>
              <w:spacing w:after="0" w:line="240" w:lineRule="auto"/>
              <w:ind w:left="447"/>
              <w:jc w:val="left"/>
              <w:rPr>
                <w:color w:val="000000" w:themeColor="text1"/>
                <w:szCs w:val="23"/>
              </w:rPr>
            </w:pPr>
          </w:p>
          <w:p w14:paraId="7503B39B" w14:textId="144A3649" w:rsidR="0002594D" w:rsidRPr="00B805AB" w:rsidRDefault="0002594D" w:rsidP="00B805AB">
            <w:pPr>
              <w:pStyle w:val="ScheduleNumberedPara"/>
              <w:spacing w:after="0" w:line="240" w:lineRule="auto"/>
              <w:ind w:left="447"/>
              <w:jc w:val="left"/>
              <w:rPr>
                <w:color w:val="000000" w:themeColor="text1"/>
                <w:szCs w:val="23"/>
              </w:rPr>
            </w:pPr>
            <w:r w:rsidRPr="00B805AB">
              <w:rPr>
                <w:color w:val="000000" w:themeColor="text1"/>
                <w:szCs w:val="23"/>
              </w:rPr>
              <w:t xml:space="preserve">The Commonwealth may appoint an independent person to assist in any audit under </w:t>
            </w:r>
            <w:r w:rsidR="00556B77" w:rsidRPr="00B805AB">
              <w:rPr>
                <w:color w:val="000000" w:themeColor="text1"/>
                <w:szCs w:val="23"/>
              </w:rPr>
              <w:t>Audit requirements of this Table</w:t>
            </w:r>
            <w:r w:rsidRPr="00B805AB">
              <w:rPr>
                <w:color w:val="000000" w:themeColor="text1"/>
                <w:szCs w:val="23"/>
              </w:rPr>
              <w:t>. The State</w:t>
            </w:r>
            <w:r w:rsidR="000B173A" w:rsidRPr="00B805AB">
              <w:rPr>
                <w:color w:val="000000" w:themeColor="text1"/>
                <w:szCs w:val="23"/>
              </w:rPr>
              <w:t xml:space="preserve"> or Territory</w:t>
            </w:r>
            <w:r w:rsidRPr="00B805AB">
              <w:rPr>
                <w:color w:val="000000" w:themeColor="text1"/>
                <w:szCs w:val="23"/>
              </w:rPr>
              <w:t xml:space="preserve"> agrees to assist any such person as if such person was the Commonwealth subject to any confidentiality and privacy obligations as applicable to the State</w:t>
            </w:r>
            <w:r w:rsidR="000B173A" w:rsidRPr="00B805AB">
              <w:rPr>
                <w:color w:val="000000" w:themeColor="text1"/>
                <w:szCs w:val="23"/>
              </w:rPr>
              <w:t xml:space="preserve"> or Territory</w:t>
            </w:r>
            <w:r w:rsidRPr="00B805AB">
              <w:rPr>
                <w:color w:val="000000" w:themeColor="text1"/>
                <w:szCs w:val="23"/>
              </w:rPr>
              <w:t>.</w:t>
            </w:r>
          </w:p>
          <w:p w14:paraId="27C48F2A" w14:textId="77777777" w:rsidR="002D7502" w:rsidRPr="00B805AB" w:rsidRDefault="002D7502" w:rsidP="000B173A">
            <w:pPr>
              <w:pStyle w:val="Heading2"/>
              <w:keepNext w:val="0"/>
              <w:keepLines w:val="0"/>
              <w:spacing w:before="0"/>
              <w:rPr>
                <w:rFonts w:ascii="Corbel" w:hAnsi="Corbel"/>
                <w:b/>
                <w:sz w:val="23"/>
                <w:szCs w:val="23"/>
              </w:rPr>
            </w:pPr>
          </w:p>
          <w:p w14:paraId="2A0E463C" w14:textId="643D892E" w:rsidR="0002594D" w:rsidRPr="00B805AB" w:rsidRDefault="0002594D" w:rsidP="000B173A">
            <w:pPr>
              <w:pStyle w:val="Heading2"/>
              <w:keepNext w:val="0"/>
              <w:keepLines w:val="0"/>
              <w:spacing w:before="0"/>
              <w:rPr>
                <w:rFonts w:ascii="Corbel" w:eastAsia="Times New Roman" w:hAnsi="Corbel" w:cs="Arial"/>
                <w:b/>
                <w:iCs/>
                <w:color w:val="44546A" w:themeColor="text2"/>
                <w:lang w:eastAsia="en-AU"/>
              </w:rPr>
            </w:pPr>
            <w:r w:rsidRPr="00B805AB">
              <w:rPr>
                <w:rFonts w:ascii="Corbel" w:eastAsia="Times New Roman" w:hAnsi="Corbel" w:cs="Arial"/>
                <w:b/>
                <w:iCs/>
                <w:color w:val="44546A" w:themeColor="text2"/>
                <w:lang w:eastAsia="en-AU"/>
              </w:rPr>
              <w:t>Priority</w:t>
            </w:r>
          </w:p>
          <w:p w14:paraId="50140CA2" w14:textId="77777777" w:rsidR="002D7502" w:rsidRPr="00B805AB" w:rsidRDefault="002D7502" w:rsidP="000B173A">
            <w:pPr>
              <w:pStyle w:val="ScheduleNumberedPara"/>
              <w:spacing w:after="0" w:line="240" w:lineRule="auto"/>
              <w:jc w:val="left"/>
              <w:rPr>
                <w:color w:val="000000" w:themeColor="text1"/>
                <w:szCs w:val="23"/>
              </w:rPr>
            </w:pPr>
          </w:p>
          <w:p w14:paraId="08254AC7" w14:textId="379C1607" w:rsidR="002D7502" w:rsidRPr="00B805AB" w:rsidRDefault="0002594D" w:rsidP="00B805AB">
            <w:pPr>
              <w:pStyle w:val="ScheduleNumberedPara"/>
              <w:spacing w:after="0" w:line="240" w:lineRule="auto"/>
              <w:ind w:left="447"/>
              <w:jc w:val="left"/>
              <w:rPr>
                <w:color w:val="000000" w:themeColor="text1"/>
                <w:szCs w:val="23"/>
              </w:rPr>
            </w:pPr>
            <w:r w:rsidRPr="00B805AB">
              <w:rPr>
                <w:color w:val="000000" w:themeColor="text1"/>
                <w:szCs w:val="23"/>
              </w:rPr>
              <w:t xml:space="preserve">In the event of any inconsistency between this </w:t>
            </w:r>
            <w:r w:rsidR="00556B77" w:rsidRPr="00B805AB">
              <w:rPr>
                <w:color w:val="000000" w:themeColor="text1"/>
                <w:szCs w:val="23"/>
              </w:rPr>
              <w:t>Table</w:t>
            </w:r>
            <w:r w:rsidRPr="00B805AB">
              <w:rPr>
                <w:color w:val="000000" w:themeColor="text1"/>
                <w:szCs w:val="23"/>
              </w:rPr>
              <w:t xml:space="preserve"> and a Deed or Head Agreement, the Deed or Head Agreement will prevail to the extent of the inconsistency.</w:t>
            </w:r>
          </w:p>
          <w:p w14:paraId="530AA89A" w14:textId="3986EC55" w:rsidR="002D7502" w:rsidRPr="00B805AB" w:rsidRDefault="002D7502" w:rsidP="002D7502">
            <w:pPr>
              <w:pStyle w:val="ScheduleNumberedPara"/>
              <w:spacing w:after="0" w:line="240" w:lineRule="auto"/>
              <w:jc w:val="left"/>
              <w:rPr>
                <w:szCs w:val="23"/>
              </w:rPr>
            </w:pPr>
          </w:p>
        </w:tc>
      </w:tr>
    </w:tbl>
    <w:p w14:paraId="79B3E626" w14:textId="77777777" w:rsidR="0002594D" w:rsidRDefault="0002594D">
      <w:pPr>
        <w:widowControl/>
        <w:spacing w:after="160" w:line="259" w:lineRule="auto"/>
      </w:pPr>
      <w:r>
        <w:lastRenderedPageBreak/>
        <w:br w:type="page"/>
      </w:r>
    </w:p>
    <w:tbl>
      <w:tblPr>
        <w:tblStyle w:val="TableGrid"/>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628"/>
      </w:tblGrid>
      <w:tr w:rsidR="0002594D" w14:paraId="2005B832" w14:textId="77777777" w:rsidTr="00573262">
        <w:tc>
          <w:tcPr>
            <w:tcW w:w="9628" w:type="dxa"/>
            <w:shd w:val="clear" w:color="auto" w:fill="DEEAF6" w:themeFill="accent1" w:themeFillTint="33"/>
          </w:tcPr>
          <w:p w14:paraId="5694A834" w14:textId="0F58ADEC" w:rsidR="0002594D" w:rsidRDefault="0002594D" w:rsidP="00BF21FD">
            <w:pPr>
              <w:spacing w:after="120"/>
            </w:pPr>
            <w:r w:rsidRPr="00624E87">
              <w:rPr>
                <w:rFonts w:ascii="Corbel" w:eastAsia="Times New Roman" w:hAnsi="Corbel" w:cs="Arial"/>
                <w:b/>
                <w:iCs/>
                <w:sz w:val="26"/>
                <w:szCs w:val="26"/>
                <w:lang w:eastAsia="en-AU"/>
              </w:rPr>
              <w:lastRenderedPageBreak/>
              <w:t>Table 3</w:t>
            </w:r>
            <w:r w:rsidR="00624E87">
              <w:rPr>
                <w:rFonts w:ascii="Corbel" w:eastAsia="Times New Roman" w:hAnsi="Corbel" w:cs="Arial"/>
                <w:b/>
                <w:iCs/>
                <w:sz w:val="26"/>
                <w:szCs w:val="26"/>
                <w:lang w:eastAsia="en-AU"/>
              </w:rPr>
              <w:t xml:space="preserve">: </w:t>
            </w:r>
            <w:r w:rsidR="00573262">
              <w:rPr>
                <w:rFonts w:ascii="Corbel" w:eastAsia="Times New Roman" w:hAnsi="Corbel" w:cs="Arial"/>
                <w:b/>
                <w:iCs/>
                <w:sz w:val="26"/>
                <w:szCs w:val="26"/>
                <w:lang w:eastAsia="en-AU"/>
              </w:rPr>
              <w:t xml:space="preserve">Australian Immunisation Register </w:t>
            </w:r>
            <w:r w:rsidR="00BF21FD">
              <w:rPr>
                <w:rFonts w:ascii="Corbel" w:eastAsia="Times New Roman" w:hAnsi="Corbel" w:cs="Arial"/>
                <w:b/>
                <w:iCs/>
                <w:sz w:val="26"/>
                <w:szCs w:val="26"/>
                <w:lang w:eastAsia="en-AU"/>
              </w:rPr>
              <w:t>contributions</w:t>
            </w:r>
          </w:p>
        </w:tc>
      </w:tr>
      <w:tr w:rsidR="0002594D" w14:paraId="196983F9" w14:textId="77777777" w:rsidTr="00573262">
        <w:tc>
          <w:tcPr>
            <w:tcW w:w="9628" w:type="dxa"/>
          </w:tcPr>
          <w:p w14:paraId="0437B6F0" w14:textId="3C5218D4" w:rsidR="00B805AB" w:rsidRPr="00B805AB" w:rsidRDefault="00B805AB" w:rsidP="00B805AB">
            <w:pPr>
              <w:pStyle w:val="Heading2"/>
              <w:keepNext w:val="0"/>
              <w:keepLines w:val="0"/>
              <w:spacing w:before="240"/>
              <w:rPr>
                <w:rFonts w:ascii="Corbel" w:eastAsia="Times New Roman" w:hAnsi="Corbel" w:cs="Arial"/>
                <w:b/>
                <w:iCs/>
                <w:color w:val="44546A" w:themeColor="text2"/>
                <w:lang w:eastAsia="en-AU"/>
              </w:rPr>
            </w:pPr>
            <w:r w:rsidRPr="00B805AB">
              <w:rPr>
                <w:rFonts w:ascii="Corbel" w:eastAsia="Times New Roman" w:hAnsi="Corbel" w:cs="Arial"/>
                <w:b/>
                <w:iCs/>
                <w:color w:val="44546A" w:themeColor="text2"/>
                <w:lang w:eastAsia="en-AU"/>
              </w:rPr>
              <w:t>State and Territory contributions</w:t>
            </w:r>
          </w:p>
          <w:p w14:paraId="67937271" w14:textId="6DFFAA5D" w:rsidR="0002594D" w:rsidRPr="008341BB" w:rsidRDefault="0002594D" w:rsidP="00573262">
            <w:pPr>
              <w:pStyle w:val="ScheduleNumberedPara"/>
              <w:numPr>
                <w:ilvl w:val="1"/>
                <w:numId w:val="35"/>
              </w:numPr>
              <w:spacing w:before="240" w:line="240" w:lineRule="auto"/>
            </w:pPr>
            <w:r w:rsidRPr="00960535">
              <w:t xml:space="preserve">The Australian </w:t>
            </w:r>
            <w:r>
              <w:t>Immunisation Register (A</w:t>
            </w:r>
            <w:r w:rsidRPr="00960535">
              <w:t xml:space="preserve">IR) is a national register that records details of the immunisation status of </w:t>
            </w:r>
            <w:r>
              <w:t>all</w:t>
            </w:r>
            <w:r w:rsidRPr="00960535">
              <w:t xml:space="preserve"> Austra</w:t>
            </w:r>
            <w:r>
              <w:t>lians</w:t>
            </w:r>
            <w:r w:rsidRPr="008341BB">
              <w:rPr>
                <w:color w:val="000000" w:themeColor="text1"/>
              </w:rPr>
              <w:t xml:space="preserve">. </w:t>
            </w:r>
            <w:r w:rsidR="00767196">
              <w:rPr>
                <w:color w:val="000000" w:themeColor="text1"/>
              </w:rPr>
              <w:t>Services Australia</w:t>
            </w:r>
            <w:r w:rsidRPr="004A4F41">
              <w:rPr>
                <w:color w:val="000000" w:themeColor="text1"/>
              </w:rPr>
              <w:t xml:space="preserve"> </w:t>
            </w:r>
            <w:r w:rsidRPr="008341BB">
              <w:rPr>
                <w:color w:val="000000" w:themeColor="text1"/>
              </w:rPr>
              <w:t>updates the Register upon receipt of vaccination details from health professionals including general practitioners, practice nurses, health clinics, hospitals and other immunisation providers.</w:t>
            </w:r>
          </w:p>
          <w:p w14:paraId="1E9A5150" w14:textId="77777777" w:rsidR="0002594D" w:rsidRDefault="0002594D" w:rsidP="00573262">
            <w:pPr>
              <w:pStyle w:val="ScheduleNumberedPara"/>
              <w:numPr>
                <w:ilvl w:val="1"/>
                <w:numId w:val="35"/>
              </w:numPr>
              <w:spacing w:line="240" w:lineRule="auto"/>
            </w:pPr>
            <w:r w:rsidRPr="008341BB">
              <w:rPr>
                <w:color w:val="000000" w:themeColor="text1"/>
              </w:rPr>
              <w:t xml:space="preserve">The purpose </w:t>
            </w:r>
            <w:r>
              <w:rPr>
                <w:color w:val="000000" w:themeColor="text1"/>
              </w:rPr>
              <w:t>of the A</w:t>
            </w:r>
            <w:r w:rsidRPr="008341BB">
              <w:rPr>
                <w:color w:val="000000" w:themeColor="text1"/>
              </w:rPr>
              <w:t>IR is to monitor immunisation coverage levels and service delivery and identify regions at</w:t>
            </w:r>
            <w:r w:rsidRPr="00960535">
              <w:t xml:space="preserve"> risk during disease outbreaks.</w:t>
            </w:r>
          </w:p>
          <w:p w14:paraId="212E31FF" w14:textId="034C2819" w:rsidR="0002594D" w:rsidRDefault="0002594D" w:rsidP="00573262">
            <w:pPr>
              <w:pStyle w:val="ScheduleNumberedPara"/>
              <w:numPr>
                <w:ilvl w:val="1"/>
                <w:numId w:val="35"/>
              </w:numPr>
              <w:spacing w:line="240" w:lineRule="auto"/>
            </w:pPr>
            <w:r>
              <w:t xml:space="preserve">Each State and Territory </w:t>
            </w:r>
            <w:r w:rsidRPr="00960535">
              <w:t>(excluding Queensland) agr</w:t>
            </w:r>
            <w:r>
              <w:t>ees to provide funding to the A</w:t>
            </w:r>
            <w:r w:rsidRPr="00960535">
              <w:t>IR in l</w:t>
            </w:r>
            <w:r>
              <w:t xml:space="preserve">ine with their respective State or </w:t>
            </w:r>
            <w:r w:rsidRPr="00AF575B">
              <w:t>Territory formula below.</w:t>
            </w:r>
          </w:p>
          <w:p w14:paraId="0440C581" w14:textId="77777777" w:rsidR="0002594D" w:rsidRDefault="0002594D" w:rsidP="00573262">
            <w:pPr>
              <w:pStyle w:val="ScheduleNumberedPara"/>
              <w:numPr>
                <w:ilvl w:val="1"/>
                <w:numId w:val="35"/>
              </w:numPr>
              <w:spacing w:line="240" w:lineRule="auto"/>
            </w:pPr>
            <w:r w:rsidRPr="00960535">
              <w:t>The formula used to calculate the contribution for New South Wales, Australian Capital Territory, South Australia, Western Australia, Tasmania and Northern Territory is as follows:</w:t>
            </w:r>
          </w:p>
          <w:p w14:paraId="43E58C60" w14:textId="2C47007D" w:rsidR="0002594D" w:rsidRDefault="0002594D" w:rsidP="00F25319">
            <w:pPr>
              <w:pStyle w:val="ScheduleNumberedPara"/>
              <w:spacing w:line="240" w:lineRule="auto"/>
              <w:ind w:left="567"/>
              <w:jc w:val="left"/>
            </w:pPr>
            <w:r w:rsidRPr="00960535">
              <w:t xml:space="preserve"> [</w:t>
            </w:r>
            <w:r w:rsidR="00845733">
              <w:t>{</w:t>
            </w:r>
            <w:r w:rsidRPr="00960535">
              <w:t>(cohort 1*</w:t>
            </w:r>
            <w:r w:rsidR="00845733">
              <w:t>95%)*</w:t>
            </w:r>
            <w:r w:rsidRPr="00960535">
              <w:t>$6.00*3</w:t>
            </w:r>
            <w:r w:rsidR="00845733">
              <w:t>}</w:t>
            </w:r>
            <w:r w:rsidR="00744B2E">
              <w:t xml:space="preserve"> </w:t>
            </w:r>
            <w:r w:rsidRPr="00960535">
              <w:t>+</w:t>
            </w:r>
            <w:r w:rsidR="00744B2E">
              <w:t xml:space="preserve"> </w:t>
            </w:r>
            <w:r w:rsidR="00845733">
              <w:t>{</w:t>
            </w:r>
            <w:r w:rsidRPr="00960535">
              <w:t>(cohort 2*</w:t>
            </w:r>
            <w:r w:rsidR="00845733">
              <w:t>95%)*</w:t>
            </w:r>
            <w:r w:rsidRPr="00960535">
              <w:t>$6.00*1</w:t>
            </w:r>
            <w:r w:rsidR="00845733">
              <w:t>}</w:t>
            </w:r>
            <w:r w:rsidR="00744B2E">
              <w:t xml:space="preserve"> </w:t>
            </w:r>
            <w:r w:rsidRPr="00960535">
              <w:t xml:space="preserve">+ </w:t>
            </w:r>
            <w:r w:rsidR="00744B2E">
              <w:t>{</w:t>
            </w:r>
            <w:r w:rsidRPr="00960535">
              <w:t>(cohort 3*</w:t>
            </w:r>
            <w:r w:rsidR="00845733">
              <w:t>95%</w:t>
            </w:r>
            <w:r w:rsidR="00744B2E">
              <w:t>)</w:t>
            </w:r>
            <w:r w:rsidR="00845733">
              <w:t>*</w:t>
            </w:r>
            <w:r w:rsidRPr="00960535">
              <w:t>$6.00*1</w:t>
            </w:r>
            <w:r w:rsidR="00744B2E">
              <w:t xml:space="preserve">} </w:t>
            </w:r>
            <w:r w:rsidRPr="00960535">
              <w:t xml:space="preserve">+ </w:t>
            </w:r>
            <w:r w:rsidR="00744B2E">
              <w:t>{</w:t>
            </w:r>
            <w:r w:rsidRPr="00960535">
              <w:t>(cohort 4*</w:t>
            </w:r>
            <w:r w:rsidR="00845733">
              <w:t>95%</w:t>
            </w:r>
            <w:r w:rsidR="00744B2E">
              <w:t>)</w:t>
            </w:r>
            <w:r w:rsidR="00845733">
              <w:t>*</w:t>
            </w:r>
            <w:r w:rsidRPr="00960535">
              <w:t>$6.00*1</w:t>
            </w:r>
            <w:r w:rsidR="00744B2E">
              <w:t>}</w:t>
            </w:r>
            <w:r w:rsidRPr="00960535">
              <w:t>]</w:t>
            </w:r>
            <w:r w:rsidR="00744B2E">
              <w:t xml:space="preserve"> </w:t>
            </w:r>
            <w:r w:rsidRPr="00960535">
              <w:t>*</w:t>
            </w:r>
            <w:r w:rsidR="00744B2E">
              <w:t xml:space="preserve"> </w:t>
            </w:r>
            <w:r w:rsidRPr="00960535">
              <w:t>50%</w:t>
            </w:r>
          </w:p>
          <w:p w14:paraId="584726A6" w14:textId="77777777" w:rsidR="0002594D" w:rsidRDefault="0002594D" w:rsidP="00573262">
            <w:pPr>
              <w:pStyle w:val="ScheduleNumberedPara"/>
              <w:numPr>
                <w:ilvl w:val="1"/>
                <w:numId w:val="35"/>
              </w:numPr>
              <w:spacing w:line="240" w:lineRule="auto"/>
            </w:pPr>
            <w:r w:rsidRPr="00960535">
              <w:t>The formula used to calculate the contribution for Victoria is as follows:</w:t>
            </w:r>
          </w:p>
          <w:p w14:paraId="3CA29E19" w14:textId="063789FB" w:rsidR="0002594D" w:rsidRDefault="0002594D" w:rsidP="00F25319">
            <w:pPr>
              <w:pStyle w:val="ScheduleNumberedPara"/>
              <w:spacing w:line="240" w:lineRule="auto"/>
              <w:ind w:left="567"/>
              <w:jc w:val="left"/>
            </w:pPr>
            <w:r w:rsidRPr="00960535">
              <w:t>[</w:t>
            </w:r>
            <w:r w:rsidR="00744B2E">
              <w:t>{</w:t>
            </w:r>
            <w:r w:rsidRPr="00960535">
              <w:t>(cohort 1*</w:t>
            </w:r>
            <w:r w:rsidR="00744B2E">
              <w:t>95%)*</w:t>
            </w:r>
            <w:r w:rsidRPr="00960535">
              <w:t>$6.00*3</w:t>
            </w:r>
            <w:r w:rsidR="00744B2E">
              <w:t xml:space="preserve">} </w:t>
            </w:r>
            <w:r w:rsidRPr="00960535">
              <w:t>+</w:t>
            </w:r>
            <w:r w:rsidR="00744B2E">
              <w:t xml:space="preserve"> {</w:t>
            </w:r>
            <w:r w:rsidRPr="00960535">
              <w:t>(cohort 2*</w:t>
            </w:r>
            <w:r w:rsidR="00744B2E">
              <w:t>95%)*</w:t>
            </w:r>
            <w:r w:rsidRPr="00960535">
              <w:t>$6.00*1</w:t>
            </w:r>
            <w:r w:rsidR="00744B2E">
              <w:t xml:space="preserve">} </w:t>
            </w:r>
            <w:r w:rsidRPr="00960535">
              <w:t xml:space="preserve">+ </w:t>
            </w:r>
            <w:r w:rsidR="00744B2E">
              <w:t>{</w:t>
            </w:r>
            <w:r w:rsidRPr="00960535">
              <w:t>(cohort 3*</w:t>
            </w:r>
            <w:r w:rsidR="00744B2E">
              <w:t>95%)*</w:t>
            </w:r>
            <w:r w:rsidRPr="00960535">
              <w:t>$6.00*1</w:t>
            </w:r>
            <w:r w:rsidR="00744B2E">
              <w:t xml:space="preserve">} </w:t>
            </w:r>
            <w:r w:rsidRPr="00960535">
              <w:t xml:space="preserve">+ </w:t>
            </w:r>
            <w:r w:rsidR="00744B2E">
              <w:t>{</w:t>
            </w:r>
            <w:r w:rsidRPr="00960535">
              <w:t>(cohort 4*</w:t>
            </w:r>
            <w:r w:rsidR="00744B2E">
              <w:t>95%)*</w:t>
            </w:r>
            <w:r w:rsidRPr="00960535">
              <w:t>$6.00*1</w:t>
            </w:r>
            <w:r w:rsidR="00744B2E">
              <w:t>}</w:t>
            </w:r>
            <w:r w:rsidRPr="00960535">
              <w:t>]</w:t>
            </w:r>
            <w:r w:rsidR="00744B2E">
              <w:t xml:space="preserve"> </w:t>
            </w:r>
            <w:r w:rsidRPr="00960535">
              <w:t>*</w:t>
            </w:r>
            <w:r w:rsidR="00744B2E">
              <w:t xml:space="preserve"> </w:t>
            </w:r>
            <w:r w:rsidRPr="00960535">
              <w:t>33</w:t>
            </w:r>
            <w:r w:rsidRPr="00960535">
              <w:rPr>
                <w:szCs w:val="23"/>
                <w:vertAlign w:val="superscript"/>
              </w:rPr>
              <w:t>1/3</w:t>
            </w:r>
            <w:r w:rsidR="00573262">
              <w:rPr>
                <w:szCs w:val="23"/>
                <w:vertAlign w:val="superscript"/>
              </w:rPr>
              <w:t xml:space="preserve"> </w:t>
            </w:r>
            <w:r w:rsidRPr="00573262">
              <w:rPr>
                <w:szCs w:val="23"/>
              </w:rPr>
              <w:t>%</w:t>
            </w:r>
          </w:p>
          <w:p w14:paraId="4597FF39" w14:textId="77777777" w:rsidR="0002594D" w:rsidRDefault="0002594D" w:rsidP="00573262">
            <w:pPr>
              <w:pStyle w:val="ScheduleNumberedPara"/>
              <w:numPr>
                <w:ilvl w:val="1"/>
                <w:numId w:val="35"/>
              </w:numPr>
              <w:spacing w:line="240" w:lineRule="auto"/>
            </w:pPr>
            <w:r w:rsidRPr="00960535">
              <w:t>The cohorts used in the formula calculations are as follows:</w:t>
            </w:r>
          </w:p>
          <w:p w14:paraId="7326F4E3" w14:textId="5644942F" w:rsidR="0002594D" w:rsidRPr="00475673" w:rsidRDefault="0002594D" w:rsidP="006205E6">
            <w:pPr>
              <w:pStyle w:val="ScheduleNumberedPara"/>
              <w:numPr>
                <w:ilvl w:val="0"/>
                <w:numId w:val="34"/>
              </w:numPr>
              <w:spacing w:after="120" w:line="240" w:lineRule="auto"/>
              <w:ind w:left="1156" w:hanging="284"/>
              <w:rPr>
                <w:color w:val="000000" w:themeColor="text1"/>
              </w:rPr>
            </w:pPr>
            <w:r w:rsidRPr="00960535">
              <w:t xml:space="preserve">cohort 1 = </w:t>
            </w:r>
            <w:r w:rsidRPr="00475673">
              <w:rPr>
                <w:color w:val="000000" w:themeColor="text1"/>
              </w:rPr>
              <w:t>children in the State</w:t>
            </w:r>
            <w:r w:rsidR="00BF21FD">
              <w:rPr>
                <w:color w:val="000000" w:themeColor="text1"/>
              </w:rPr>
              <w:t xml:space="preserve"> or Territory</w:t>
            </w:r>
            <w:r w:rsidRPr="00475673">
              <w:rPr>
                <w:color w:val="000000" w:themeColor="text1"/>
              </w:rPr>
              <w:t xml:space="preserve"> aged less than 1 year;</w:t>
            </w:r>
          </w:p>
          <w:p w14:paraId="388D97BC" w14:textId="29BB997F" w:rsidR="0002594D" w:rsidRPr="00475673" w:rsidRDefault="0002594D" w:rsidP="006205E6">
            <w:pPr>
              <w:pStyle w:val="ScheduleNumberedPara"/>
              <w:numPr>
                <w:ilvl w:val="0"/>
                <w:numId w:val="34"/>
              </w:numPr>
              <w:spacing w:after="120" w:line="240" w:lineRule="auto"/>
              <w:ind w:left="1156" w:hanging="284"/>
              <w:rPr>
                <w:color w:val="000000" w:themeColor="text1"/>
              </w:rPr>
            </w:pPr>
            <w:r w:rsidRPr="00475673">
              <w:rPr>
                <w:color w:val="000000" w:themeColor="text1"/>
              </w:rPr>
              <w:t xml:space="preserve">cohort 2 = children in the State </w:t>
            </w:r>
            <w:r w:rsidR="00BF21FD">
              <w:rPr>
                <w:color w:val="000000" w:themeColor="text1"/>
              </w:rPr>
              <w:t xml:space="preserve">or Territory </w:t>
            </w:r>
            <w:r w:rsidRPr="00475673">
              <w:rPr>
                <w:color w:val="000000" w:themeColor="text1"/>
              </w:rPr>
              <w:t xml:space="preserve">aged 1 year; </w:t>
            </w:r>
          </w:p>
          <w:p w14:paraId="2B02D719" w14:textId="11942DE1" w:rsidR="0002594D" w:rsidRPr="00475673" w:rsidRDefault="0002594D" w:rsidP="006205E6">
            <w:pPr>
              <w:pStyle w:val="ScheduleNumberedPara"/>
              <w:numPr>
                <w:ilvl w:val="0"/>
                <w:numId w:val="34"/>
              </w:numPr>
              <w:spacing w:after="120" w:line="240" w:lineRule="auto"/>
              <w:ind w:left="1156" w:hanging="284"/>
              <w:rPr>
                <w:color w:val="000000" w:themeColor="text1"/>
              </w:rPr>
            </w:pPr>
            <w:r w:rsidRPr="00475673">
              <w:rPr>
                <w:color w:val="000000" w:themeColor="text1"/>
              </w:rPr>
              <w:t xml:space="preserve">cohort 3 = children in the State </w:t>
            </w:r>
            <w:r w:rsidR="00BF21FD">
              <w:rPr>
                <w:color w:val="000000" w:themeColor="text1"/>
              </w:rPr>
              <w:t xml:space="preserve">or Territory </w:t>
            </w:r>
            <w:r w:rsidRPr="00475673">
              <w:rPr>
                <w:color w:val="000000" w:themeColor="text1"/>
              </w:rPr>
              <w:t>aged 18 months; and</w:t>
            </w:r>
          </w:p>
          <w:p w14:paraId="27029EB8" w14:textId="4C727572" w:rsidR="0002594D" w:rsidRDefault="0002594D" w:rsidP="006205E6">
            <w:pPr>
              <w:pStyle w:val="ScheduleNumberedPara"/>
              <w:numPr>
                <w:ilvl w:val="0"/>
                <w:numId w:val="34"/>
              </w:numPr>
              <w:spacing w:line="240" w:lineRule="auto"/>
              <w:ind w:left="1156" w:hanging="284"/>
            </w:pPr>
            <w:r w:rsidRPr="00475673">
              <w:rPr>
                <w:color w:val="000000" w:themeColor="text1"/>
              </w:rPr>
              <w:t>cohort 4 = children</w:t>
            </w:r>
            <w:r>
              <w:t xml:space="preserve"> in the State </w:t>
            </w:r>
            <w:r w:rsidR="00BF21FD">
              <w:t xml:space="preserve">or Territory </w:t>
            </w:r>
            <w:r>
              <w:t>aged 4 to 5 years.</w:t>
            </w:r>
          </w:p>
          <w:p w14:paraId="2A8FBB02" w14:textId="1BB5276B" w:rsidR="0002594D" w:rsidRDefault="0002594D" w:rsidP="00573262">
            <w:pPr>
              <w:pStyle w:val="ScheduleNumberedPara"/>
              <w:numPr>
                <w:ilvl w:val="1"/>
                <w:numId w:val="35"/>
              </w:numPr>
              <w:spacing w:line="240" w:lineRule="auto"/>
            </w:pPr>
            <w:r w:rsidRPr="00960535">
              <w:t xml:space="preserve">The formula used to calculate the </w:t>
            </w:r>
            <w:r w:rsidR="00BF21FD">
              <w:t>State and Territory</w:t>
            </w:r>
            <w:r>
              <w:t xml:space="preserve"> contributions to support the A</w:t>
            </w:r>
            <w:r w:rsidRPr="00960535">
              <w:t xml:space="preserve">IR is based on </w:t>
            </w:r>
            <w:r w:rsidR="00744B2E">
              <w:t>95</w:t>
            </w:r>
            <w:r w:rsidRPr="00960535">
              <w:t>% immunisation coverage. The number of immunisation encounters reported in each State</w:t>
            </w:r>
            <w:r w:rsidR="00BF21FD">
              <w:t xml:space="preserve"> and Territory</w:t>
            </w:r>
            <w:r w:rsidRPr="00960535">
              <w:t xml:space="preserve"> will fluctuate throughout the year and payments to providers made by </w:t>
            </w:r>
            <w:r w:rsidR="00767196">
              <w:rPr>
                <w:color w:val="000000" w:themeColor="text1"/>
              </w:rPr>
              <w:t xml:space="preserve">Services Australia </w:t>
            </w:r>
            <w:r>
              <w:t xml:space="preserve">in each State </w:t>
            </w:r>
            <w:r w:rsidR="00BF21FD">
              <w:t xml:space="preserve">and Territory </w:t>
            </w:r>
            <w:r w:rsidRPr="00960535">
              <w:t>will be made in accordance with payment demand. The State</w:t>
            </w:r>
            <w:r>
              <w:t>s</w:t>
            </w:r>
            <w:r w:rsidR="00BF21FD">
              <w:t xml:space="preserve"> and Territories</w:t>
            </w:r>
            <w:r>
              <w:t xml:space="preserve"> agree</w:t>
            </w:r>
            <w:r w:rsidRPr="00960535">
              <w:t xml:space="preserve"> to adjust </w:t>
            </w:r>
            <w:r w:rsidR="00BF21FD">
              <w:t>their</w:t>
            </w:r>
            <w:r w:rsidRPr="00960535">
              <w:t xml:space="preserve"> contribution</w:t>
            </w:r>
            <w:r w:rsidR="00BF21FD">
              <w:t>s</w:t>
            </w:r>
            <w:r w:rsidRPr="00960535">
              <w:t xml:space="preserve"> under this Agreement in order to meet this demand.</w:t>
            </w:r>
          </w:p>
          <w:p w14:paraId="6705FE1C" w14:textId="5999A2D5" w:rsidR="0002594D" w:rsidRDefault="0002594D" w:rsidP="00573262">
            <w:pPr>
              <w:pStyle w:val="ScheduleNumberedPara"/>
              <w:numPr>
                <w:ilvl w:val="1"/>
                <w:numId w:val="35"/>
              </w:numPr>
              <w:spacing w:line="240" w:lineRule="auto"/>
            </w:pPr>
            <w:r w:rsidRPr="00960535">
              <w:t>The formula assumes the fol</w:t>
            </w:r>
            <w:r w:rsidR="00BF21FD">
              <w:t>lowing immunisation encounters:</w:t>
            </w:r>
            <w:r w:rsidRPr="00960535">
              <w:t xml:space="preserve"> 2 months, 4 months, 6 months, 12 months</w:t>
            </w:r>
            <w:r w:rsidRPr="00960535">
              <w:rPr>
                <w:rFonts w:ascii="Times New (W1)" w:hAnsi="Times New (W1)"/>
              </w:rPr>
              <w:t xml:space="preserve">, </w:t>
            </w:r>
            <w:r w:rsidRPr="00960535">
              <w:t xml:space="preserve">18 months and 4-5 years. If the National Immunisation Program is amended then this </w:t>
            </w:r>
            <w:r w:rsidR="00BF21FD">
              <w:t>Table</w:t>
            </w:r>
            <w:r w:rsidRPr="00960535">
              <w:t xml:space="preserve"> will be amended to reflect those changes.</w:t>
            </w:r>
          </w:p>
          <w:p w14:paraId="6BF275D3" w14:textId="77777777" w:rsidR="0002594D" w:rsidRDefault="0002594D" w:rsidP="00573262">
            <w:pPr>
              <w:pStyle w:val="ScheduleNumberedPara"/>
              <w:numPr>
                <w:ilvl w:val="1"/>
                <w:numId w:val="35"/>
              </w:numPr>
              <w:spacing w:line="240" w:lineRule="auto"/>
            </w:pPr>
            <w:r>
              <w:t xml:space="preserve">Funding will only be provided in respect to services provided for childhood vaccinations up to the age of 7 years.  </w:t>
            </w:r>
          </w:p>
          <w:p w14:paraId="4F9F10F1" w14:textId="77777777" w:rsidR="0002594D" w:rsidRPr="00475673" w:rsidRDefault="0002594D" w:rsidP="00573262">
            <w:pPr>
              <w:pStyle w:val="ScheduleNumberedPara"/>
              <w:numPr>
                <w:ilvl w:val="1"/>
                <w:numId w:val="35"/>
              </w:numPr>
              <w:spacing w:line="240" w:lineRule="auto"/>
            </w:pPr>
            <w:r>
              <w:t xml:space="preserve">Population figures are sourced from </w:t>
            </w:r>
            <w:r w:rsidRPr="00F572F6">
              <w:rPr>
                <w:color w:val="000000" w:themeColor="text1"/>
              </w:rPr>
              <w:t xml:space="preserve">Population Projections </w:t>
            </w:r>
            <w:r w:rsidRPr="007E41C7">
              <w:rPr>
                <w:color w:val="000000" w:themeColor="text1"/>
              </w:rPr>
              <w:t>(ABS Cat. No. 3222.0).</w:t>
            </w:r>
          </w:p>
          <w:p w14:paraId="2459DFF8" w14:textId="0DE8DBFA" w:rsidR="0002594D" w:rsidRDefault="0002594D" w:rsidP="00573262">
            <w:pPr>
              <w:pStyle w:val="ScheduleNumberedPara"/>
              <w:numPr>
                <w:ilvl w:val="1"/>
                <w:numId w:val="35"/>
              </w:numPr>
              <w:spacing w:line="240" w:lineRule="auto"/>
            </w:pPr>
            <w:r w:rsidRPr="00960535">
              <w:lastRenderedPageBreak/>
              <w:t>The State</w:t>
            </w:r>
            <w:r>
              <w:t>s</w:t>
            </w:r>
            <w:r w:rsidR="00BF21FD">
              <w:t xml:space="preserve"> and Territories</w:t>
            </w:r>
            <w:r w:rsidRPr="00960535">
              <w:t xml:space="preserve"> will be informed of the relevant population figures and concomitant financial obligation following publication of this data.</w:t>
            </w:r>
          </w:p>
          <w:p w14:paraId="26F1EE95" w14:textId="2EC380E6" w:rsidR="0002594D" w:rsidRPr="00B805AB" w:rsidRDefault="0002594D" w:rsidP="00B805AB">
            <w:pPr>
              <w:pStyle w:val="Heading2"/>
              <w:spacing w:before="0"/>
              <w:rPr>
                <w:rFonts w:ascii="Corbel" w:eastAsia="Times New Roman" w:hAnsi="Corbel" w:cs="Arial"/>
                <w:b/>
                <w:iCs/>
                <w:color w:val="44546A" w:themeColor="text2"/>
                <w:lang w:eastAsia="en-AU"/>
              </w:rPr>
            </w:pPr>
            <w:r w:rsidRPr="00B805AB">
              <w:rPr>
                <w:rFonts w:ascii="Corbel" w:eastAsia="Times New Roman" w:hAnsi="Corbel" w:cs="Arial"/>
                <w:b/>
                <w:iCs/>
                <w:color w:val="44546A" w:themeColor="text2"/>
                <w:lang w:eastAsia="en-AU"/>
              </w:rPr>
              <w:t xml:space="preserve">Arrangements for transferring funds to </w:t>
            </w:r>
            <w:r w:rsidR="00767196" w:rsidRPr="00B805AB">
              <w:rPr>
                <w:rFonts w:ascii="Corbel" w:eastAsia="Times New Roman" w:hAnsi="Corbel" w:cs="Arial"/>
                <w:b/>
                <w:iCs/>
                <w:color w:val="44546A" w:themeColor="text2"/>
                <w:lang w:eastAsia="en-AU"/>
              </w:rPr>
              <w:t>Services Australia</w:t>
            </w:r>
          </w:p>
          <w:p w14:paraId="1D34D5E4" w14:textId="77777777" w:rsidR="00BF21FD" w:rsidRPr="00BF21FD" w:rsidRDefault="00BF21FD" w:rsidP="00BF21FD">
            <w:pPr>
              <w:keepNext/>
              <w:keepLines/>
              <w:rPr>
                <w:lang w:eastAsia="en-AU"/>
              </w:rPr>
            </w:pPr>
          </w:p>
          <w:p w14:paraId="16781FD2" w14:textId="6A77D1E8" w:rsidR="005C74DE" w:rsidRDefault="0002594D" w:rsidP="005C74DE">
            <w:pPr>
              <w:pStyle w:val="ScheduleNumberedPara"/>
              <w:keepNext/>
              <w:keepLines/>
              <w:spacing w:after="480" w:line="240" w:lineRule="auto"/>
            </w:pPr>
            <w:r w:rsidRPr="00960535">
              <w:t xml:space="preserve">In </w:t>
            </w:r>
            <w:r w:rsidR="00744B2E">
              <w:t>August</w:t>
            </w:r>
            <w:r w:rsidRPr="00960535">
              <w:t>, the Commonwealth will advise the State</w:t>
            </w:r>
            <w:r>
              <w:t>s</w:t>
            </w:r>
            <w:r w:rsidR="00BF21FD">
              <w:t xml:space="preserve"> and Territories</w:t>
            </w:r>
            <w:r w:rsidRPr="00960535">
              <w:t xml:space="preserve"> of its project</w:t>
            </w:r>
            <w:r>
              <w:t>ed bi-annual payments for the A</w:t>
            </w:r>
            <w:r w:rsidRPr="00960535">
              <w:t>IR contribution for the financial year. These projections will take into account any shortfalls or carry-overs from the previous year. The State</w:t>
            </w:r>
            <w:r>
              <w:t>s</w:t>
            </w:r>
            <w:r w:rsidR="00BF21FD">
              <w:t xml:space="preserve"> and Territories</w:t>
            </w:r>
            <w:r w:rsidRPr="00960535">
              <w:t xml:space="preserve"> </w:t>
            </w:r>
            <w:r>
              <w:t>are</w:t>
            </w:r>
            <w:r w:rsidRPr="00960535">
              <w:t xml:space="preserve"> required to make bi-annual payments to the Commonwealth. The first payment is due by </w:t>
            </w:r>
            <w:r w:rsidR="00744B2E">
              <w:t>30 September</w:t>
            </w:r>
            <w:r w:rsidR="005C74DE">
              <w:t xml:space="preserve"> 2024</w:t>
            </w:r>
            <w:r w:rsidRPr="00960535">
              <w:t xml:space="preserve">, and the </w:t>
            </w:r>
            <w:r w:rsidR="005C74DE">
              <w:t>final</w:t>
            </w:r>
            <w:r w:rsidR="005C74DE" w:rsidRPr="00960535">
              <w:t xml:space="preserve"> </w:t>
            </w:r>
            <w:r w:rsidRPr="00960535">
              <w:t xml:space="preserve">payment is due by </w:t>
            </w:r>
            <w:r w:rsidR="00744B2E">
              <w:t>28 February</w:t>
            </w:r>
            <w:r w:rsidRPr="00960535">
              <w:t xml:space="preserve"> </w:t>
            </w:r>
            <w:r w:rsidR="005C74DE">
              <w:t>2025</w:t>
            </w:r>
            <w:r w:rsidRPr="00960535">
              <w:t>.</w:t>
            </w:r>
          </w:p>
        </w:tc>
      </w:tr>
    </w:tbl>
    <w:p w14:paraId="553ED3C4" w14:textId="77777777" w:rsidR="0002594D" w:rsidRPr="00F00A18" w:rsidRDefault="0002594D" w:rsidP="00C91B5F">
      <w:pPr>
        <w:sectPr w:rsidR="0002594D" w:rsidRPr="00F00A18" w:rsidSect="00EA63BE">
          <w:footerReference w:type="even" r:id="rId10"/>
          <w:footerReference w:type="default" r:id="rId11"/>
          <w:headerReference w:type="first" r:id="rId12"/>
          <w:footerReference w:type="first" r:id="rId13"/>
          <w:pgSz w:w="11906" w:h="16838" w:code="9"/>
          <w:pgMar w:top="1134" w:right="1134" w:bottom="1134" w:left="1134" w:header="709" w:footer="709" w:gutter="0"/>
          <w:pgNumType w:chapStyle="9"/>
          <w:cols w:space="708"/>
          <w:titlePg/>
          <w:docGrid w:linePitch="360"/>
        </w:sectPr>
      </w:pPr>
    </w:p>
    <w:tbl>
      <w:tblPr>
        <w:tblW w:w="4951"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117"/>
        <w:gridCol w:w="2835"/>
        <w:gridCol w:w="4110"/>
        <w:gridCol w:w="3119"/>
        <w:gridCol w:w="2226"/>
      </w:tblGrid>
      <w:tr w:rsidR="00EA18E1" w:rsidRPr="00F00A18" w14:paraId="666D7A2C" w14:textId="77777777" w:rsidTr="00F165C3">
        <w:tc>
          <w:tcPr>
            <w:tcW w:w="14407" w:type="dxa"/>
            <w:gridSpan w:val="5"/>
            <w:shd w:val="clear" w:color="auto" w:fill="DEEAF6" w:themeFill="accent1" w:themeFillTint="33"/>
          </w:tcPr>
          <w:p w14:paraId="560DB1DE" w14:textId="09A551FB" w:rsidR="00EA18E1" w:rsidRPr="006205E6" w:rsidRDefault="0002594D" w:rsidP="00EA63BE">
            <w:pPr>
              <w:pStyle w:val="Tableformat"/>
              <w:rPr>
                <w:b/>
                <w:color w:val="auto"/>
              </w:rPr>
            </w:pPr>
            <w:r w:rsidRPr="006205E6">
              <w:rPr>
                <w:b/>
                <w:color w:val="auto"/>
              </w:rPr>
              <w:lastRenderedPageBreak/>
              <w:t>Table 4</w:t>
            </w:r>
            <w:r w:rsidR="00EA18E1" w:rsidRPr="006205E6">
              <w:rPr>
                <w:b/>
                <w:color w:val="auto"/>
              </w:rPr>
              <w:t>: Performance requirements, reporting and payment summary</w:t>
            </w:r>
          </w:p>
        </w:tc>
      </w:tr>
      <w:tr w:rsidR="00E85E22" w:rsidRPr="00F00A18" w14:paraId="45D97D64" w14:textId="77777777" w:rsidTr="000A3B21">
        <w:tc>
          <w:tcPr>
            <w:tcW w:w="2117" w:type="dxa"/>
            <w:shd w:val="clear" w:color="auto" w:fill="F2F2F2" w:themeFill="background1" w:themeFillShade="F2"/>
          </w:tcPr>
          <w:p w14:paraId="10F4D2BD" w14:textId="78E9AE87" w:rsidR="00E85E22" w:rsidRPr="006205E6" w:rsidRDefault="00E85E22" w:rsidP="00E85E22">
            <w:pPr>
              <w:pStyle w:val="Tableformat"/>
              <w:rPr>
                <w:b/>
                <w:color w:val="auto"/>
              </w:rPr>
            </w:pPr>
            <w:r w:rsidRPr="006205E6">
              <w:rPr>
                <w:b/>
                <w:color w:val="auto"/>
              </w:rPr>
              <w:t>Output</w:t>
            </w:r>
            <w:r w:rsidRPr="006205E6">
              <w:rPr>
                <w:b/>
                <w:color w:val="auto"/>
              </w:rPr>
              <w:br/>
            </w:r>
          </w:p>
        </w:tc>
        <w:tc>
          <w:tcPr>
            <w:tcW w:w="2835" w:type="dxa"/>
            <w:shd w:val="clear" w:color="auto" w:fill="F2F2F2" w:themeFill="background1" w:themeFillShade="F2"/>
          </w:tcPr>
          <w:p w14:paraId="1B454D97" w14:textId="77777777" w:rsidR="00E85E22" w:rsidRPr="006205E6" w:rsidRDefault="00E85E22" w:rsidP="00EA63BE">
            <w:pPr>
              <w:pStyle w:val="Tableformat"/>
              <w:rPr>
                <w:b/>
                <w:color w:val="auto"/>
              </w:rPr>
            </w:pPr>
            <w:r w:rsidRPr="006205E6">
              <w:rPr>
                <w:b/>
                <w:color w:val="auto"/>
              </w:rPr>
              <w:t>Performance milestones</w:t>
            </w:r>
          </w:p>
        </w:tc>
        <w:tc>
          <w:tcPr>
            <w:tcW w:w="4110" w:type="dxa"/>
            <w:shd w:val="clear" w:color="auto" w:fill="F2F2F2" w:themeFill="background1" w:themeFillShade="F2"/>
          </w:tcPr>
          <w:p w14:paraId="2CC95F31" w14:textId="303C0ED5" w:rsidR="00E85E22" w:rsidRPr="007D5A95" w:rsidRDefault="00E85E22" w:rsidP="00EA63BE">
            <w:pPr>
              <w:pStyle w:val="Tableformat"/>
              <w:rPr>
                <w:b/>
                <w:color w:val="auto"/>
                <w:vertAlign w:val="superscript"/>
              </w:rPr>
            </w:pPr>
            <w:r w:rsidRPr="006205E6">
              <w:rPr>
                <w:b/>
                <w:color w:val="auto"/>
              </w:rPr>
              <w:t>Measurement parameters</w:t>
            </w:r>
            <w:r w:rsidR="007D5A95">
              <w:rPr>
                <w:b/>
                <w:color w:val="auto"/>
                <w:vertAlign w:val="superscript"/>
              </w:rPr>
              <w:t>#</w:t>
            </w:r>
          </w:p>
        </w:tc>
        <w:tc>
          <w:tcPr>
            <w:tcW w:w="3119" w:type="dxa"/>
            <w:shd w:val="clear" w:color="auto" w:fill="F2F2F2" w:themeFill="background1" w:themeFillShade="F2"/>
          </w:tcPr>
          <w:p w14:paraId="4CBE64C9" w14:textId="7FDD4848" w:rsidR="00E34EAC" w:rsidRPr="00672DEC" w:rsidRDefault="00FC443D" w:rsidP="00FC443D">
            <w:pPr>
              <w:pStyle w:val="Tableformat"/>
              <w:rPr>
                <w:color w:val="auto"/>
                <w:sz w:val="20"/>
                <w:szCs w:val="20"/>
              </w:rPr>
            </w:pPr>
            <w:r w:rsidRPr="006205E6">
              <w:rPr>
                <w:b/>
                <w:color w:val="auto"/>
              </w:rPr>
              <w:t>Reporting</w:t>
            </w:r>
          </w:p>
        </w:tc>
        <w:tc>
          <w:tcPr>
            <w:tcW w:w="2226" w:type="dxa"/>
            <w:shd w:val="clear" w:color="auto" w:fill="F2F2F2" w:themeFill="background1" w:themeFillShade="F2"/>
          </w:tcPr>
          <w:p w14:paraId="34CCBB04" w14:textId="77777777" w:rsidR="00E85E22" w:rsidRDefault="00E85E22" w:rsidP="00EA63BE">
            <w:pPr>
              <w:pStyle w:val="Tableformat"/>
              <w:rPr>
                <w:b/>
                <w:color w:val="auto"/>
              </w:rPr>
            </w:pPr>
            <w:r w:rsidRPr="00F00A18">
              <w:rPr>
                <w:b/>
                <w:color w:val="auto"/>
              </w:rPr>
              <w:t>Payment</w:t>
            </w:r>
          </w:p>
          <w:p w14:paraId="3F2D3F12" w14:textId="6CBC4380" w:rsidR="00E85E22" w:rsidRPr="00F7743F" w:rsidRDefault="00E85E22" w:rsidP="00EA63BE">
            <w:pPr>
              <w:pStyle w:val="Tableformat"/>
              <w:rPr>
                <w:color w:val="auto"/>
                <w:sz w:val="20"/>
                <w:szCs w:val="20"/>
              </w:rPr>
            </w:pPr>
            <w:r w:rsidRPr="00F7743F">
              <w:rPr>
                <w:color w:val="auto"/>
                <w:sz w:val="20"/>
                <w:szCs w:val="20"/>
              </w:rPr>
              <w:t>(see Funding allocations and payments)</w:t>
            </w:r>
          </w:p>
        </w:tc>
      </w:tr>
      <w:tr w:rsidR="00E85E22" w:rsidRPr="00B833D9" w14:paraId="438463EE" w14:textId="77777777" w:rsidTr="000A3B21">
        <w:tc>
          <w:tcPr>
            <w:tcW w:w="2117" w:type="dxa"/>
            <w:shd w:val="clear" w:color="auto" w:fill="auto"/>
          </w:tcPr>
          <w:p w14:paraId="314CD8DC" w14:textId="3AE58CDE" w:rsidR="00E85E22" w:rsidRPr="00B833D9" w:rsidRDefault="00E85E22" w:rsidP="00AE229E">
            <w:pPr>
              <w:pStyle w:val="Milestonetable"/>
              <w:rPr>
                <w:rFonts w:asciiTheme="minorHAnsi" w:hAnsiTheme="minorHAnsi" w:cstheme="minorHAnsi"/>
                <w:b/>
                <w:color w:val="auto"/>
              </w:rPr>
            </w:pPr>
            <w:r w:rsidRPr="00B833D9">
              <w:rPr>
                <w:rFonts w:asciiTheme="minorHAnsi" w:hAnsiTheme="minorHAnsi" w:cstheme="minorHAnsi"/>
                <w:color w:val="auto"/>
              </w:rPr>
              <w:t>Agreed</w:t>
            </w:r>
            <w:r w:rsidR="008D7152">
              <w:rPr>
                <w:rFonts w:asciiTheme="minorHAnsi" w:hAnsiTheme="minorHAnsi" w:cstheme="minorHAnsi"/>
                <w:color w:val="auto"/>
              </w:rPr>
              <w:t xml:space="preserve"> information</w:t>
            </w:r>
            <w:r w:rsidRPr="00B833D9">
              <w:rPr>
                <w:rFonts w:asciiTheme="minorHAnsi" w:hAnsiTheme="minorHAnsi" w:cstheme="minorHAnsi"/>
                <w:color w:val="auto"/>
              </w:rPr>
              <w:t xml:space="preserve"> on </w:t>
            </w:r>
            <w:r w:rsidR="008D7152">
              <w:rPr>
                <w:rFonts w:asciiTheme="minorHAnsi" w:hAnsiTheme="minorHAnsi" w:cstheme="minorHAnsi"/>
                <w:color w:val="auto"/>
              </w:rPr>
              <w:t>seasonal influenza vaccination rollout</w:t>
            </w:r>
            <w:r w:rsidR="008D7152" w:rsidRPr="00B833D9">
              <w:rPr>
                <w:rFonts w:asciiTheme="minorHAnsi" w:hAnsiTheme="minorHAnsi" w:cstheme="minorHAnsi"/>
                <w:color w:val="auto"/>
              </w:rPr>
              <w:t xml:space="preserve"> </w:t>
            </w:r>
            <w:r w:rsidRPr="00B833D9">
              <w:rPr>
                <w:rFonts w:asciiTheme="minorHAnsi" w:hAnsiTheme="minorHAnsi" w:cstheme="minorHAnsi"/>
                <w:color w:val="auto"/>
              </w:rPr>
              <w:t xml:space="preserve">provided to </w:t>
            </w:r>
            <w:r w:rsidR="008D7152">
              <w:rPr>
                <w:rFonts w:asciiTheme="minorHAnsi" w:hAnsiTheme="minorHAnsi" w:cstheme="minorHAnsi"/>
                <w:color w:val="auto"/>
              </w:rPr>
              <w:t>facilitate vaccination planning activities</w:t>
            </w:r>
          </w:p>
        </w:tc>
        <w:tc>
          <w:tcPr>
            <w:tcW w:w="2835" w:type="dxa"/>
            <w:shd w:val="clear" w:color="auto" w:fill="auto"/>
          </w:tcPr>
          <w:p w14:paraId="23D9E32A" w14:textId="59460F7A" w:rsidR="00135C3E" w:rsidRPr="00B833D9" w:rsidRDefault="00135C3E" w:rsidP="00EA63BE">
            <w:pPr>
              <w:pStyle w:val="Tableformat"/>
              <w:rPr>
                <w:rFonts w:asciiTheme="minorHAnsi" w:hAnsiTheme="minorHAnsi" w:cstheme="minorHAnsi"/>
                <w:b/>
                <w:color w:val="auto"/>
                <w:sz w:val="20"/>
              </w:rPr>
            </w:pPr>
            <w:r w:rsidRPr="00B833D9">
              <w:rPr>
                <w:rFonts w:asciiTheme="minorHAnsi" w:hAnsiTheme="minorHAnsi" w:cstheme="minorHAnsi"/>
                <w:b/>
                <w:color w:val="auto"/>
                <w:sz w:val="20"/>
              </w:rPr>
              <w:t>MILESTONE:</w:t>
            </w:r>
          </w:p>
          <w:p w14:paraId="6C2831EE" w14:textId="6BAD9182" w:rsidR="00E85E22" w:rsidRPr="00B833D9" w:rsidRDefault="00E85E22" w:rsidP="003F3A76">
            <w:pPr>
              <w:pStyle w:val="Tableformat"/>
              <w:rPr>
                <w:rFonts w:asciiTheme="minorHAnsi" w:hAnsiTheme="minorHAnsi" w:cstheme="minorHAnsi"/>
                <w:b/>
                <w:color w:val="auto"/>
              </w:rPr>
            </w:pPr>
            <w:r w:rsidRPr="00B833D9">
              <w:rPr>
                <w:rFonts w:asciiTheme="minorHAnsi" w:hAnsiTheme="minorHAnsi" w:cstheme="minorHAnsi"/>
                <w:color w:val="auto"/>
                <w:sz w:val="20"/>
              </w:rPr>
              <w:t xml:space="preserve">Provision of </w:t>
            </w:r>
            <w:r w:rsidR="00AE273E">
              <w:rPr>
                <w:rFonts w:asciiTheme="minorHAnsi" w:hAnsiTheme="minorHAnsi" w:cstheme="minorHAnsi"/>
                <w:color w:val="auto"/>
                <w:sz w:val="20"/>
              </w:rPr>
              <w:t xml:space="preserve">seasonal influenza vaccination rollout plan for the </w:t>
            </w:r>
            <w:r w:rsidR="006268E7">
              <w:rPr>
                <w:rFonts w:asciiTheme="minorHAnsi" w:hAnsiTheme="minorHAnsi" w:cstheme="minorHAnsi"/>
                <w:color w:val="auto"/>
                <w:sz w:val="20"/>
              </w:rPr>
              <w:t>2025</w:t>
            </w:r>
            <w:r w:rsidR="00347663">
              <w:rPr>
                <w:rFonts w:asciiTheme="minorHAnsi" w:hAnsiTheme="minorHAnsi" w:cstheme="minorHAnsi"/>
                <w:color w:val="auto"/>
                <w:sz w:val="20"/>
              </w:rPr>
              <w:t xml:space="preserve"> influenza season</w:t>
            </w:r>
            <w:r w:rsidRPr="00B833D9">
              <w:rPr>
                <w:rFonts w:asciiTheme="minorHAnsi" w:hAnsiTheme="minorHAnsi" w:cstheme="minorHAnsi"/>
                <w:color w:val="auto"/>
                <w:sz w:val="20"/>
              </w:rPr>
              <w:t xml:space="preserve"> by </w:t>
            </w:r>
            <w:r w:rsidR="003F3A76" w:rsidRPr="00B833D9">
              <w:rPr>
                <w:rFonts w:asciiTheme="minorHAnsi" w:hAnsiTheme="minorHAnsi" w:cstheme="minorHAnsi"/>
                <w:color w:val="auto"/>
                <w:sz w:val="20"/>
              </w:rPr>
              <w:t>1</w:t>
            </w:r>
            <w:r w:rsidR="00030588">
              <w:rPr>
                <w:rFonts w:asciiTheme="minorHAnsi" w:hAnsiTheme="minorHAnsi" w:cstheme="minorHAnsi"/>
                <w:color w:val="auto"/>
                <w:sz w:val="20"/>
              </w:rPr>
              <w:t>1</w:t>
            </w:r>
            <w:r w:rsidR="003F3A76" w:rsidRPr="00B833D9">
              <w:rPr>
                <w:rFonts w:asciiTheme="minorHAnsi" w:hAnsiTheme="minorHAnsi" w:cstheme="minorHAnsi"/>
                <w:color w:val="auto"/>
                <w:sz w:val="20"/>
              </w:rPr>
              <w:t xml:space="preserve"> </w:t>
            </w:r>
            <w:r w:rsidR="00030588">
              <w:rPr>
                <w:rFonts w:asciiTheme="minorHAnsi" w:hAnsiTheme="minorHAnsi" w:cstheme="minorHAnsi"/>
                <w:color w:val="auto"/>
                <w:sz w:val="20"/>
              </w:rPr>
              <w:t>March</w:t>
            </w:r>
            <w:r w:rsidR="00085061" w:rsidRPr="00B833D9">
              <w:rPr>
                <w:rFonts w:asciiTheme="minorHAnsi" w:hAnsiTheme="minorHAnsi" w:cstheme="minorHAnsi"/>
                <w:color w:val="auto"/>
                <w:sz w:val="20"/>
              </w:rPr>
              <w:t xml:space="preserve"> </w:t>
            </w:r>
            <w:r w:rsidR="006268E7">
              <w:rPr>
                <w:rFonts w:asciiTheme="minorHAnsi" w:hAnsiTheme="minorHAnsi" w:cstheme="minorHAnsi"/>
                <w:color w:val="auto"/>
                <w:sz w:val="20"/>
              </w:rPr>
              <w:t>2025</w:t>
            </w:r>
            <w:r w:rsidRPr="00B833D9">
              <w:rPr>
                <w:rFonts w:asciiTheme="minorHAnsi" w:hAnsiTheme="minorHAnsi" w:cstheme="minorHAnsi"/>
                <w:color w:val="auto"/>
                <w:sz w:val="20"/>
              </w:rPr>
              <w:t>.</w:t>
            </w:r>
          </w:p>
        </w:tc>
        <w:tc>
          <w:tcPr>
            <w:tcW w:w="4110" w:type="dxa"/>
          </w:tcPr>
          <w:p w14:paraId="15D77026" w14:textId="64248369" w:rsidR="00E85E22" w:rsidRDefault="004C64B7" w:rsidP="003543B8">
            <w:pPr>
              <w:pStyle w:val="Milestonetable"/>
              <w:rPr>
                <w:rFonts w:asciiTheme="minorHAnsi" w:hAnsiTheme="minorHAnsi" w:cstheme="minorHAnsi"/>
                <w:color w:val="auto"/>
              </w:rPr>
            </w:pPr>
            <w:r w:rsidRPr="00B833D9">
              <w:rPr>
                <w:rFonts w:asciiTheme="minorHAnsi" w:hAnsiTheme="minorHAnsi" w:cstheme="minorHAnsi"/>
                <w:color w:val="auto"/>
              </w:rPr>
              <w:t xml:space="preserve">The provision of </w:t>
            </w:r>
            <w:r w:rsidR="00085061">
              <w:rPr>
                <w:rFonts w:asciiTheme="minorHAnsi" w:hAnsiTheme="minorHAnsi" w:cstheme="minorHAnsi"/>
                <w:color w:val="auto"/>
              </w:rPr>
              <w:t xml:space="preserve">a seasonal influenza vaccination rollout plan containing </w:t>
            </w:r>
            <w:r w:rsidR="001601BB">
              <w:rPr>
                <w:rFonts w:asciiTheme="minorHAnsi" w:hAnsiTheme="minorHAnsi" w:cstheme="minorHAnsi"/>
                <w:color w:val="auto"/>
              </w:rPr>
              <w:t>agreed</w:t>
            </w:r>
            <w:r w:rsidR="008D7152">
              <w:rPr>
                <w:rFonts w:asciiTheme="minorHAnsi" w:hAnsiTheme="minorHAnsi" w:cstheme="minorHAnsi"/>
                <w:color w:val="auto"/>
              </w:rPr>
              <w:t xml:space="preserve"> </w:t>
            </w:r>
            <w:r w:rsidR="00085061">
              <w:rPr>
                <w:rFonts w:asciiTheme="minorHAnsi" w:hAnsiTheme="minorHAnsi" w:cstheme="minorHAnsi"/>
                <w:color w:val="auto"/>
              </w:rPr>
              <w:t xml:space="preserve">information </w:t>
            </w:r>
            <w:r w:rsidR="000C3C3A">
              <w:rPr>
                <w:rFonts w:asciiTheme="minorHAnsi" w:hAnsiTheme="minorHAnsi" w:cstheme="minorHAnsi"/>
                <w:color w:val="auto"/>
              </w:rPr>
              <w:t>regarding</w:t>
            </w:r>
            <w:r w:rsidR="00085061">
              <w:rPr>
                <w:rFonts w:asciiTheme="minorHAnsi" w:hAnsiTheme="minorHAnsi" w:cstheme="minorHAnsi"/>
                <w:color w:val="auto"/>
              </w:rPr>
              <w:t xml:space="preserve"> </w:t>
            </w:r>
            <w:r w:rsidR="001601BB">
              <w:rPr>
                <w:rFonts w:asciiTheme="minorHAnsi" w:hAnsiTheme="minorHAnsi" w:cstheme="minorHAnsi"/>
                <w:color w:val="auto"/>
              </w:rPr>
              <w:t xml:space="preserve">the </w:t>
            </w:r>
            <w:r w:rsidR="006268E7">
              <w:rPr>
                <w:rFonts w:asciiTheme="minorHAnsi" w:hAnsiTheme="minorHAnsi" w:cstheme="minorHAnsi"/>
                <w:color w:val="auto"/>
              </w:rPr>
              <w:t xml:space="preserve">2025 </w:t>
            </w:r>
            <w:r w:rsidR="001601BB">
              <w:rPr>
                <w:rFonts w:asciiTheme="minorHAnsi" w:hAnsiTheme="minorHAnsi" w:cstheme="minorHAnsi"/>
                <w:color w:val="auto"/>
              </w:rPr>
              <w:t xml:space="preserve">influenza season </w:t>
            </w:r>
            <w:r w:rsidRPr="00B833D9">
              <w:rPr>
                <w:rFonts w:asciiTheme="minorHAnsi" w:hAnsiTheme="minorHAnsi" w:cstheme="minorHAnsi"/>
                <w:color w:val="auto"/>
              </w:rPr>
              <w:t xml:space="preserve">provided </w:t>
            </w:r>
            <w:r w:rsidR="008D7152">
              <w:rPr>
                <w:rFonts w:asciiTheme="minorHAnsi" w:hAnsiTheme="minorHAnsi" w:cstheme="minorHAnsi"/>
                <w:color w:val="auto"/>
              </w:rPr>
              <w:t xml:space="preserve">ahead of </w:t>
            </w:r>
            <w:r w:rsidR="000C3C3A">
              <w:rPr>
                <w:rFonts w:asciiTheme="minorHAnsi" w:hAnsiTheme="minorHAnsi" w:cstheme="minorHAnsi"/>
                <w:color w:val="auto"/>
              </w:rPr>
              <w:t>when</w:t>
            </w:r>
            <w:r w:rsidR="008D7152">
              <w:rPr>
                <w:rFonts w:asciiTheme="minorHAnsi" w:hAnsiTheme="minorHAnsi" w:cstheme="minorHAnsi"/>
                <w:color w:val="auto"/>
              </w:rPr>
              <w:t xml:space="preserve"> </w:t>
            </w:r>
            <w:r w:rsidR="006268E7">
              <w:rPr>
                <w:rFonts w:asciiTheme="minorHAnsi" w:hAnsiTheme="minorHAnsi" w:cstheme="minorHAnsi"/>
                <w:color w:val="auto"/>
              </w:rPr>
              <w:t xml:space="preserve">2025 </w:t>
            </w:r>
            <w:r w:rsidR="008D7152">
              <w:rPr>
                <w:rFonts w:asciiTheme="minorHAnsi" w:hAnsiTheme="minorHAnsi" w:cstheme="minorHAnsi"/>
                <w:color w:val="auto"/>
              </w:rPr>
              <w:t>influenza vaccines</w:t>
            </w:r>
            <w:r w:rsidR="000C3C3A">
              <w:rPr>
                <w:rFonts w:asciiTheme="minorHAnsi" w:hAnsiTheme="minorHAnsi" w:cstheme="minorHAnsi"/>
                <w:color w:val="auto"/>
              </w:rPr>
              <w:t xml:space="preserve"> become</w:t>
            </w:r>
            <w:r w:rsidR="008D7152">
              <w:rPr>
                <w:rFonts w:asciiTheme="minorHAnsi" w:hAnsiTheme="minorHAnsi" w:cstheme="minorHAnsi"/>
                <w:color w:val="auto"/>
              </w:rPr>
              <w:t xml:space="preserve"> available.</w:t>
            </w:r>
          </w:p>
          <w:p w14:paraId="22FAB78D" w14:textId="67D2427C" w:rsidR="00F2703E" w:rsidRPr="00B833D9" w:rsidRDefault="00F2703E" w:rsidP="003543B8">
            <w:pPr>
              <w:pStyle w:val="Milestonetable"/>
              <w:rPr>
                <w:rFonts w:asciiTheme="minorHAnsi" w:hAnsiTheme="minorHAnsi" w:cstheme="minorHAnsi"/>
                <w:color w:val="auto"/>
              </w:rPr>
            </w:pPr>
            <w:r>
              <w:rPr>
                <w:rFonts w:asciiTheme="minorHAnsi" w:hAnsiTheme="minorHAnsi" w:cstheme="minorHAnsi"/>
                <w:color w:val="auto"/>
              </w:rPr>
              <w:t>An agreed template for completion will be provided requesting</w:t>
            </w:r>
            <w:r w:rsidRPr="00F2703E">
              <w:rPr>
                <w:rFonts w:asciiTheme="minorHAnsi" w:hAnsiTheme="minorHAnsi" w:cstheme="minorHAnsi"/>
                <w:color w:val="auto"/>
              </w:rPr>
              <w:t xml:space="preserve"> high-level information about local plans for the </w:t>
            </w:r>
            <w:r w:rsidR="006268E7">
              <w:rPr>
                <w:rFonts w:asciiTheme="minorHAnsi" w:hAnsiTheme="minorHAnsi" w:cstheme="minorHAnsi"/>
                <w:color w:val="auto"/>
              </w:rPr>
              <w:t>2025</w:t>
            </w:r>
            <w:r w:rsidR="006268E7" w:rsidRPr="00F2703E">
              <w:rPr>
                <w:rFonts w:asciiTheme="minorHAnsi" w:hAnsiTheme="minorHAnsi" w:cstheme="minorHAnsi"/>
                <w:color w:val="auto"/>
              </w:rPr>
              <w:t xml:space="preserve"> </w:t>
            </w:r>
            <w:r w:rsidRPr="00F2703E">
              <w:rPr>
                <w:rFonts w:asciiTheme="minorHAnsi" w:hAnsiTheme="minorHAnsi" w:cstheme="minorHAnsi"/>
                <w:color w:val="auto"/>
              </w:rPr>
              <w:t>influenza season, including priority groups for targeting, timing of</w:t>
            </w:r>
            <w:r>
              <w:rPr>
                <w:rFonts w:asciiTheme="minorHAnsi" w:hAnsiTheme="minorHAnsi" w:cstheme="minorHAnsi"/>
                <w:color w:val="auto"/>
              </w:rPr>
              <w:t xml:space="preserve"> ordering, supply and</w:t>
            </w:r>
            <w:r w:rsidRPr="00F2703E">
              <w:rPr>
                <w:rFonts w:asciiTheme="minorHAnsi" w:hAnsiTheme="minorHAnsi" w:cstheme="minorHAnsi"/>
                <w:color w:val="auto"/>
              </w:rPr>
              <w:t xml:space="preserve"> local activities, and any state-based communication activities.</w:t>
            </w:r>
          </w:p>
        </w:tc>
        <w:tc>
          <w:tcPr>
            <w:tcW w:w="3119" w:type="dxa"/>
            <w:shd w:val="clear" w:color="auto" w:fill="auto"/>
          </w:tcPr>
          <w:p w14:paraId="5A2C9364" w14:textId="0DE5AC74" w:rsidR="00E85E22" w:rsidRPr="00B833D9" w:rsidRDefault="006268E7" w:rsidP="00AE46EF">
            <w:pPr>
              <w:pStyle w:val="Milestonetable"/>
              <w:rPr>
                <w:rFonts w:asciiTheme="minorHAnsi" w:hAnsiTheme="minorHAnsi" w:cstheme="minorHAnsi"/>
                <w:b/>
                <w:color w:val="auto"/>
              </w:rPr>
            </w:pPr>
            <w:r>
              <w:rPr>
                <w:rFonts w:asciiTheme="minorHAnsi" w:hAnsiTheme="minorHAnsi" w:cstheme="minorHAnsi"/>
                <w:b/>
                <w:color w:val="auto"/>
              </w:rPr>
              <w:t>2024-25</w:t>
            </w:r>
            <w:r w:rsidR="00543CC9" w:rsidRPr="00B833D9">
              <w:rPr>
                <w:rFonts w:asciiTheme="minorHAnsi" w:hAnsiTheme="minorHAnsi" w:cstheme="minorHAnsi"/>
                <w:b/>
                <w:color w:val="auto"/>
              </w:rPr>
              <w:t xml:space="preserve"> (Year </w:t>
            </w:r>
            <w:r>
              <w:rPr>
                <w:rFonts w:asciiTheme="minorHAnsi" w:hAnsiTheme="minorHAnsi" w:cstheme="minorHAnsi"/>
                <w:b/>
                <w:color w:val="auto"/>
              </w:rPr>
              <w:t>8</w:t>
            </w:r>
            <w:r w:rsidR="00543CC9" w:rsidRPr="00B833D9">
              <w:rPr>
                <w:rFonts w:asciiTheme="minorHAnsi" w:hAnsiTheme="minorHAnsi" w:cstheme="minorHAnsi"/>
                <w:b/>
                <w:color w:val="auto"/>
              </w:rPr>
              <w:t>)</w:t>
            </w:r>
          </w:p>
          <w:p w14:paraId="3A80F922" w14:textId="3AA27F02" w:rsidR="00110A2A" w:rsidRPr="00B833D9" w:rsidRDefault="006268E7" w:rsidP="003543B8">
            <w:pPr>
              <w:pStyle w:val="Milestonetable"/>
              <w:numPr>
                <w:ilvl w:val="0"/>
                <w:numId w:val="40"/>
              </w:numPr>
              <w:ind w:left="317" w:hanging="218"/>
              <w:rPr>
                <w:rFonts w:asciiTheme="minorHAnsi" w:hAnsiTheme="minorHAnsi" w:cstheme="minorHAnsi"/>
                <w:color w:val="auto"/>
              </w:rPr>
            </w:pPr>
            <w:r>
              <w:rPr>
                <w:rFonts w:asciiTheme="minorHAnsi" w:hAnsiTheme="minorHAnsi" w:cstheme="minorHAnsi"/>
                <w:color w:val="auto"/>
              </w:rPr>
              <w:t>2025</w:t>
            </w:r>
            <w:r w:rsidR="00110A2A" w:rsidRPr="00B833D9">
              <w:rPr>
                <w:rFonts w:asciiTheme="minorHAnsi" w:hAnsiTheme="minorHAnsi" w:cstheme="minorHAnsi"/>
                <w:color w:val="auto"/>
              </w:rPr>
              <w:t xml:space="preserve">: </w:t>
            </w:r>
            <w:r>
              <w:rPr>
                <w:rFonts w:asciiTheme="minorHAnsi" w:hAnsiTheme="minorHAnsi" w:cstheme="minorHAnsi"/>
                <w:color w:val="auto"/>
              </w:rPr>
              <w:t xml:space="preserve">2025 </w:t>
            </w:r>
            <w:r w:rsidR="001601BB">
              <w:rPr>
                <w:rFonts w:asciiTheme="minorHAnsi" w:hAnsiTheme="minorHAnsi" w:cstheme="minorHAnsi"/>
                <w:color w:val="auto"/>
              </w:rPr>
              <w:t>influenza season information</w:t>
            </w:r>
            <w:r w:rsidR="00110A2A" w:rsidRPr="00B833D9">
              <w:rPr>
                <w:rFonts w:asciiTheme="minorHAnsi" w:hAnsiTheme="minorHAnsi" w:cstheme="minorHAnsi"/>
                <w:color w:val="auto"/>
              </w:rPr>
              <w:t xml:space="preserve"> to be provided</w:t>
            </w:r>
          </w:p>
          <w:p w14:paraId="7415C0BC" w14:textId="25B2282B" w:rsidR="00110A2A" w:rsidRPr="00B833D9" w:rsidRDefault="00110A2A" w:rsidP="003543B8">
            <w:pPr>
              <w:pStyle w:val="Milestonetable"/>
              <w:numPr>
                <w:ilvl w:val="0"/>
                <w:numId w:val="40"/>
              </w:numPr>
              <w:ind w:left="317" w:hanging="218"/>
              <w:rPr>
                <w:rFonts w:asciiTheme="minorHAnsi" w:hAnsiTheme="minorHAnsi" w:cstheme="minorHAnsi"/>
                <w:color w:val="auto"/>
              </w:rPr>
            </w:pPr>
            <w:r w:rsidRPr="00B833D9">
              <w:rPr>
                <w:rFonts w:asciiTheme="minorHAnsi" w:hAnsiTheme="minorHAnsi" w:cstheme="minorHAnsi"/>
                <w:color w:val="auto"/>
              </w:rPr>
              <w:t>1</w:t>
            </w:r>
            <w:r w:rsidR="00030588">
              <w:rPr>
                <w:rFonts w:asciiTheme="minorHAnsi" w:hAnsiTheme="minorHAnsi" w:cstheme="minorHAnsi"/>
                <w:color w:val="auto"/>
              </w:rPr>
              <w:t>1</w:t>
            </w:r>
            <w:r w:rsidRPr="00B833D9">
              <w:rPr>
                <w:rFonts w:asciiTheme="minorHAnsi" w:hAnsiTheme="minorHAnsi" w:cstheme="minorHAnsi"/>
                <w:color w:val="auto"/>
              </w:rPr>
              <w:t xml:space="preserve"> </w:t>
            </w:r>
            <w:r w:rsidR="00030588">
              <w:rPr>
                <w:rFonts w:asciiTheme="minorHAnsi" w:hAnsiTheme="minorHAnsi" w:cstheme="minorHAnsi"/>
                <w:color w:val="auto"/>
              </w:rPr>
              <w:t>March</w:t>
            </w:r>
            <w:r w:rsidR="001601BB" w:rsidRPr="00B833D9">
              <w:rPr>
                <w:rFonts w:asciiTheme="minorHAnsi" w:hAnsiTheme="minorHAnsi" w:cstheme="minorHAnsi"/>
                <w:color w:val="auto"/>
              </w:rPr>
              <w:t xml:space="preserve"> </w:t>
            </w:r>
            <w:r w:rsidR="006268E7">
              <w:rPr>
                <w:rFonts w:asciiTheme="minorHAnsi" w:hAnsiTheme="minorHAnsi" w:cstheme="minorHAnsi"/>
                <w:color w:val="auto"/>
              </w:rPr>
              <w:t>2025</w:t>
            </w:r>
            <w:r w:rsidRPr="00B833D9">
              <w:rPr>
                <w:rFonts w:asciiTheme="minorHAnsi" w:hAnsiTheme="minorHAnsi" w:cstheme="minorHAnsi"/>
                <w:color w:val="auto"/>
              </w:rPr>
              <w:t>: Due date for provision of data</w:t>
            </w:r>
            <w:r w:rsidR="003543B8" w:rsidRPr="00B833D9">
              <w:rPr>
                <w:rFonts w:asciiTheme="minorHAnsi" w:hAnsiTheme="minorHAnsi" w:cstheme="minorHAnsi"/>
                <w:color w:val="auto"/>
              </w:rPr>
              <w:t xml:space="preserve"> to meet </w:t>
            </w:r>
            <w:proofErr w:type="gramStart"/>
            <w:r w:rsidR="003543B8" w:rsidRPr="00B833D9">
              <w:rPr>
                <w:rFonts w:asciiTheme="minorHAnsi" w:hAnsiTheme="minorHAnsi" w:cstheme="minorHAnsi"/>
                <w:color w:val="auto"/>
              </w:rPr>
              <w:t>Milestone</w:t>
            </w:r>
            <w:proofErr w:type="gramEnd"/>
          </w:p>
          <w:p w14:paraId="5D1078A3" w14:textId="56D9006E" w:rsidR="003543B8" w:rsidRPr="00B833D9" w:rsidRDefault="003543B8" w:rsidP="00836AF1">
            <w:pPr>
              <w:pStyle w:val="Milestonetable"/>
              <w:rPr>
                <w:rFonts w:asciiTheme="minorHAnsi" w:hAnsiTheme="minorHAnsi" w:cstheme="minorHAnsi"/>
                <w:b/>
                <w:color w:val="auto"/>
              </w:rPr>
            </w:pPr>
          </w:p>
        </w:tc>
        <w:tc>
          <w:tcPr>
            <w:tcW w:w="2226" w:type="dxa"/>
            <w:shd w:val="clear" w:color="auto" w:fill="auto"/>
          </w:tcPr>
          <w:p w14:paraId="5BF0E4BF" w14:textId="3EBBBAF5" w:rsidR="00E85E22" w:rsidRPr="00B833D9" w:rsidRDefault="00E85E22" w:rsidP="008E41C6">
            <w:pPr>
              <w:pStyle w:val="Tableformat"/>
              <w:rPr>
                <w:rFonts w:asciiTheme="minorHAnsi" w:hAnsiTheme="minorHAnsi" w:cstheme="minorHAnsi"/>
                <w:b/>
                <w:color w:val="auto"/>
              </w:rPr>
            </w:pPr>
            <w:r w:rsidRPr="00B833D9">
              <w:rPr>
                <w:rFonts w:asciiTheme="minorHAnsi" w:hAnsiTheme="minorHAnsi" w:cstheme="minorHAnsi"/>
                <w:color w:val="auto"/>
                <w:sz w:val="20"/>
              </w:rPr>
              <w:t>0.75% of the funded 4.5% of total vaccine costs</w:t>
            </w:r>
            <w:r w:rsidR="009D33DD">
              <w:rPr>
                <w:rFonts w:asciiTheme="minorHAnsi" w:hAnsiTheme="minorHAnsi" w:cstheme="minorHAnsi"/>
                <w:color w:val="auto"/>
                <w:sz w:val="20"/>
              </w:rPr>
              <w:t xml:space="preserve"> </w:t>
            </w:r>
            <w:r w:rsidR="00D72056">
              <w:rPr>
                <w:rFonts w:asciiTheme="minorHAnsi" w:hAnsiTheme="minorHAnsi" w:cstheme="minorHAnsi"/>
                <w:color w:val="auto"/>
                <w:sz w:val="20"/>
              </w:rPr>
              <w:t xml:space="preserve">in the </w:t>
            </w:r>
            <w:r w:rsidR="006268E7">
              <w:rPr>
                <w:rFonts w:asciiTheme="minorHAnsi" w:hAnsiTheme="minorHAnsi" w:cstheme="minorHAnsi"/>
                <w:color w:val="auto"/>
                <w:sz w:val="20"/>
              </w:rPr>
              <w:t>2023-24</w:t>
            </w:r>
            <w:r w:rsidR="00D72056">
              <w:rPr>
                <w:rFonts w:asciiTheme="minorHAnsi" w:hAnsiTheme="minorHAnsi" w:cstheme="minorHAnsi"/>
                <w:color w:val="auto"/>
                <w:sz w:val="20"/>
              </w:rPr>
              <w:t xml:space="preserve"> financial year</w:t>
            </w:r>
            <w:r w:rsidRPr="00B833D9">
              <w:rPr>
                <w:rFonts w:asciiTheme="minorHAnsi" w:hAnsiTheme="minorHAnsi" w:cstheme="minorHAnsi"/>
                <w:color w:val="auto"/>
                <w:sz w:val="20"/>
              </w:rPr>
              <w:t>, distributed equally to each State</w:t>
            </w:r>
            <w:r w:rsidR="00710D35" w:rsidRPr="00B833D9">
              <w:rPr>
                <w:rFonts w:asciiTheme="minorHAnsi" w:hAnsiTheme="minorHAnsi" w:cstheme="minorHAnsi"/>
                <w:color w:val="auto"/>
                <w:sz w:val="20"/>
              </w:rPr>
              <w:t xml:space="preserve"> and Territory</w:t>
            </w:r>
            <w:r w:rsidRPr="00B833D9">
              <w:rPr>
                <w:rFonts w:asciiTheme="minorHAnsi" w:hAnsiTheme="minorHAnsi" w:cstheme="minorHAnsi"/>
                <w:color w:val="auto"/>
                <w:sz w:val="20"/>
              </w:rPr>
              <w:t>.</w:t>
            </w:r>
          </w:p>
        </w:tc>
      </w:tr>
      <w:tr w:rsidR="00E85E22" w:rsidRPr="00B833D9" w14:paraId="6D142D4F" w14:textId="77777777" w:rsidTr="000A3B21">
        <w:tc>
          <w:tcPr>
            <w:tcW w:w="2117" w:type="dxa"/>
            <w:tcBorders>
              <w:top w:val="single" w:sz="8" w:space="0" w:color="4F81BD"/>
              <w:left w:val="single" w:sz="8" w:space="0" w:color="4F81BD"/>
              <w:bottom w:val="single" w:sz="8" w:space="0" w:color="4F81BD"/>
              <w:right w:val="single" w:sz="8" w:space="0" w:color="4F81BD"/>
            </w:tcBorders>
          </w:tcPr>
          <w:p w14:paraId="43AC35BA" w14:textId="13721232" w:rsidR="00E85E22" w:rsidRPr="00B833D9" w:rsidRDefault="0096313E" w:rsidP="00AE229E">
            <w:pPr>
              <w:pStyle w:val="Milestonetable"/>
              <w:rPr>
                <w:rFonts w:asciiTheme="minorHAnsi" w:hAnsiTheme="minorHAnsi" w:cstheme="minorHAnsi"/>
                <w:color w:val="auto"/>
              </w:rPr>
            </w:pPr>
            <w:r w:rsidRPr="00B833D9">
              <w:rPr>
                <w:rFonts w:asciiTheme="minorHAnsi" w:hAnsiTheme="minorHAnsi" w:cstheme="minorHAnsi"/>
                <w:color w:val="auto"/>
              </w:rPr>
              <w:t>Maintained or i</w:t>
            </w:r>
            <w:r w:rsidR="00E85E22" w:rsidRPr="00B833D9">
              <w:rPr>
                <w:rFonts w:asciiTheme="minorHAnsi" w:hAnsiTheme="minorHAnsi" w:cstheme="minorHAnsi"/>
                <w:color w:val="auto"/>
              </w:rPr>
              <w:t xml:space="preserve">ncreased vaccination coverage rates for </w:t>
            </w:r>
            <w:r w:rsidRPr="00B833D9">
              <w:rPr>
                <w:rFonts w:asciiTheme="minorHAnsi" w:hAnsiTheme="minorHAnsi" w:cstheme="minorHAnsi"/>
                <w:color w:val="auto"/>
                <w:szCs w:val="23"/>
              </w:rPr>
              <w:t>60</w:t>
            </w:r>
            <w:r w:rsidR="00E85E22" w:rsidRPr="00B833D9">
              <w:rPr>
                <w:rFonts w:asciiTheme="minorHAnsi" w:hAnsiTheme="minorHAnsi" w:cstheme="minorHAnsi"/>
                <w:color w:val="auto"/>
                <w:szCs w:val="23"/>
              </w:rPr>
              <w:t xml:space="preserve"> ≤ 63 month olds</w:t>
            </w:r>
            <w:r w:rsidR="00E85E22" w:rsidRPr="00B833D9">
              <w:rPr>
                <w:rFonts w:asciiTheme="minorHAnsi" w:hAnsiTheme="minorHAnsi" w:cstheme="minorHAnsi"/>
                <w:color w:val="auto"/>
              </w:rPr>
              <w:t>.</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18D33CEE" w14:textId="25B4A140" w:rsidR="00135C3E" w:rsidRPr="00B833D9" w:rsidRDefault="00135C3E" w:rsidP="00EA63BE">
            <w:pPr>
              <w:pStyle w:val="Milestonetable"/>
              <w:rPr>
                <w:rFonts w:asciiTheme="minorHAnsi" w:hAnsiTheme="minorHAnsi" w:cstheme="minorHAnsi"/>
                <w:b/>
                <w:color w:val="auto"/>
              </w:rPr>
            </w:pPr>
            <w:r w:rsidRPr="00B833D9">
              <w:rPr>
                <w:rFonts w:asciiTheme="minorHAnsi" w:hAnsiTheme="minorHAnsi" w:cstheme="minorHAnsi"/>
                <w:b/>
                <w:color w:val="auto"/>
              </w:rPr>
              <w:t>BENCHMARK 1:</w:t>
            </w:r>
          </w:p>
          <w:p w14:paraId="4095F697" w14:textId="31526235" w:rsidR="00E85E22" w:rsidRPr="00B833D9" w:rsidRDefault="0096313E" w:rsidP="0096313E">
            <w:pPr>
              <w:pStyle w:val="Milestonetable"/>
              <w:rPr>
                <w:rFonts w:asciiTheme="minorHAnsi" w:hAnsiTheme="minorHAnsi" w:cstheme="minorHAnsi"/>
                <w:color w:val="auto"/>
              </w:rPr>
            </w:pPr>
            <w:r w:rsidRPr="00B833D9">
              <w:rPr>
                <w:rFonts w:asciiTheme="minorHAnsi" w:hAnsiTheme="minorHAnsi" w:cstheme="minorHAnsi"/>
                <w:color w:val="auto"/>
              </w:rPr>
              <w:t xml:space="preserve">Maintained or increased </w:t>
            </w:r>
            <w:r w:rsidR="00E85E22" w:rsidRPr="00B833D9">
              <w:rPr>
                <w:rFonts w:asciiTheme="minorHAnsi" w:hAnsiTheme="minorHAnsi" w:cstheme="minorHAnsi"/>
                <w:color w:val="auto"/>
              </w:rPr>
              <w:t>vaccination coverage rates for 60 ≤ 63 month olds relative to the baseline.</w:t>
            </w:r>
          </w:p>
        </w:tc>
        <w:tc>
          <w:tcPr>
            <w:tcW w:w="4110" w:type="dxa"/>
            <w:tcBorders>
              <w:top w:val="single" w:sz="8" w:space="0" w:color="4F81BD"/>
              <w:left w:val="single" w:sz="8" w:space="0" w:color="4F81BD"/>
              <w:bottom w:val="single" w:sz="8" w:space="0" w:color="4F81BD"/>
              <w:right w:val="single" w:sz="8" w:space="0" w:color="4F81BD"/>
            </w:tcBorders>
          </w:tcPr>
          <w:p w14:paraId="28716C81" w14:textId="62A9A122" w:rsidR="004C64B7" w:rsidRPr="00B833D9" w:rsidRDefault="002D3092" w:rsidP="004C64B7">
            <w:pPr>
              <w:rPr>
                <w:rFonts w:cstheme="minorHAnsi"/>
                <w:sz w:val="20"/>
                <w:szCs w:val="20"/>
              </w:rPr>
            </w:pPr>
            <w:r w:rsidRPr="00B833D9">
              <w:rPr>
                <w:rFonts w:cstheme="minorHAnsi"/>
                <w:sz w:val="20"/>
                <w:szCs w:val="20"/>
              </w:rPr>
              <w:t>•  The numerator is the n</w:t>
            </w:r>
            <w:r w:rsidR="004C64B7" w:rsidRPr="00B833D9">
              <w:rPr>
                <w:rFonts w:cstheme="minorHAnsi"/>
                <w:sz w:val="20"/>
                <w:szCs w:val="20"/>
              </w:rPr>
              <w:t xml:space="preserve">umber of children </w:t>
            </w:r>
            <w:r w:rsidR="00F87E61" w:rsidRPr="00B833D9">
              <w:rPr>
                <w:rFonts w:cstheme="minorHAnsi"/>
                <w:sz w:val="20"/>
                <w:szCs w:val="20"/>
              </w:rPr>
              <w:t xml:space="preserve">enrolled in Medicare </w:t>
            </w:r>
            <w:r w:rsidR="004C64B7" w:rsidRPr="00B833D9">
              <w:rPr>
                <w:rFonts w:cstheme="minorHAnsi"/>
                <w:sz w:val="20"/>
                <w:szCs w:val="20"/>
              </w:rPr>
              <w:t>reported as fully immunised as defined by the Australian Immunisation Register (AIR), aged 60 ≤ 63 months.</w:t>
            </w:r>
          </w:p>
          <w:p w14:paraId="16C9EF9D" w14:textId="5B38DEA3" w:rsidR="002D3092" w:rsidRPr="00B833D9" w:rsidRDefault="002D3092" w:rsidP="004C64B7">
            <w:pPr>
              <w:rPr>
                <w:rFonts w:cstheme="minorHAnsi"/>
                <w:sz w:val="20"/>
                <w:szCs w:val="20"/>
              </w:rPr>
            </w:pPr>
            <w:r w:rsidRPr="00B833D9">
              <w:rPr>
                <w:rFonts w:cstheme="minorHAnsi"/>
                <w:sz w:val="20"/>
                <w:szCs w:val="20"/>
              </w:rPr>
              <w:t xml:space="preserve">•  The denominator is the number of children </w:t>
            </w:r>
            <w:r w:rsidR="00F87E61" w:rsidRPr="00B833D9">
              <w:rPr>
                <w:rFonts w:cstheme="minorHAnsi"/>
                <w:sz w:val="20"/>
                <w:szCs w:val="20"/>
              </w:rPr>
              <w:t xml:space="preserve">enrolled in Medicare and </w:t>
            </w:r>
            <w:r w:rsidRPr="00B833D9">
              <w:rPr>
                <w:rFonts w:cstheme="minorHAnsi"/>
                <w:sz w:val="20"/>
                <w:szCs w:val="20"/>
              </w:rPr>
              <w:t xml:space="preserve">registered in the Australian Immunisation Register aged 60 ≤ 63 months. </w:t>
            </w:r>
          </w:p>
          <w:p w14:paraId="7FEB3636" w14:textId="430031D4" w:rsidR="004C64B7" w:rsidRPr="00B833D9" w:rsidRDefault="004C64B7" w:rsidP="004C64B7">
            <w:pPr>
              <w:rPr>
                <w:rFonts w:cstheme="minorHAnsi"/>
                <w:sz w:val="20"/>
                <w:szCs w:val="20"/>
              </w:rPr>
            </w:pPr>
            <w:r w:rsidRPr="00B833D9">
              <w:rPr>
                <w:rFonts w:cstheme="minorHAnsi"/>
                <w:sz w:val="20"/>
                <w:szCs w:val="20"/>
              </w:rPr>
              <w:t xml:space="preserve">•  Calculation is 100 x (Numerator ÷ Denominator) presented as a rate per 100 children aged </w:t>
            </w:r>
            <w:r w:rsidR="006268E7">
              <w:rPr>
                <w:rFonts w:cstheme="minorHAnsi"/>
                <w:sz w:val="20"/>
                <w:szCs w:val="20"/>
              </w:rPr>
              <w:t>five</w:t>
            </w:r>
            <w:r w:rsidR="006268E7" w:rsidRPr="00B833D9">
              <w:rPr>
                <w:rFonts w:cstheme="minorHAnsi"/>
                <w:sz w:val="20"/>
                <w:szCs w:val="20"/>
              </w:rPr>
              <w:t xml:space="preserve"> </w:t>
            </w:r>
            <w:r w:rsidRPr="00B833D9">
              <w:rPr>
                <w:rFonts w:cstheme="minorHAnsi"/>
                <w:sz w:val="20"/>
                <w:szCs w:val="20"/>
              </w:rPr>
              <w:t>years.</w:t>
            </w:r>
          </w:p>
          <w:p w14:paraId="7D8BB42B" w14:textId="7F776DF7" w:rsidR="004C64B7" w:rsidRPr="00B833D9" w:rsidRDefault="004C64B7" w:rsidP="004C64B7">
            <w:pPr>
              <w:rPr>
                <w:rFonts w:cstheme="minorHAnsi"/>
                <w:sz w:val="20"/>
                <w:szCs w:val="20"/>
              </w:rPr>
            </w:pPr>
            <w:r w:rsidRPr="00B833D9">
              <w:rPr>
                <w:rFonts w:cstheme="minorHAnsi"/>
                <w:sz w:val="20"/>
                <w:szCs w:val="20"/>
              </w:rPr>
              <w:t xml:space="preserve">•  The current </w:t>
            </w:r>
            <w:r w:rsidR="00096EBC">
              <w:rPr>
                <w:rFonts w:cstheme="minorHAnsi"/>
                <w:sz w:val="20"/>
                <w:szCs w:val="20"/>
              </w:rPr>
              <w:t>reference period’s</w:t>
            </w:r>
            <w:r w:rsidR="00096EBC" w:rsidRPr="00B833D9">
              <w:rPr>
                <w:rFonts w:cstheme="minorHAnsi"/>
                <w:sz w:val="20"/>
                <w:szCs w:val="20"/>
              </w:rPr>
              <w:t xml:space="preserve"> </w:t>
            </w:r>
            <w:r w:rsidRPr="00B833D9">
              <w:rPr>
                <w:rFonts w:cstheme="minorHAnsi"/>
                <w:sz w:val="20"/>
                <w:szCs w:val="20"/>
              </w:rPr>
              <w:t xml:space="preserve">coverage rate will be compared to a baseline of the average coverage rate of the previous three </w:t>
            </w:r>
            <w:r w:rsidR="00096EBC">
              <w:rPr>
                <w:rFonts w:cstheme="minorHAnsi"/>
                <w:sz w:val="20"/>
                <w:szCs w:val="20"/>
              </w:rPr>
              <w:t>reference periods</w:t>
            </w:r>
            <w:r w:rsidRPr="00B833D9">
              <w:rPr>
                <w:rFonts w:cstheme="minorHAnsi"/>
                <w:sz w:val="20"/>
                <w:szCs w:val="20"/>
              </w:rPr>
              <w:t>.</w:t>
            </w:r>
          </w:p>
          <w:p w14:paraId="738BCDE1" w14:textId="79BFC263" w:rsidR="004C64B7" w:rsidRPr="00B833D9" w:rsidRDefault="004C64B7" w:rsidP="004C64B7">
            <w:pPr>
              <w:rPr>
                <w:rFonts w:cstheme="minorHAnsi"/>
                <w:sz w:val="20"/>
                <w:szCs w:val="20"/>
              </w:rPr>
            </w:pPr>
            <w:r w:rsidRPr="00B833D9">
              <w:rPr>
                <w:rFonts w:cstheme="minorHAnsi"/>
                <w:sz w:val="20"/>
                <w:szCs w:val="20"/>
              </w:rPr>
              <w:t>•  Should the definition of fully immunised cha</w:t>
            </w:r>
            <w:r w:rsidR="0072007C" w:rsidRPr="00B833D9">
              <w:rPr>
                <w:rFonts w:cstheme="minorHAnsi"/>
                <w:sz w:val="20"/>
                <w:szCs w:val="20"/>
              </w:rPr>
              <w:t>nge, the baseline will be re</w:t>
            </w:r>
            <w:r w:rsidRPr="00B833D9">
              <w:rPr>
                <w:rFonts w:cstheme="minorHAnsi"/>
                <w:sz w:val="20"/>
                <w:szCs w:val="20"/>
              </w:rPr>
              <w:t>set following an independent review by an external body.</w:t>
            </w:r>
          </w:p>
          <w:p w14:paraId="176DBA37" w14:textId="40649975" w:rsidR="00C479B1" w:rsidRPr="00B833D9" w:rsidRDefault="004C64B7" w:rsidP="000F71CD">
            <w:pPr>
              <w:rPr>
                <w:rFonts w:cstheme="minorHAnsi"/>
                <w:strike/>
                <w:color w:val="FF0000"/>
              </w:rPr>
            </w:pPr>
            <w:r w:rsidRPr="00B833D9">
              <w:rPr>
                <w:rFonts w:cstheme="minorHAnsi"/>
                <w:sz w:val="20"/>
                <w:szCs w:val="20"/>
              </w:rPr>
              <w:t xml:space="preserve">•  Where a State </w:t>
            </w:r>
            <w:r w:rsidR="003E1830" w:rsidRPr="00B833D9">
              <w:rPr>
                <w:rFonts w:cstheme="minorHAnsi"/>
                <w:sz w:val="20"/>
                <w:szCs w:val="20"/>
              </w:rPr>
              <w:t xml:space="preserve">or Territory </w:t>
            </w:r>
            <w:r w:rsidRPr="00B833D9">
              <w:rPr>
                <w:rFonts w:cstheme="minorHAnsi"/>
                <w:sz w:val="20"/>
                <w:szCs w:val="20"/>
              </w:rPr>
              <w:t>has reached 95 per cent coverage</w:t>
            </w:r>
            <w:r w:rsidR="0096313E" w:rsidRPr="00B833D9">
              <w:rPr>
                <w:rFonts w:cstheme="minorHAnsi"/>
                <w:sz w:val="20"/>
                <w:szCs w:val="20"/>
              </w:rPr>
              <w:t xml:space="preserve"> or above</w:t>
            </w:r>
            <w:r w:rsidR="00710D35" w:rsidRPr="00B833D9">
              <w:rPr>
                <w:rFonts w:cstheme="minorHAnsi"/>
                <w:sz w:val="20"/>
                <w:szCs w:val="20"/>
              </w:rPr>
              <w:t>, they</w:t>
            </w:r>
            <w:r w:rsidRPr="00B833D9">
              <w:rPr>
                <w:rFonts w:cstheme="minorHAnsi"/>
                <w:sz w:val="20"/>
                <w:szCs w:val="20"/>
              </w:rPr>
              <w:t xml:space="preserve"> will only be </w:t>
            </w:r>
            <w:r w:rsidRPr="00B833D9">
              <w:rPr>
                <w:rFonts w:cstheme="minorHAnsi"/>
                <w:sz w:val="20"/>
                <w:szCs w:val="20"/>
              </w:rPr>
              <w:lastRenderedPageBreak/>
              <w:t>required to maintain coverage rates at 95 per cent.</w:t>
            </w:r>
            <w:r w:rsidR="003D59EF" w:rsidRPr="00B833D9" w:rsidDel="003D59EF">
              <w:rPr>
                <w:rFonts w:cstheme="minorHAnsi"/>
              </w:rPr>
              <w:t xml:space="preserve"> </w:t>
            </w:r>
          </w:p>
        </w:tc>
        <w:tc>
          <w:tcPr>
            <w:tcW w:w="3119" w:type="dxa"/>
            <w:tcBorders>
              <w:top w:val="single" w:sz="8" w:space="0" w:color="4F81BD"/>
              <w:left w:val="single" w:sz="8" w:space="0" w:color="4F81BD"/>
              <w:bottom w:val="single" w:sz="8" w:space="0" w:color="4F81BD"/>
              <w:right w:val="single" w:sz="8" w:space="0" w:color="4F81BD"/>
            </w:tcBorders>
            <w:shd w:val="clear" w:color="auto" w:fill="auto"/>
          </w:tcPr>
          <w:p w14:paraId="490B5D76" w14:textId="030D8628" w:rsidR="001601BB" w:rsidRPr="00B833D9" w:rsidRDefault="006268E7" w:rsidP="001601BB">
            <w:pPr>
              <w:pStyle w:val="Milestonetable"/>
              <w:rPr>
                <w:rFonts w:asciiTheme="minorHAnsi" w:hAnsiTheme="minorHAnsi" w:cstheme="minorHAnsi"/>
                <w:b/>
                <w:color w:val="auto"/>
              </w:rPr>
            </w:pPr>
            <w:r>
              <w:rPr>
                <w:rFonts w:asciiTheme="minorHAnsi" w:hAnsiTheme="minorHAnsi" w:cstheme="minorHAnsi"/>
                <w:b/>
                <w:color w:val="auto"/>
              </w:rPr>
              <w:lastRenderedPageBreak/>
              <w:t>2024-25</w:t>
            </w:r>
            <w:r w:rsidR="001601BB" w:rsidRPr="00B833D9">
              <w:rPr>
                <w:rFonts w:asciiTheme="minorHAnsi" w:hAnsiTheme="minorHAnsi" w:cstheme="minorHAnsi"/>
                <w:b/>
                <w:color w:val="auto"/>
              </w:rPr>
              <w:t xml:space="preserve"> (Year </w:t>
            </w:r>
            <w:r>
              <w:rPr>
                <w:rFonts w:asciiTheme="minorHAnsi" w:hAnsiTheme="minorHAnsi" w:cstheme="minorHAnsi"/>
                <w:b/>
                <w:color w:val="auto"/>
              </w:rPr>
              <w:t>8</w:t>
            </w:r>
            <w:r w:rsidR="001601BB" w:rsidRPr="00B833D9">
              <w:rPr>
                <w:rFonts w:asciiTheme="minorHAnsi" w:hAnsiTheme="minorHAnsi" w:cstheme="minorHAnsi"/>
                <w:b/>
                <w:color w:val="auto"/>
              </w:rPr>
              <w:t>)</w:t>
            </w:r>
          </w:p>
          <w:p w14:paraId="359D4281" w14:textId="1293A11F" w:rsidR="00110A2A" w:rsidRPr="00B833D9" w:rsidRDefault="00110A2A" w:rsidP="00710D35">
            <w:pPr>
              <w:pStyle w:val="Milestonetable"/>
              <w:numPr>
                <w:ilvl w:val="0"/>
                <w:numId w:val="40"/>
              </w:numPr>
              <w:ind w:left="317" w:hanging="218"/>
              <w:rPr>
                <w:rFonts w:asciiTheme="minorHAnsi" w:hAnsiTheme="minorHAnsi" w:cstheme="minorHAnsi"/>
                <w:color w:val="auto"/>
              </w:rPr>
            </w:pPr>
            <w:r w:rsidRPr="00B833D9">
              <w:rPr>
                <w:rFonts w:asciiTheme="minorHAnsi" w:hAnsiTheme="minorHAnsi" w:cstheme="minorHAnsi"/>
                <w:color w:val="auto"/>
              </w:rPr>
              <w:t>1 April 202</w:t>
            </w:r>
            <w:r w:rsidR="006268E7">
              <w:rPr>
                <w:rFonts w:asciiTheme="minorHAnsi" w:hAnsiTheme="minorHAnsi" w:cstheme="minorHAnsi"/>
                <w:color w:val="auto"/>
              </w:rPr>
              <w:t>4</w:t>
            </w:r>
            <w:r w:rsidRPr="00B833D9">
              <w:rPr>
                <w:rFonts w:asciiTheme="minorHAnsi" w:hAnsiTheme="minorHAnsi" w:cstheme="minorHAnsi"/>
                <w:color w:val="auto"/>
              </w:rPr>
              <w:t xml:space="preserve"> – 31 March 202</w:t>
            </w:r>
            <w:r w:rsidR="006268E7">
              <w:rPr>
                <w:rFonts w:asciiTheme="minorHAnsi" w:hAnsiTheme="minorHAnsi" w:cstheme="minorHAnsi"/>
                <w:color w:val="auto"/>
              </w:rPr>
              <w:t>5</w:t>
            </w:r>
            <w:r w:rsidRPr="00B833D9">
              <w:rPr>
                <w:rFonts w:asciiTheme="minorHAnsi" w:hAnsiTheme="minorHAnsi" w:cstheme="minorHAnsi"/>
                <w:color w:val="auto"/>
              </w:rPr>
              <w:t xml:space="preserve">: </w:t>
            </w:r>
            <w:r w:rsidR="00096EBC">
              <w:rPr>
                <w:rFonts w:asciiTheme="minorHAnsi" w:hAnsiTheme="minorHAnsi" w:cstheme="minorHAnsi"/>
                <w:color w:val="auto"/>
              </w:rPr>
              <w:t>Current r</w:t>
            </w:r>
            <w:r w:rsidRPr="00B833D9">
              <w:rPr>
                <w:rFonts w:asciiTheme="minorHAnsi" w:hAnsiTheme="minorHAnsi" w:cstheme="minorHAnsi"/>
                <w:color w:val="auto"/>
              </w:rPr>
              <w:t>eference period</w:t>
            </w:r>
            <w:r w:rsidR="00710D35" w:rsidRPr="00B833D9">
              <w:rPr>
                <w:rFonts w:asciiTheme="minorHAnsi" w:hAnsiTheme="minorHAnsi" w:cstheme="minorHAnsi"/>
                <w:color w:val="auto"/>
              </w:rPr>
              <w:t xml:space="preserve"> </w:t>
            </w:r>
            <w:proofErr w:type="gramStart"/>
            <w:r w:rsidR="00710D35" w:rsidRPr="00B833D9">
              <w:rPr>
                <w:rFonts w:asciiTheme="minorHAnsi" w:hAnsiTheme="minorHAnsi" w:cstheme="minorHAnsi"/>
                <w:color w:val="auto"/>
              </w:rPr>
              <w:t>assessed</w:t>
            </w:r>
            <w:proofErr w:type="gramEnd"/>
          </w:p>
          <w:p w14:paraId="6D0D2E3F" w14:textId="4498CFBE" w:rsidR="00110A2A" w:rsidRPr="00B833D9" w:rsidRDefault="00110A2A" w:rsidP="00710D35">
            <w:pPr>
              <w:pStyle w:val="Milestonetable"/>
              <w:numPr>
                <w:ilvl w:val="0"/>
                <w:numId w:val="40"/>
              </w:numPr>
              <w:ind w:left="317" w:hanging="218"/>
              <w:rPr>
                <w:rFonts w:asciiTheme="minorHAnsi" w:hAnsiTheme="minorHAnsi" w:cstheme="minorHAnsi"/>
                <w:color w:val="auto"/>
              </w:rPr>
            </w:pPr>
            <w:r w:rsidRPr="00B833D9">
              <w:rPr>
                <w:rFonts w:asciiTheme="minorHAnsi" w:hAnsiTheme="minorHAnsi" w:cstheme="minorHAnsi"/>
                <w:color w:val="auto"/>
              </w:rPr>
              <w:t xml:space="preserve">By </w:t>
            </w:r>
            <w:r w:rsidR="003F3A76" w:rsidRPr="00B833D9">
              <w:rPr>
                <w:rFonts w:asciiTheme="minorHAnsi" w:hAnsiTheme="minorHAnsi" w:cstheme="minorHAnsi"/>
                <w:color w:val="auto"/>
              </w:rPr>
              <w:t>30 September</w:t>
            </w:r>
            <w:r w:rsidRPr="00B833D9">
              <w:rPr>
                <w:rFonts w:asciiTheme="minorHAnsi" w:hAnsiTheme="minorHAnsi" w:cstheme="minorHAnsi"/>
                <w:color w:val="auto"/>
              </w:rPr>
              <w:t xml:space="preserve"> 202</w:t>
            </w:r>
            <w:r w:rsidR="006268E7">
              <w:rPr>
                <w:rFonts w:asciiTheme="minorHAnsi" w:hAnsiTheme="minorHAnsi" w:cstheme="minorHAnsi"/>
                <w:color w:val="auto"/>
              </w:rPr>
              <w:t>5</w:t>
            </w:r>
            <w:r w:rsidRPr="00B833D9">
              <w:rPr>
                <w:rFonts w:asciiTheme="minorHAnsi" w:hAnsiTheme="minorHAnsi" w:cstheme="minorHAnsi"/>
                <w:color w:val="auto"/>
              </w:rPr>
              <w:t xml:space="preserve">: Assessment outcomes </w:t>
            </w:r>
            <w:proofErr w:type="gramStart"/>
            <w:r w:rsidRPr="00B833D9">
              <w:rPr>
                <w:rFonts w:asciiTheme="minorHAnsi" w:hAnsiTheme="minorHAnsi" w:cstheme="minorHAnsi"/>
                <w:color w:val="auto"/>
              </w:rPr>
              <w:t>notified</w:t>
            </w:r>
            <w:proofErr w:type="gramEnd"/>
            <w:r w:rsidRPr="00B833D9">
              <w:rPr>
                <w:rFonts w:asciiTheme="minorHAnsi" w:hAnsiTheme="minorHAnsi" w:cstheme="minorHAnsi"/>
                <w:color w:val="auto"/>
              </w:rPr>
              <w:t xml:space="preserve"> </w:t>
            </w:r>
          </w:p>
          <w:p w14:paraId="5421C669" w14:textId="35668FAE" w:rsidR="00E85E22" w:rsidRPr="00B833D9" w:rsidRDefault="00110A2A" w:rsidP="00CF175E">
            <w:pPr>
              <w:pStyle w:val="Milestonetable"/>
              <w:numPr>
                <w:ilvl w:val="0"/>
                <w:numId w:val="40"/>
              </w:numPr>
              <w:ind w:left="317" w:hanging="218"/>
              <w:rPr>
                <w:rFonts w:asciiTheme="minorHAnsi" w:hAnsiTheme="minorHAnsi" w:cstheme="minorHAnsi"/>
                <w:color w:val="FF0000"/>
              </w:rPr>
            </w:pPr>
            <w:r w:rsidRPr="00DB5F6A">
              <w:rPr>
                <w:rFonts w:asciiTheme="minorHAnsi" w:hAnsiTheme="minorHAnsi" w:cstheme="minorHAnsi"/>
                <w:color w:val="auto"/>
              </w:rPr>
              <w:t xml:space="preserve">By </w:t>
            </w:r>
            <w:r w:rsidR="003F3A76" w:rsidRPr="00836AF1">
              <w:rPr>
                <w:rFonts w:asciiTheme="minorHAnsi" w:hAnsiTheme="minorHAnsi" w:cstheme="minorHAnsi"/>
                <w:color w:val="auto"/>
              </w:rPr>
              <w:t>31 December 202</w:t>
            </w:r>
            <w:r w:rsidR="006268E7">
              <w:rPr>
                <w:rFonts w:asciiTheme="minorHAnsi" w:hAnsiTheme="minorHAnsi" w:cstheme="minorHAnsi"/>
                <w:color w:val="auto"/>
              </w:rPr>
              <w:t>5</w:t>
            </w:r>
            <w:r w:rsidRPr="00836AF1">
              <w:rPr>
                <w:rFonts w:asciiTheme="minorHAnsi" w:hAnsiTheme="minorHAnsi" w:cstheme="minorHAnsi"/>
                <w:color w:val="auto"/>
              </w:rPr>
              <w:t xml:space="preserve">: </w:t>
            </w:r>
            <w:r w:rsidR="00813356" w:rsidRPr="00836AF1">
              <w:rPr>
                <w:rFonts w:asciiTheme="minorHAnsi" w:hAnsiTheme="minorHAnsi" w:cstheme="minorHAnsi"/>
                <w:color w:val="auto"/>
              </w:rPr>
              <w:t>A</w:t>
            </w:r>
            <w:r w:rsidRPr="00836AF1">
              <w:rPr>
                <w:rFonts w:asciiTheme="minorHAnsi" w:hAnsiTheme="minorHAnsi" w:cstheme="minorHAnsi"/>
                <w:color w:val="auto"/>
              </w:rPr>
              <w:t>ssessment report published</w:t>
            </w:r>
          </w:p>
        </w:tc>
        <w:tc>
          <w:tcPr>
            <w:tcW w:w="2226" w:type="dxa"/>
            <w:tcBorders>
              <w:top w:val="single" w:sz="8" w:space="0" w:color="4F81BD"/>
              <w:left w:val="single" w:sz="8" w:space="0" w:color="4F81BD"/>
              <w:bottom w:val="single" w:sz="8" w:space="0" w:color="4F81BD"/>
              <w:right w:val="single" w:sz="8" w:space="0" w:color="4F81BD"/>
            </w:tcBorders>
            <w:shd w:val="clear" w:color="auto" w:fill="auto"/>
          </w:tcPr>
          <w:p w14:paraId="2EC595E5" w14:textId="3AA2D004" w:rsidR="00E85E22" w:rsidRPr="00B833D9" w:rsidRDefault="00E85E22" w:rsidP="00F7743F">
            <w:pPr>
              <w:pStyle w:val="Milestonetable"/>
              <w:rPr>
                <w:rFonts w:asciiTheme="minorHAnsi" w:hAnsiTheme="minorHAnsi" w:cstheme="minorHAnsi"/>
                <w:color w:val="auto"/>
              </w:rPr>
            </w:pPr>
            <w:r w:rsidRPr="00B833D9">
              <w:rPr>
                <w:rFonts w:asciiTheme="minorHAnsi" w:hAnsiTheme="minorHAnsi" w:cstheme="minorHAnsi"/>
                <w:color w:val="auto"/>
              </w:rPr>
              <w:t xml:space="preserve">0.75% of the funded 4.5% of </w:t>
            </w:r>
            <w:r w:rsidR="00710D35" w:rsidRPr="00B833D9">
              <w:rPr>
                <w:rFonts w:asciiTheme="minorHAnsi" w:hAnsiTheme="minorHAnsi" w:cstheme="minorHAnsi"/>
                <w:color w:val="auto"/>
              </w:rPr>
              <w:t>each State and Territory’s</w:t>
            </w:r>
            <w:r w:rsidRPr="00B833D9">
              <w:rPr>
                <w:rFonts w:asciiTheme="minorHAnsi" w:hAnsiTheme="minorHAnsi" w:cstheme="minorHAnsi"/>
                <w:color w:val="auto"/>
              </w:rPr>
              <w:t xml:space="preserve"> total vaccine costs</w:t>
            </w:r>
            <w:r w:rsidR="009D33DD">
              <w:rPr>
                <w:rFonts w:asciiTheme="minorHAnsi" w:hAnsiTheme="minorHAnsi" w:cstheme="minorHAnsi"/>
                <w:color w:val="auto"/>
              </w:rPr>
              <w:t xml:space="preserve"> in the </w:t>
            </w:r>
            <w:r w:rsidR="006268E7">
              <w:rPr>
                <w:rFonts w:asciiTheme="minorHAnsi" w:hAnsiTheme="minorHAnsi" w:cstheme="minorHAnsi"/>
                <w:color w:val="auto"/>
              </w:rPr>
              <w:t>2023-24</w:t>
            </w:r>
            <w:r w:rsidR="00D72056">
              <w:rPr>
                <w:rFonts w:asciiTheme="minorHAnsi" w:hAnsiTheme="minorHAnsi" w:cstheme="minorHAnsi"/>
                <w:color w:val="auto"/>
              </w:rPr>
              <w:t xml:space="preserve"> financial year</w:t>
            </w:r>
            <w:r w:rsidRPr="00B833D9">
              <w:rPr>
                <w:rFonts w:asciiTheme="minorHAnsi" w:hAnsiTheme="minorHAnsi" w:cstheme="minorHAnsi"/>
                <w:color w:val="auto"/>
              </w:rPr>
              <w:t>.</w:t>
            </w:r>
          </w:p>
        </w:tc>
      </w:tr>
      <w:tr w:rsidR="00E85E22" w:rsidRPr="00B833D9" w14:paraId="02A510C6" w14:textId="77777777" w:rsidTr="000A3B21">
        <w:tc>
          <w:tcPr>
            <w:tcW w:w="2117" w:type="dxa"/>
            <w:tcBorders>
              <w:top w:val="single" w:sz="8" w:space="0" w:color="4F81BD"/>
              <w:left w:val="single" w:sz="8" w:space="0" w:color="4F81BD"/>
              <w:bottom w:val="single" w:sz="8" w:space="0" w:color="4F81BD"/>
              <w:right w:val="single" w:sz="8" w:space="0" w:color="4F81BD"/>
            </w:tcBorders>
          </w:tcPr>
          <w:p w14:paraId="3A1B159A" w14:textId="2E9C7108" w:rsidR="00E85E22" w:rsidRPr="00B833D9" w:rsidRDefault="00710D35" w:rsidP="00EA63BE">
            <w:pPr>
              <w:pStyle w:val="Milestonetable"/>
              <w:rPr>
                <w:rFonts w:asciiTheme="minorHAnsi" w:hAnsiTheme="minorHAnsi" w:cstheme="minorHAnsi"/>
                <w:color w:val="auto"/>
              </w:rPr>
            </w:pPr>
            <w:r w:rsidRPr="00B833D9">
              <w:rPr>
                <w:rFonts w:asciiTheme="minorHAnsi" w:hAnsiTheme="minorHAnsi" w:cstheme="minorHAnsi"/>
                <w:color w:val="auto"/>
                <w:szCs w:val="23"/>
              </w:rPr>
              <w:t>Maintained or increased</w:t>
            </w:r>
            <w:r w:rsidR="00E85E22" w:rsidRPr="00B833D9">
              <w:rPr>
                <w:rFonts w:asciiTheme="minorHAnsi" w:hAnsiTheme="minorHAnsi" w:cstheme="minorHAnsi"/>
                <w:color w:val="auto"/>
                <w:szCs w:val="23"/>
              </w:rPr>
              <w:t xml:space="preserve"> vaccination coverage rates in Aboriginal and Torres Strait Islander children.</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282CA3F3" w14:textId="52947E0D" w:rsidR="00135C3E" w:rsidRPr="00B833D9" w:rsidRDefault="00135C3E" w:rsidP="008C121A">
            <w:pPr>
              <w:pStyle w:val="Milestonetable"/>
              <w:rPr>
                <w:rFonts w:asciiTheme="minorHAnsi" w:hAnsiTheme="minorHAnsi" w:cstheme="minorHAnsi"/>
                <w:b/>
                <w:color w:val="auto"/>
              </w:rPr>
            </w:pPr>
            <w:r w:rsidRPr="00B833D9">
              <w:rPr>
                <w:rFonts w:asciiTheme="minorHAnsi" w:hAnsiTheme="minorHAnsi" w:cstheme="minorHAnsi"/>
                <w:b/>
                <w:color w:val="auto"/>
              </w:rPr>
              <w:t>BENCHMARK 2:</w:t>
            </w:r>
          </w:p>
          <w:p w14:paraId="7328EECE" w14:textId="133F6585" w:rsidR="00E85E22" w:rsidRPr="00B833D9" w:rsidRDefault="00710D35" w:rsidP="00AE229E">
            <w:pPr>
              <w:rPr>
                <w:rFonts w:cstheme="minorHAnsi"/>
                <w:sz w:val="20"/>
              </w:rPr>
            </w:pPr>
            <w:r w:rsidRPr="00B833D9">
              <w:rPr>
                <w:rFonts w:cstheme="minorHAnsi"/>
                <w:sz w:val="20"/>
              </w:rPr>
              <w:t>Maintained or increased</w:t>
            </w:r>
            <w:r w:rsidR="00E85E22" w:rsidRPr="00B833D9">
              <w:rPr>
                <w:rFonts w:cstheme="minorHAnsi"/>
                <w:sz w:val="20"/>
              </w:rPr>
              <w:t xml:space="preserve"> vaccination coverage rates for Aboriginal and Torres Strait Islander children</w:t>
            </w:r>
            <w:r w:rsidR="00E85E22" w:rsidRPr="00B833D9">
              <w:rPr>
                <w:rFonts w:cstheme="minorHAnsi"/>
                <w:b/>
                <w:sz w:val="20"/>
              </w:rPr>
              <w:t xml:space="preserve"> </w:t>
            </w:r>
            <w:r w:rsidR="00E85E22" w:rsidRPr="00B833D9">
              <w:rPr>
                <w:rFonts w:cstheme="minorHAnsi"/>
                <w:sz w:val="20"/>
              </w:rPr>
              <w:t xml:space="preserve">in two of the following three cohorts relative to the baseline: </w:t>
            </w:r>
          </w:p>
          <w:p w14:paraId="045E3BA4" w14:textId="7509D118" w:rsidR="00E85E22" w:rsidRPr="00B833D9" w:rsidRDefault="00710D35" w:rsidP="00AE229E">
            <w:pPr>
              <w:pStyle w:val="ListParagraph"/>
              <w:widowControl/>
              <w:numPr>
                <w:ilvl w:val="0"/>
                <w:numId w:val="6"/>
              </w:numPr>
              <w:rPr>
                <w:rFonts w:cstheme="minorHAnsi"/>
                <w:sz w:val="20"/>
                <w:szCs w:val="20"/>
              </w:rPr>
            </w:pPr>
            <w:r w:rsidRPr="00B833D9">
              <w:rPr>
                <w:rFonts w:cstheme="minorHAnsi"/>
                <w:sz w:val="20"/>
                <w:szCs w:val="20"/>
              </w:rPr>
              <w:t xml:space="preserve">12 </w:t>
            </w:r>
            <w:r w:rsidR="00E85E22" w:rsidRPr="00B833D9">
              <w:rPr>
                <w:rFonts w:cstheme="minorHAnsi"/>
                <w:sz w:val="20"/>
                <w:szCs w:val="20"/>
              </w:rPr>
              <w:t>≤ 15 month olds</w:t>
            </w:r>
          </w:p>
          <w:p w14:paraId="2E22BE26" w14:textId="065B7FAB" w:rsidR="00E85E22" w:rsidRPr="00B833D9" w:rsidRDefault="00710D35" w:rsidP="00AE229E">
            <w:pPr>
              <w:pStyle w:val="ListParagraph"/>
              <w:widowControl/>
              <w:numPr>
                <w:ilvl w:val="0"/>
                <w:numId w:val="6"/>
              </w:numPr>
              <w:rPr>
                <w:rFonts w:cstheme="minorHAnsi"/>
                <w:sz w:val="20"/>
                <w:szCs w:val="20"/>
              </w:rPr>
            </w:pPr>
            <w:r w:rsidRPr="00B833D9">
              <w:rPr>
                <w:rFonts w:cstheme="minorHAnsi"/>
                <w:sz w:val="20"/>
                <w:szCs w:val="20"/>
              </w:rPr>
              <w:t>24</w:t>
            </w:r>
            <w:r w:rsidR="00E85E22" w:rsidRPr="00B833D9">
              <w:rPr>
                <w:rFonts w:cstheme="minorHAnsi"/>
                <w:sz w:val="20"/>
                <w:szCs w:val="20"/>
              </w:rPr>
              <w:t xml:space="preserve"> ≤ 27 month olds</w:t>
            </w:r>
          </w:p>
          <w:p w14:paraId="3C188FFC" w14:textId="13A7A2E5" w:rsidR="00E85E22" w:rsidRPr="00B833D9" w:rsidRDefault="00710D35" w:rsidP="00AE229E">
            <w:pPr>
              <w:pStyle w:val="Normalnumbered"/>
              <w:numPr>
                <w:ilvl w:val="0"/>
                <w:numId w:val="6"/>
              </w:numPr>
              <w:jc w:val="left"/>
              <w:rPr>
                <w:rFonts w:asciiTheme="minorHAnsi" w:hAnsiTheme="minorHAnsi" w:cstheme="minorHAnsi"/>
                <w:color w:val="auto"/>
                <w:sz w:val="20"/>
              </w:rPr>
            </w:pPr>
            <w:r w:rsidRPr="00B833D9">
              <w:rPr>
                <w:rFonts w:asciiTheme="minorHAnsi" w:hAnsiTheme="minorHAnsi" w:cstheme="minorHAnsi"/>
                <w:color w:val="auto"/>
                <w:sz w:val="20"/>
              </w:rPr>
              <w:t xml:space="preserve">60 </w:t>
            </w:r>
            <w:r w:rsidR="00E85E22" w:rsidRPr="00B833D9">
              <w:rPr>
                <w:rFonts w:asciiTheme="minorHAnsi" w:hAnsiTheme="minorHAnsi" w:cstheme="minorHAnsi"/>
                <w:color w:val="auto"/>
                <w:sz w:val="20"/>
              </w:rPr>
              <w:t>≤ 63 month olds.</w:t>
            </w:r>
          </w:p>
        </w:tc>
        <w:tc>
          <w:tcPr>
            <w:tcW w:w="4110" w:type="dxa"/>
            <w:tcBorders>
              <w:top w:val="single" w:sz="8" w:space="0" w:color="4F81BD"/>
              <w:left w:val="single" w:sz="8" w:space="0" w:color="4F81BD"/>
              <w:bottom w:val="single" w:sz="8" w:space="0" w:color="4F81BD"/>
              <w:right w:val="single" w:sz="8" w:space="0" w:color="4F81BD"/>
            </w:tcBorders>
          </w:tcPr>
          <w:p w14:paraId="67389AD4" w14:textId="3D1F8858" w:rsidR="004C64B7" w:rsidRPr="00B833D9" w:rsidRDefault="004C64B7" w:rsidP="004C64B7">
            <w:pPr>
              <w:rPr>
                <w:rFonts w:cstheme="minorHAnsi"/>
                <w:sz w:val="20"/>
                <w:szCs w:val="20"/>
              </w:rPr>
            </w:pPr>
            <w:r w:rsidRPr="00B833D9">
              <w:rPr>
                <w:rFonts w:cstheme="minorHAnsi"/>
                <w:sz w:val="20"/>
                <w:szCs w:val="20"/>
              </w:rPr>
              <w:t xml:space="preserve">•  The numerator is the number of Aboriginal and Torres Strait Islander children </w:t>
            </w:r>
            <w:r w:rsidR="00F87E61" w:rsidRPr="00B833D9">
              <w:rPr>
                <w:rFonts w:cstheme="minorHAnsi"/>
                <w:sz w:val="20"/>
                <w:szCs w:val="20"/>
              </w:rPr>
              <w:t xml:space="preserve">enrolled in Medicare </w:t>
            </w:r>
            <w:r w:rsidR="00827C57" w:rsidRPr="00B833D9">
              <w:rPr>
                <w:rFonts w:cstheme="minorHAnsi"/>
                <w:sz w:val="20"/>
                <w:szCs w:val="20"/>
              </w:rPr>
              <w:t>reported as fully immunised as defined by the AIR</w:t>
            </w:r>
            <w:r w:rsidRPr="00B833D9">
              <w:rPr>
                <w:rFonts w:cstheme="minorHAnsi"/>
                <w:sz w:val="20"/>
                <w:szCs w:val="20"/>
              </w:rPr>
              <w:t>, aged 12 ≤ 15 months, 24 ≤ 27 months and 60 ≤ 63 months.</w:t>
            </w:r>
          </w:p>
          <w:p w14:paraId="0198B43A" w14:textId="6D3A65B7" w:rsidR="004C64B7" w:rsidRPr="00B833D9" w:rsidRDefault="004C64B7" w:rsidP="004C64B7">
            <w:pPr>
              <w:rPr>
                <w:rFonts w:cstheme="minorHAnsi"/>
                <w:sz w:val="20"/>
                <w:szCs w:val="20"/>
              </w:rPr>
            </w:pPr>
            <w:r w:rsidRPr="00B833D9">
              <w:rPr>
                <w:rFonts w:cstheme="minorHAnsi"/>
                <w:sz w:val="20"/>
                <w:szCs w:val="20"/>
              </w:rPr>
              <w:t xml:space="preserve">•  The denominator is the number of Aboriginal and Torres Strait Islander children </w:t>
            </w:r>
            <w:r w:rsidR="00F87E61" w:rsidRPr="00B833D9">
              <w:rPr>
                <w:rFonts w:cstheme="minorHAnsi"/>
                <w:sz w:val="20"/>
                <w:szCs w:val="20"/>
              </w:rPr>
              <w:t xml:space="preserve">enrolled in Medicare and </w:t>
            </w:r>
            <w:r w:rsidRPr="00B833D9">
              <w:rPr>
                <w:rFonts w:cstheme="minorHAnsi"/>
                <w:sz w:val="20"/>
                <w:szCs w:val="20"/>
              </w:rPr>
              <w:t xml:space="preserve">registered in the Australian Immunisation Register aged 12 ≤ 15 months, 24 ≤ 27 months and 60 ≤ 63 months. </w:t>
            </w:r>
          </w:p>
          <w:p w14:paraId="5A46B630" w14:textId="77777777" w:rsidR="004C64B7" w:rsidRPr="00B833D9" w:rsidRDefault="004C64B7" w:rsidP="00BC7268">
            <w:pPr>
              <w:rPr>
                <w:rFonts w:cstheme="minorHAnsi"/>
                <w:sz w:val="20"/>
                <w:szCs w:val="20"/>
              </w:rPr>
            </w:pPr>
            <w:r w:rsidRPr="00B833D9">
              <w:rPr>
                <w:rFonts w:cstheme="minorHAnsi"/>
                <w:sz w:val="20"/>
                <w:szCs w:val="20"/>
              </w:rPr>
              <w:t>•  Calculation is 100 x (Numerator÷ Denominator) calculated for each age cohort.</w:t>
            </w:r>
          </w:p>
          <w:p w14:paraId="65C83437" w14:textId="39613913" w:rsidR="004C64B7" w:rsidRPr="00B833D9" w:rsidRDefault="004C64B7" w:rsidP="00D607CF">
            <w:pPr>
              <w:rPr>
                <w:rFonts w:cstheme="minorHAnsi"/>
                <w:sz w:val="20"/>
                <w:szCs w:val="20"/>
              </w:rPr>
            </w:pPr>
            <w:r w:rsidRPr="00B833D9">
              <w:rPr>
                <w:rFonts w:cstheme="minorHAnsi"/>
                <w:sz w:val="20"/>
                <w:szCs w:val="20"/>
              </w:rPr>
              <w:t xml:space="preserve">•  The current </w:t>
            </w:r>
            <w:r w:rsidR="00096EBC">
              <w:rPr>
                <w:rFonts w:cstheme="minorHAnsi"/>
                <w:sz w:val="20"/>
                <w:szCs w:val="20"/>
              </w:rPr>
              <w:t>reference period’s</w:t>
            </w:r>
            <w:r w:rsidRPr="00B833D9">
              <w:rPr>
                <w:rFonts w:cstheme="minorHAnsi"/>
                <w:sz w:val="20"/>
                <w:szCs w:val="20"/>
              </w:rPr>
              <w:t xml:space="preserve"> coverage</w:t>
            </w:r>
            <w:r w:rsidR="00710D35" w:rsidRPr="00B833D9">
              <w:rPr>
                <w:rFonts w:cstheme="minorHAnsi"/>
                <w:sz w:val="20"/>
                <w:szCs w:val="20"/>
              </w:rPr>
              <w:t xml:space="preserve"> rate</w:t>
            </w:r>
            <w:r w:rsidRPr="00B833D9">
              <w:rPr>
                <w:rFonts w:cstheme="minorHAnsi"/>
                <w:sz w:val="20"/>
                <w:szCs w:val="20"/>
              </w:rPr>
              <w:t xml:space="preserve"> </w:t>
            </w:r>
            <w:r w:rsidR="00710D35" w:rsidRPr="00B833D9">
              <w:rPr>
                <w:rFonts w:cstheme="minorHAnsi"/>
                <w:sz w:val="20"/>
                <w:szCs w:val="20"/>
              </w:rPr>
              <w:t>will be</w:t>
            </w:r>
            <w:r w:rsidRPr="00B833D9">
              <w:rPr>
                <w:rFonts w:cstheme="minorHAnsi"/>
                <w:sz w:val="20"/>
                <w:szCs w:val="20"/>
              </w:rPr>
              <w:t xml:space="preserve"> compared to a baseline which is the lowest coverage rate from the previous three </w:t>
            </w:r>
            <w:r w:rsidR="00096EBC">
              <w:rPr>
                <w:rFonts w:cstheme="minorHAnsi"/>
                <w:sz w:val="20"/>
                <w:szCs w:val="20"/>
              </w:rPr>
              <w:t>reference periods</w:t>
            </w:r>
            <w:r w:rsidRPr="00B833D9">
              <w:rPr>
                <w:rFonts w:cstheme="minorHAnsi"/>
                <w:sz w:val="20"/>
                <w:szCs w:val="20"/>
              </w:rPr>
              <w:t>.</w:t>
            </w:r>
          </w:p>
          <w:p w14:paraId="4C88130C" w14:textId="77777777" w:rsidR="004C64B7" w:rsidRPr="00B833D9" w:rsidRDefault="004C64B7">
            <w:pPr>
              <w:rPr>
                <w:rFonts w:cstheme="minorHAnsi"/>
                <w:sz w:val="20"/>
                <w:szCs w:val="20"/>
              </w:rPr>
            </w:pPr>
            <w:r w:rsidRPr="00B833D9">
              <w:rPr>
                <w:rFonts w:cstheme="minorHAnsi"/>
                <w:sz w:val="20"/>
                <w:szCs w:val="20"/>
              </w:rPr>
              <w:t>•  For the purposes of this benchmark, an increase is required in two of the following three cohorts: 12 ≤ 15 months, 24 ≤ 27 months and 60 ≤ 63 months.</w:t>
            </w:r>
          </w:p>
          <w:p w14:paraId="2269C8AA" w14:textId="77777777" w:rsidR="00710D35" w:rsidRPr="00B833D9" w:rsidRDefault="00710D35">
            <w:pPr>
              <w:rPr>
                <w:rFonts w:cstheme="minorHAnsi"/>
                <w:sz w:val="20"/>
                <w:szCs w:val="20"/>
              </w:rPr>
            </w:pPr>
            <w:r w:rsidRPr="00B833D9">
              <w:rPr>
                <w:rFonts w:cstheme="minorHAnsi"/>
                <w:sz w:val="20"/>
                <w:szCs w:val="20"/>
              </w:rPr>
              <w:t>•  Should the definition of fully immunised change, the baseline will be reset following an independent review by an external body.</w:t>
            </w:r>
          </w:p>
          <w:p w14:paraId="3DD31054" w14:textId="12F70772" w:rsidR="00E85E22" w:rsidRPr="00B833D9" w:rsidRDefault="004C64B7" w:rsidP="000F71CD">
            <w:pPr>
              <w:rPr>
                <w:rFonts w:cstheme="minorHAnsi"/>
              </w:rPr>
            </w:pPr>
            <w:r w:rsidRPr="00B833D9">
              <w:rPr>
                <w:rFonts w:cstheme="minorHAnsi"/>
                <w:sz w:val="20"/>
                <w:szCs w:val="20"/>
              </w:rPr>
              <w:t xml:space="preserve">•  Where a State </w:t>
            </w:r>
            <w:r w:rsidR="003E1830" w:rsidRPr="00B833D9">
              <w:rPr>
                <w:rFonts w:cstheme="minorHAnsi"/>
                <w:sz w:val="20"/>
                <w:szCs w:val="20"/>
              </w:rPr>
              <w:t xml:space="preserve">or Territory </w:t>
            </w:r>
            <w:r w:rsidRPr="00B833D9">
              <w:rPr>
                <w:rFonts w:cstheme="minorHAnsi"/>
                <w:sz w:val="20"/>
                <w:szCs w:val="20"/>
              </w:rPr>
              <w:t>has reached 95 per cent coverage</w:t>
            </w:r>
            <w:r w:rsidR="00710D35" w:rsidRPr="00B833D9">
              <w:rPr>
                <w:rFonts w:cstheme="minorHAnsi"/>
                <w:sz w:val="20"/>
                <w:szCs w:val="20"/>
              </w:rPr>
              <w:t xml:space="preserve"> or above</w:t>
            </w:r>
            <w:r w:rsidRPr="00B833D9">
              <w:rPr>
                <w:rFonts w:cstheme="minorHAnsi"/>
                <w:sz w:val="20"/>
                <w:szCs w:val="20"/>
              </w:rPr>
              <w:t>, they will only be require</w:t>
            </w:r>
            <w:r w:rsidR="00710D35" w:rsidRPr="00B833D9">
              <w:rPr>
                <w:rFonts w:cstheme="minorHAnsi"/>
                <w:sz w:val="20"/>
                <w:szCs w:val="20"/>
              </w:rPr>
              <w:t>d to maintain coverage rates at</w:t>
            </w:r>
            <w:r w:rsidRPr="00B833D9">
              <w:rPr>
                <w:rFonts w:cstheme="minorHAnsi"/>
                <w:sz w:val="20"/>
                <w:szCs w:val="20"/>
              </w:rPr>
              <w:t xml:space="preserve"> 95 per cent.</w:t>
            </w:r>
            <w:r w:rsidR="003D59EF" w:rsidRPr="00B833D9" w:rsidDel="003D59EF">
              <w:rPr>
                <w:rFonts w:cstheme="minorHAnsi"/>
              </w:rPr>
              <w:t xml:space="preserve"> </w:t>
            </w:r>
          </w:p>
        </w:tc>
        <w:tc>
          <w:tcPr>
            <w:tcW w:w="3119" w:type="dxa"/>
            <w:tcBorders>
              <w:top w:val="single" w:sz="8" w:space="0" w:color="4F81BD"/>
              <w:left w:val="single" w:sz="8" w:space="0" w:color="4F81BD"/>
              <w:bottom w:val="single" w:sz="8" w:space="0" w:color="4F81BD"/>
              <w:right w:val="single" w:sz="8" w:space="0" w:color="4F81BD"/>
            </w:tcBorders>
            <w:shd w:val="clear" w:color="auto" w:fill="auto"/>
          </w:tcPr>
          <w:p w14:paraId="4572DD43" w14:textId="5308FF10" w:rsidR="00710D35" w:rsidRPr="00B833D9" w:rsidRDefault="006268E7" w:rsidP="00710D35">
            <w:pPr>
              <w:pStyle w:val="CommentText"/>
              <w:rPr>
                <w:rFonts w:cstheme="minorHAnsi"/>
                <w:b/>
              </w:rPr>
            </w:pPr>
            <w:r>
              <w:rPr>
                <w:rFonts w:cstheme="minorHAnsi"/>
                <w:b/>
              </w:rPr>
              <w:t>2024-25</w:t>
            </w:r>
            <w:r w:rsidR="00543CC9" w:rsidRPr="00B833D9">
              <w:rPr>
                <w:rFonts w:cstheme="minorHAnsi"/>
                <w:b/>
              </w:rPr>
              <w:t xml:space="preserve"> (Year </w:t>
            </w:r>
            <w:r>
              <w:rPr>
                <w:rFonts w:cstheme="minorHAnsi"/>
                <w:b/>
              </w:rPr>
              <w:t>8</w:t>
            </w:r>
            <w:r w:rsidR="00543CC9" w:rsidRPr="00B833D9">
              <w:rPr>
                <w:rFonts w:cstheme="minorHAnsi"/>
                <w:b/>
              </w:rPr>
              <w:t>)</w:t>
            </w:r>
          </w:p>
          <w:p w14:paraId="629F2DEE" w14:textId="48D603EE" w:rsidR="00710D35" w:rsidRPr="00B833D9" w:rsidRDefault="00710D35" w:rsidP="00710D35">
            <w:pPr>
              <w:pStyle w:val="Milestonetable"/>
              <w:numPr>
                <w:ilvl w:val="0"/>
                <w:numId w:val="40"/>
              </w:numPr>
              <w:ind w:left="317" w:hanging="218"/>
              <w:rPr>
                <w:rFonts w:asciiTheme="minorHAnsi" w:hAnsiTheme="minorHAnsi" w:cstheme="minorHAnsi"/>
                <w:color w:val="auto"/>
              </w:rPr>
            </w:pPr>
            <w:r w:rsidRPr="00B833D9">
              <w:rPr>
                <w:rFonts w:asciiTheme="minorHAnsi" w:hAnsiTheme="minorHAnsi" w:cstheme="minorHAnsi"/>
                <w:color w:val="auto"/>
              </w:rPr>
              <w:t>1 April 202</w:t>
            </w:r>
            <w:r w:rsidR="006268E7">
              <w:rPr>
                <w:rFonts w:asciiTheme="minorHAnsi" w:hAnsiTheme="minorHAnsi" w:cstheme="minorHAnsi"/>
                <w:color w:val="auto"/>
              </w:rPr>
              <w:t>4</w:t>
            </w:r>
            <w:r w:rsidRPr="00B833D9">
              <w:rPr>
                <w:rFonts w:asciiTheme="minorHAnsi" w:hAnsiTheme="minorHAnsi" w:cstheme="minorHAnsi"/>
                <w:color w:val="auto"/>
              </w:rPr>
              <w:t xml:space="preserve"> – 31 March 202</w:t>
            </w:r>
            <w:r w:rsidR="006268E7">
              <w:rPr>
                <w:rFonts w:asciiTheme="minorHAnsi" w:hAnsiTheme="minorHAnsi" w:cstheme="minorHAnsi"/>
                <w:color w:val="auto"/>
              </w:rPr>
              <w:t>5</w:t>
            </w:r>
            <w:r w:rsidRPr="00B833D9">
              <w:rPr>
                <w:rFonts w:asciiTheme="minorHAnsi" w:hAnsiTheme="minorHAnsi" w:cstheme="minorHAnsi"/>
                <w:color w:val="auto"/>
              </w:rPr>
              <w:t xml:space="preserve">: </w:t>
            </w:r>
            <w:r w:rsidR="00096EBC">
              <w:rPr>
                <w:rFonts w:asciiTheme="minorHAnsi" w:hAnsiTheme="minorHAnsi" w:cstheme="minorHAnsi"/>
                <w:color w:val="auto"/>
              </w:rPr>
              <w:t>Current r</w:t>
            </w:r>
            <w:r w:rsidRPr="00B833D9">
              <w:rPr>
                <w:rFonts w:asciiTheme="minorHAnsi" w:hAnsiTheme="minorHAnsi" w:cstheme="minorHAnsi"/>
                <w:color w:val="auto"/>
              </w:rPr>
              <w:t xml:space="preserve">eference period </w:t>
            </w:r>
            <w:proofErr w:type="gramStart"/>
            <w:r w:rsidRPr="00B833D9">
              <w:rPr>
                <w:rFonts w:asciiTheme="minorHAnsi" w:hAnsiTheme="minorHAnsi" w:cstheme="minorHAnsi"/>
                <w:color w:val="auto"/>
              </w:rPr>
              <w:t>assessed</w:t>
            </w:r>
            <w:proofErr w:type="gramEnd"/>
          </w:p>
          <w:p w14:paraId="0FB1E519" w14:textId="55618BDD" w:rsidR="00710D35" w:rsidRPr="00B833D9" w:rsidRDefault="00710D35" w:rsidP="00710D35">
            <w:pPr>
              <w:pStyle w:val="Milestonetable"/>
              <w:numPr>
                <w:ilvl w:val="0"/>
                <w:numId w:val="40"/>
              </w:numPr>
              <w:ind w:left="317" w:hanging="218"/>
              <w:rPr>
                <w:rFonts w:asciiTheme="minorHAnsi" w:hAnsiTheme="minorHAnsi" w:cstheme="minorHAnsi"/>
                <w:color w:val="auto"/>
              </w:rPr>
            </w:pPr>
            <w:r w:rsidRPr="00B833D9">
              <w:rPr>
                <w:rFonts w:asciiTheme="minorHAnsi" w:hAnsiTheme="minorHAnsi" w:cstheme="minorHAnsi"/>
                <w:color w:val="auto"/>
              </w:rPr>
              <w:t xml:space="preserve">By </w:t>
            </w:r>
            <w:r w:rsidR="003F3A76" w:rsidRPr="00B833D9">
              <w:rPr>
                <w:rFonts w:asciiTheme="minorHAnsi" w:hAnsiTheme="minorHAnsi" w:cstheme="minorHAnsi"/>
                <w:color w:val="auto"/>
              </w:rPr>
              <w:t>30 September</w:t>
            </w:r>
            <w:r w:rsidRPr="00B833D9">
              <w:rPr>
                <w:rFonts w:asciiTheme="minorHAnsi" w:hAnsiTheme="minorHAnsi" w:cstheme="minorHAnsi"/>
                <w:color w:val="auto"/>
              </w:rPr>
              <w:t xml:space="preserve"> 202</w:t>
            </w:r>
            <w:r w:rsidR="006268E7">
              <w:rPr>
                <w:rFonts w:asciiTheme="minorHAnsi" w:hAnsiTheme="minorHAnsi" w:cstheme="minorHAnsi"/>
                <w:color w:val="auto"/>
              </w:rPr>
              <w:t>5</w:t>
            </w:r>
            <w:r w:rsidRPr="00B833D9">
              <w:rPr>
                <w:rFonts w:asciiTheme="minorHAnsi" w:hAnsiTheme="minorHAnsi" w:cstheme="minorHAnsi"/>
                <w:color w:val="auto"/>
              </w:rPr>
              <w:t xml:space="preserve">: Assessment outcomes </w:t>
            </w:r>
            <w:proofErr w:type="gramStart"/>
            <w:r w:rsidRPr="00B833D9">
              <w:rPr>
                <w:rFonts w:asciiTheme="minorHAnsi" w:hAnsiTheme="minorHAnsi" w:cstheme="minorHAnsi"/>
                <w:color w:val="auto"/>
              </w:rPr>
              <w:t>notified</w:t>
            </w:r>
            <w:proofErr w:type="gramEnd"/>
            <w:r w:rsidRPr="00B833D9">
              <w:rPr>
                <w:rFonts w:asciiTheme="minorHAnsi" w:hAnsiTheme="minorHAnsi" w:cstheme="minorHAnsi"/>
                <w:color w:val="auto"/>
              </w:rPr>
              <w:t xml:space="preserve"> </w:t>
            </w:r>
          </w:p>
          <w:p w14:paraId="36AE9732" w14:textId="1A3F854A" w:rsidR="00710D35" w:rsidRPr="00B833D9" w:rsidRDefault="00710D35" w:rsidP="00710D35">
            <w:pPr>
              <w:pStyle w:val="Milestonetable"/>
              <w:numPr>
                <w:ilvl w:val="0"/>
                <w:numId w:val="40"/>
              </w:numPr>
              <w:ind w:left="317" w:hanging="218"/>
              <w:rPr>
                <w:rFonts w:asciiTheme="minorHAnsi" w:hAnsiTheme="minorHAnsi" w:cstheme="minorHAnsi"/>
                <w:color w:val="auto"/>
              </w:rPr>
            </w:pPr>
            <w:r w:rsidRPr="00B833D9">
              <w:rPr>
                <w:rFonts w:asciiTheme="minorHAnsi" w:hAnsiTheme="minorHAnsi" w:cstheme="minorHAnsi"/>
                <w:color w:val="auto"/>
              </w:rPr>
              <w:t xml:space="preserve">By </w:t>
            </w:r>
            <w:r w:rsidR="003F3A76" w:rsidRPr="00B833D9">
              <w:rPr>
                <w:rFonts w:asciiTheme="minorHAnsi" w:hAnsiTheme="minorHAnsi" w:cstheme="minorHAnsi"/>
                <w:color w:val="auto"/>
              </w:rPr>
              <w:t>31 December 202</w:t>
            </w:r>
            <w:r w:rsidR="006268E7">
              <w:rPr>
                <w:rFonts w:asciiTheme="minorHAnsi" w:hAnsiTheme="minorHAnsi" w:cstheme="minorHAnsi"/>
                <w:color w:val="auto"/>
              </w:rPr>
              <w:t>5</w:t>
            </w:r>
            <w:r w:rsidRPr="00B833D9">
              <w:rPr>
                <w:rFonts w:asciiTheme="minorHAnsi" w:hAnsiTheme="minorHAnsi" w:cstheme="minorHAnsi"/>
                <w:color w:val="auto"/>
              </w:rPr>
              <w:t xml:space="preserve">: </w:t>
            </w:r>
            <w:r w:rsidR="00813356" w:rsidRPr="00B833D9">
              <w:rPr>
                <w:rFonts w:asciiTheme="minorHAnsi" w:hAnsiTheme="minorHAnsi" w:cstheme="minorHAnsi"/>
                <w:color w:val="auto"/>
              </w:rPr>
              <w:t>A</w:t>
            </w:r>
            <w:r w:rsidRPr="00B833D9">
              <w:rPr>
                <w:rFonts w:asciiTheme="minorHAnsi" w:hAnsiTheme="minorHAnsi" w:cstheme="minorHAnsi"/>
                <w:color w:val="auto"/>
              </w:rPr>
              <w:t xml:space="preserve">ssessment report </w:t>
            </w:r>
            <w:proofErr w:type="gramStart"/>
            <w:r w:rsidRPr="00B833D9">
              <w:rPr>
                <w:rFonts w:asciiTheme="minorHAnsi" w:hAnsiTheme="minorHAnsi" w:cstheme="minorHAnsi"/>
                <w:color w:val="auto"/>
              </w:rPr>
              <w:t>published</w:t>
            </w:r>
            <w:proofErr w:type="gramEnd"/>
          </w:p>
          <w:p w14:paraId="155884A0" w14:textId="3A6D364B" w:rsidR="00E85E22" w:rsidRPr="00B833D9" w:rsidRDefault="00E85E22" w:rsidP="00F77A92">
            <w:pPr>
              <w:pStyle w:val="Milestonetable"/>
              <w:rPr>
                <w:rFonts w:asciiTheme="minorHAnsi" w:hAnsiTheme="minorHAnsi" w:cstheme="minorHAnsi"/>
                <w:color w:val="FF0000"/>
              </w:rPr>
            </w:pPr>
          </w:p>
        </w:tc>
        <w:tc>
          <w:tcPr>
            <w:tcW w:w="2226" w:type="dxa"/>
            <w:tcBorders>
              <w:top w:val="single" w:sz="8" w:space="0" w:color="4F81BD"/>
              <w:left w:val="single" w:sz="8" w:space="0" w:color="4F81BD"/>
              <w:bottom w:val="single" w:sz="8" w:space="0" w:color="4F81BD"/>
              <w:right w:val="single" w:sz="8" w:space="0" w:color="4F81BD"/>
            </w:tcBorders>
            <w:shd w:val="clear" w:color="auto" w:fill="auto"/>
          </w:tcPr>
          <w:p w14:paraId="7FE4ABF0" w14:textId="11E91FDB" w:rsidR="00E85E22" w:rsidRPr="00B833D9" w:rsidRDefault="00E85E22" w:rsidP="00F7743F">
            <w:pPr>
              <w:pStyle w:val="Milestonetable"/>
              <w:rPr>
                <w:rFonts w:asciiTheme="minorHAnsi" w:hAnsiTheme="minorHAnsi" w:cstheme="minorHAnsi"/>
                <w:color w:val="auto"/>
              </w:rPr>
            </w:pPr>
            <w:r w:rsidRPr="00B833D9">
              <w:rPr>
                <w:rFonts w:asciiTheme="minorHAnsi" w:hAnsiTheme="minorHAnsi" w:cstheme="minorHAnsi"/>
                <w:color w:val="auto"/>
              </w:rPr>
              <w:t xml:space="preserve">0.75% of the funded 4.5% of </w:t>
            </w:r>
            <w:r w:rsidR="00710D35" w:rsidRPr="00B833D9">
              <w:rPr>
                <w:rFonts w:asciiTheme="minorHAnsi" w:hAnsiTheme="minorHAnsi" w:cstheme="minorHAnsi"/>
                <w:color w:val="auto"/>
              </w:rPr>
              <w:t>each State and Territory’s</w:t>
            </w:r>
            <w:r w:rsidRPr="00B833D9">
              <w:rPr>
                <w:rFonts w:asciiTheme="minorHAnsi" w:hAnsiTheme="minorHAnsi" w:cstheme="minorHAnsi"/>
                <w:color w:val="auto"/>
              </w:rPr>
              <w:t xml:space="preserve"> total vaccine costs</w:t>
            </w:r>
            <w:r w:rsidR="009D33DD">
              <w:rPr>
                <w:rFonts w:asciiTheme="minorHAnsi" w:hAnsiTheme="minorHAnsi" w:cstheme="minorHAnsi"/>
                <w:color w:val="auto"/>
              </w:rPr>
              <w:t xml:space="preserve"> in the </w:t>
            </w:r>
            <w:r w:rsidR="006268E7">
              <w:rPr>
                <w:rFonts w:asciiTheme="minorHAnsi" w:hAnsiTheme="minorHAnsi" w:cstheme="minorHAnsi"/>
                <w:color w:val="auto"/>
              </w:rPr>
              <w:t>2023-24</w:t>
            </w:r>
            <w:r w:rsidR="00D72056">
              <w:rPr>
                <w:rFonts w:asciiTheme="minorHAnsi" w:hAnsiTheme="minorHAnsi" w:cstheme="minorHAnsi"/>
                <w:color w:val="auto"/>
              </w:rPr>
              <w:t xml:space="preserve"> financial year</w:t>
            </w:r>
            <w:r w:rsidRPr="00B833D9">
              <w:rPr>
                <w:rFonts w:asciiTheme="minorHAnsi" w:hAnsiTheme="minorHAnsi" w:cstheme="minorHAnsi"/>
                <w:color w:val="auto"/>
              </w:rPr>
              <w:t>.</w:t>
            </w:r>
          </w:p>
        </w:tc>
      </w:tr>
      <w:tr w:rsidR="00E85E22" w:rsidRPr="00B833D9" w14:paraId="31168209" w14:textId="77777777" w:rsidTr="000A3B21">
        <w:tc>
          <w:tcPr>
            <w:tcW w:w="2117" w:type="dxa"/>
            <w:tcBorders>
              <w:top w:val="single" w:sz="8" w:space="0" w:color="4F81BD"/>
              <w:left w:val="single" w:sz="8" w:space="0" w:color="4F81BD"/>
              <w:bottom w:val="single" w:sz="8" w:space="0" w:color="4F81BD"/>
              <w:right w:val="single" w:sz="8" w:space="0" w:color="4F81BD"/>
            </w:tcBorders>
          </w:tcPr>
          <w:p w14:paraId="118135B4" w14:textId="09E45140" w:rsidR="00E85E22" w:rsidRPr="00B833D9" w:rsidRDefault="00E85E22" w:rsidP="00EA63BE">
            <w:pPr>
              <w:pStyle w:val="Milestonetable"/>
              <w:rPr>
                <w:rFonts w:asciiTheme="minorHAnsi" w:hAnsiTheme="minorHAnsi" w:cstheme="minorHAnsi"/>
                <w:color w:val="auto"/>
              </w:rPr>
            </w:pPr>
            <w:r w:rsidRPr="00B833D9">
              <w:rPr>
                <w:rFonts w:asciiTheme="minorHAnsi" w:hAnsiTheme="minorHAnsi" w:cstheme="minorHAnsi"/>
                <w:color w:val="auto"/>
                <w:szCs w:val="23"/>
              </w:rPr>
              <w:t>Increased HPV coverage rates for adolescents.</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323D7695" w14:textId="4B463DC0" w:rsidR="00135C3E" w:rsidRPr="00B833D9" w:rsidRDefault="00135C3E" w:rsidP="00D05557">
            <w:pPr>
              <w:pStyle w:val="Milestonetable"/>
              <w:rPr>
                <w:rFonts w:asciiTheme="minorHAnsi" w:hAnsiTheme="minorHAnsi" w:cstheme="minorHAnsi"/>
                <w:b/>
                <w:color w:val="auto"/>
              </w:rPr>
            </w:pPr>
            <w:r w:rsidRPr="00B833D9">
              <w:rPr>
                <w:rFonts w:asciiTheme="minorHAnsi" w:hAnsiTheme="minorHAnsi" w:cstheme="minorHAnsi"/>
                <w:b/>
                <w:color w:val="auto"/>
              </w:rPr>
              <w:t>BENCHMARK 3:</w:t>
            </w:r>
          </w:p>
          <w:p w14:paraId="24F5EF98" w14:textId="78F4EA39" w:rsidR="00E85E22" w:rsidRPr="00B833D9" w:rsidRDefault="00E85E22" w:rsidP="00D05557">
            <w:pPr>
              <w:pStyle w:val="Milestonetable"/>
              <w:rPr>
                <w:rFonts w:asciiTheme="minorHAnsi" w:hAnsiTheme="minorHAnsi" w:cstheme="minorHAnsi"/>
                <w:color w:val="auto"/>
              </w:rPr>
            </w:pPr>
            <w:r w:rsidRPr="00B833D9">
              <w:rPr>
                <w:rFonts w:asciiTheme="minorHAnsi" w:hAnsiTheme="minorHAnsi" w:cstheme="minorHAnsi"/>
                <w:color w:val="auto"/>
              </w:rPr>
              <w:t>An increase in the vaccination coverage rate for both adolescent boys and adolescent girls</w:t>
            </w:r>
            <w:r w:rsidR="007805D7">
              <w:rPr>
                <w:rFonts w:asciiTheme="minorHAnsi" w:hAnsiTheme="minorHAnsi" w:cstheme="minorHAnsi"/>
                <w:color w:val="auto"/>
              </w:rPr>
              <w:t xml:space="preserve"> aged 15 years</w:t>
            </w:r>
            <w:r w:rsidRPr="00B833D9">
              <w:rPr>
                <w:rFonts w:asciiTheme="minorHAnsi" w:hAnsiTheme="minorHAnsi" w:cstheme="minorHAnsi"/>
                <w:color w:val="auto"/>
              </w:rPr>
              <w:t xml:space="preserve"> for HPV, </w:t>
            </w:r>
            <w:r w:rsidR="00D05557" w:rsidRPr="00B833D9">
              <w:rPr>
                <w:rFonts w:asciiTheme="minorHAnsi" w:hAnsiTheme="minorHAnsi" w:cstheme="minorHAnsi"/>
                <w:color w:val="auto"/>
              </w:rPr>
              <w:t>relative to the baseline.</w:t>
            </w:r>
          </w:p>
        </w:tc>
        <w:tc>
          <w:tcPr>
            <w:tcW w:w="4110" w:type="dxa"/>
            <w:tcBorders>
              <w:top w:val="single" w:sz="8" w:space="0" w:color="4F81BD"/>
              <w:left w:val="single" w:sz="8" w:space="0" w:color="4F81BD"/>
              <w:bottom w:val="single" w:sz="8" w:space="0" w:color="4F81BD"/>
              <w:right w:val="single" w:sz="8" w:space="0" w:color="4F81BD"/>
            </w:tcBorders>
          </w:tcPr>
          <w:p w14:paraId="3F45C740" w14:textId="4F84ADED" w:rsidR="004C64B7" w:rsidRPr="00B833D9" w:rsidRDefault="004C64B7" w:rsidP="004C64B7">
            <w:pPr>
              <w:rPr>
                <w:rFonts w:cstheme="minorHAnsi"/>
                <w:sz w:val="20"/>
                <w:szCs w:val="20"/>
              </w:rPr>
            </w:pPr>
            <w:r w:rsidRPr="00B833D9">
              <w:rPr>
                <w:rFonts w:cstheme="minorHAnsi"/>
                <w:sz w:val="20"/>
                <w:szCs w:val="20"/>
              </w:rPr>
              <w:t>•</w:t>
            </w:r>
            <w:r w:rsidR="00E34EAC" w:rsidRPr="00B833D9">
              <w:rPr>
                <w:rFonts w:cstheme="minorHAnsi"/>
                <w:sz w:val="20"/>
                <w:szCs w:val="20"/>
              </w:rPr>
              <w:t xml:space="preserve">  The numerator is the n</w:t>
            </w:r>
            <w:r w:rsidRPr="00B833D9">
              <w:rPr>
                <w:rFonts w:cstheme="minorHAnsi"/>
                <w:sz w:val="20"/>
                <w:szCs w:val="20"/>
              </w:rPr>
              <w:t>umber of adolesce</w:t>
            </w:r>
            <w:r w:rsidR="002D3092" w:rsidRPr="00B833D9">
              <w:rPr>
                <w:rFonts w:cstheme="minorHAnsi"/>
                <w:sz w:val="20"/>
                <w:szCs w:val="20"/>
              </w:rPr>
              <w:t>nts reported as meeting a full-</w:t>
            </w:r>
            <w:r w:rsidRPr="00B833D9">
              <w:rPr>
                <w:rFonts w:cstheme="minorHAnsi"/>
                <w:sz w:val="20"/>
                <w:szCs w:val="20"/>
              </w:rPr>
              <w:t>dose HPV (</w:t>
            </w:r>
            <w:r w:rsidR="00B25C0A">
              <w:rPr>
                <w:rFonts w:cstheme="minorHAnsi"/>
                <w:sz w:val="20"/>
                <w:szCs w:val="20"/>
              </w:rPr>
              <w:t>1</w:t>
            </w:r>
            <w:r w:rsidRPr="00B833D9">
              <w:rPr>
                <w:rFonts w:cstheme="minorHAnsi"/>
                <w:sz w:val="20"/>
                <w:szCs w:val="20"/>
              </w:rPr>
              <w:t>-dose</w:t>
            </w:r>
            <w:r w:rsidR="002D3092" w:rsidRPr="00B833D9">
              <w:rPr>
                <w:rFonts w:cstheme="minorHAnsi"/>
                <w:sz w:val="20"/>
                <w:szCs w:val="20"/>
              </w:rPr>
              <w:t>)</w:t>
            </w:r>
            <w:r w:rsidRPr="00B833D9">
              <w:rPr>
                <w:rFonts w:cstheme="minorHAnsi"/>
                <w:sz w:val="20"/>
                <w:szCs w:val="20"/>
              </w:rPr>
              <w:t xml:space="preserve"> immunisation as defined by the AIR</w:t>
            </w:r>
            <w:r w:rsidR="002D3092" w:rsidRPr="00B833D9">
              <w:rPr>
                <w:rFonts w:cstheme="minorHAnsi"/>
                <w:sz w:val="20"/>
                <w:szCs w:val="20"/>
              </w:rPr>
              <w:t>,</w:t>
            </w:r>
            <w:r w:rsidRPr="00B833D9">
              <w:rPr>
                <w:rFonts w:cstheme="minorHAnsi"/>
                <w:sz w:val="20"/>
                <w:szCs w:val="20"/>
              </w:rPr>
              <w:t xml:space="preserve"> by age 15</w:t>
            </w:r>
            <w:r w:rsidR="007805D7">
              <w:rPr>
                <w:rFonts w:cstheme="minorHAnsi"/>
                <w:sz w:val="20"/>
                <w:szCs w:val="20"/>
              </w:rPr>
              <w:t xml:space="preserve"> (</w:t>
            </w:r>
            <w:r w:rsidR="007805D7">
              <w:rPr>
                <w:rFonts w:cstheme="minorHAnsi"/>
                <w:sz w:val="20"/>
              </w:rPr>
              <w:t>180</w:t>
            </w:r>
            <w:r w:rsidR="007805D7" w:rsidRPr="00B833D9">
              <w:rPr>
                <w:rFonts w:cstheme="minorHAnsi"/>
                <w:sz w:val="20"/>
              </w:rPr>
              <w:t xml:space="preserve"> ≤ </w:t>
            </w:r>
            <w:r w:rsidR="007805D7">
              <w:rPr>
                <w:rFonts w:cstheme="minorHAnsi"/>
                <w:sz w:val="20"/>
              </w:rPr>
              <w:t>183 months)</w:t>
            </w:r>
            <w:r w:rsidRPr="00B833D9">
              <w:rPr>
                <w:rFonts w:cstheme="minorHAnsi"/>
                <w:sz w:val="20"/>
                <w:szCs w:val="20"/>
              </w:rPr>
              <w:t>.</w:t>
            </w:r>
          </w:p>
          <w:p w14:paraId="0FEE062D" w14:textId="79BEF7EF" w:rsidR="002D3092" w:rsidRPr="00B833D9" w:rsidRDefault="002D3092" w:rsidP="002D3092">
            <w:pPr>
              <w:rPr>
                <w:rFonts w:cstheme="minorHAnsi"/>
                <w:sz w:val="20"/>
                <w:szCs w:val="20"/>
              </w:rPr>
            </w:pPr>
            <w:r w:rsidRPr="00B833D9">
              <w:rPr>
                <w:rFonts w:cstheme="minorHAnsi"/>
                <w:sz w:val="20"/>
                <w:szCs w:val="20"/>
              </w:rPr>
              <w:t>•  The denominator is the number of adolescents</w:t>
            </w:r>
            <w:r w:rsidR="007805D7">
              <w:rPr>
                <w:rFonts w:cstheme="minorHAnsi"/>
                <w:sz w:val="20"/>
                <w:szCs w:val="20"/>
              </w:rPr>
              <w:t xml:space="preserve"> aged 15 years (</w:t>
            </w:r>
            <w:r w:rsidR="007805D7">
              <w:rPr>
                <w:rFonts w:cstheme="minorHAnsi"/>
                <w:sz w:val="20"/>
              </w:rPr>
              <w:t>180</w:t>
            </w:r>
            <w:r w:rsidR="007805D7" w:rsidRPr="00B833D9">
              <w:rPr>
                <w:rFonts w:cstheme="minorHAnsi"/>
                <w:sz w:val="20"/>
              </w:rPr>
              <w:t xml:space="preserve"> ≤ </w:t>
            </w:r>
            <w:r w:rsidR="007805D7">
              <w:rPr>
                <w:rFonts w:cstheme="minorHAnsi"/>
                <w:sz w:val="20"/>
              </w:rPr>
              <w:t>183 months)</w:t>
            </w:r>
            <w:r w:rsidRPr="00B833D9">
              <w:rPr>
                <w:rFonts w:cstheme="minorHAnsi"/>
                <w:sz w:val="20"/>
                <w:szCs w:val="20"/>
              </w:rPr>
              <w:t xml:space="preserve"> enrolled in Medicare.</w:t>
            </w:r>
          </w:p>
          <w:p w14:paraId="72F9BD6F" w14:textId="07561DA1" w:rsidR="004C64B7" w:rsidRPr="00B833D9" w:rsidRDefault="004C64B7" w:rsidP="004C64B7">
            <w:pPr>
              <w:rPr>
                <w:rFonts w:cstheme="minorHAnsi"/>
                <w:sz w:val="20"/>
                <w:szCs w:val="20"/>
              </w:rPr>
            </w:pPr>
            <w:r w:rsidRPr="00B833D9">
              <w:rPr>
                <w:rFonts w:cstheme="minorHAnsi"/>
                <w:sz w:val="20"/>
                <w:szCs w:val="20"/>
              </w:rPr>
              <w:t>•  Calculation is 100 x (Numerator÷ Denominator) presented as a rate per 100 children aged 15 years.</w:t>
            </w:r>
          </w:p>
          <w:p w14:paraId="065283C7" w14:textId="1D86FD1B" w:rsidR="004C64B7" w:rsidRPr="00B833D9" w:rsidRDefault="004C64B7" w:rsidP="004C64B7">
            <w:pPr>
              <w:rPr>
                <w:rFonts w:cstheme="minorHAnsi"/>
                <w:sz w:val="20"/>
                <w:szCs w:val="20"/>
              </w:rPr>
            </w:pPr>
            <w:r w:rsidRPr="00B833D9">
              <w:rPr>
                <w:rFonts w:cstheme="minorHAnsi"/>
                <w:sz w:val="20"/>
                <w:szCs w:val="20"/>
              </w:rPr>
              <w:lastRenderedPageBreak/>
              <w:t xml:space="preserve">•  The current </w:t>
            </w:r>
            <w:r w:rsidR="00096EBC">
              <w:rPr>
                <w:rFonts w:cstheme="minorHAnsi"/>
                <w:sz w:val="20"/>
                <w:szCs w:val="20"/>
              </w:rPr>
              <w:t>reference period’s</w:t>
            </w:r>
            <w:r w:rsidR="00096EBC" w:rsidRPr="00B833D9">
              <w:rPr>
                <w:rFonts w:cstheme="minorHAnsi"/>
                <w:sz w:val="20"/>
                <w:szCs w:val="20"/>
              </w:rPr>
              <w:t xml:space="preserve"> </w:t>
            </w:r>
            <w:r w:rsidRPr="00B833D9">
              <w:rPr>
                <w:rFonts w:cstheme="minorHAnsi"/>
                <w:sz w:val="20"/>
                <w:szCs w:val="20"/>
              </w:rPr>
              <w:t xml:space="preserve">coverage rate will be compared to a baseline of the average coverage rate of the previous three </w:t>
            </w:r>
            <w:r w:rsidR="00096EBC">
              <w:rPr>
                <w:rFonts w:cstheme="minorHAnsi"/>
                <w:sz w:val="20"/>
                <w:szCs w:val="20"/>
              </w:rPr>
              <w:t>reference periods</w:t>
            </w:r>
            <w:r w:rsidR="00B25C0A">
              <w:rPr>
                <w:rFonts w:cstheme="minorHAnsi"/>
                <w:sz w:val="20"/>
                <w:szCs w:val="20"/>
              </w:rPr>
              <w:t>, based on 2-dose vaccination coverage</w:t>
            </w:r>
            <w:r w:rsidRPr="00B833D9">
              <w:rPr>
                <w:rFonts w:cstheme="minorHAnsi"/>
                <w:sz w:val="20"/>
                <w:szCs w:val="20"/>
              </w:rPr>
              <w:t>.</w:t>
            </w:r>
          </w:p>
          <w:p w14:paraId="269622FD" w14:textId="674C44FC" w:rsidR="004C64B7" w:rsidRPr="00B833D9" w:rsidRDefault="004C64B7" w:rsidP="004C64B7">
            <w:pPr>
              <w:rPr>
                <w:rFonts w:cstheme="minorHAnsi"/>
                <w:sz w:val="20"/>
                <w:szCs w:val="20"/>
              </w:rPr>
            </w:pPr>
            <w:r w:rsidRPr="00B833D9">
              <w:rPr>
                <w:rFonts w:cstheme="minorHAnsi"/>
                <w:sz w:val="20"/>
                <w:szCs w:val="20"/>
              </w:rPr>
              <w:t>•  Should the definition of fully immunised change, the baseline will be re-set following an independent review by an external body.</w:t>
            </w:r>
          </w:p>
          <w:p w14:paraId="05CAC864" w14:textId="648A5ED3" w:rsidR="00E85E22" w:rsidRPr="00B833D9" w:rsidRDefault="003E1830" w:rsidP="007805D7">
            <w:r w:rsidRPr="00B833D9">
              <w:rPr>
                <w:rFonts w:cstheme="minorHAnsi"/>
                <w:sz w:val="20"/>
                <w:szCs w:val="20"/>
              </w:rPr>
              <w:t>•  Where a State or Territory has reached 95 per cent coverage or above, they will only be required to maintain coverage rates at 95 per cent.</w:t>
            </w:r>
          </w:p>
        </w:tc>
        <w:tc>
          <w:tcPr>
            <w:tcW w:w="3119" w:type="dxa"/>
            <w:tcBorders>
              <w:top w:val="single" w:sz="8" w:space="0" w:color="4F81BD"/>
              <w:left w:val="single" w:sz="8" w:space="0" w:color="4F81BD"/>
              <w:bottom w:val="single" w:sz="8" w:space="0" w:color="4F81BD"/>
              <w:right w:val="single" w:sz="8" w:space="0" w:color="4F81BD"/>
            </w:tcBorders>
            <w:shd w:val="clear" w:color="auto" w:fill="auto"/>
          </w:tcPr>
          <w:p w14:paraId="58172F5E" w14:textId="0EC187A4" w:rsidR="003E1830" w:rsidRPr="00B833D9" w:rsidRDefault="006268E7" w:rsidP="003E1830">
            <w:pPr>
              <w:pStyle w:val="CommentText"/>
              <w:rPr>
                <w:rFonts w:cstheme="minorHAnsi"/>
                <w:b/>
              </w:rPr>
            </w:pPr>
            <w:r>
              <w:rPr>
                <w:rFonts w:cstheme="minorHAnsi"/>
                <w:b/>
              </w:rPr>
              <w:lastRenderedPageBreak/>
              <w:t>2024-25</w:t>
            </w:r>
            <w:r w:rsidR="00543CC9" w:rsidRPr="00B833D9">
              <w:rPr>
                <w:rFonts w:cstheme="minorHAnsi"/>
                <w:b/>
              </w:rPr>
              <w:t xml:space="preserve"> (Year </w:t>
            </w:r>
            <w:r>
              <w:rPr>
                <w:rFonts w:cstheme="minorHAnsi"/>
                <w:b/>
              </w:rPr>
              <w:t>8</w:t>
            </w:r>
            <w:r w:rsidR="00543CC9" w:rsidRPr="00B833D9">
              <w:rPr>
                <w:rFonts w:cstheme="minorHAnsi"/>
                <w:b/>
              </w:rPr>
              <w:t>)</w:t>
            </w:r>
          </w:p>
          <w:p w14:paraId="0C810277" w14:textId="3173C13B" w:rsidR="003E1830" w:rsidRPr="00B833D9" w:rsidRDefault="003E1830" w:rsidP="003E1830">
            <w:pPr>
              <w:pStyle w:val="Milestonetable"/>
              <w:numPr>
                <w:ilvl w:val="0"/>
                <w:numId w:val="40"/>
              </w:numPr>
              <w:ind w:left="317" w:hanging="218"/>
              <w:rPr>
                <w:rFonts w:asciiTheme="minorHAnsi" w:hAnsiTheme="minorHAnsi" w:cstheme="minorHAnsi"/>
                <w:color w:val="auto"/>
              </w:rPr>
            </w:pPr>
            <w:r w:rsidRPr="00B833D9">
              <w:rPr>
                <w:rFonts w:asciiTheme="minorHAnsi" w:hAnsiTheme="minorHAnsi" w:cstheme="minorHAnsi"/>
                <w:color w:val="auto"/>
              </w:rPr>
              <w:t>1 January 202</w:t>
            </w:r>
            <w:r w:rsidR="006268E7">
              <w:rPr>
                <w:rFonts w:asciiTheme="minorHAnsi" w:hAnsiTheme="minorHAnsi" w:cstheme="minorHAnsi"/>
                <w:color w:val="auto"/>
              </w:rPr>
              <w:t>4</w:t>
            </w:r>
            <w:r w:rsidRPr="00B833D9">
              <w:rPr>
                <w:rFonts w:asciiTheme="minorHAnsi" w:hAnsiTheme="minorHAnsi" w:cstheme="minorHAnsi"/>
                <w:color w:val="auto"/>
              </w:rPr>
              <w:t xml:space="preserve"> – 31 December 202</w:t>
            </w:r>
            <w:r w:rsidR="006268E7">
              <w:rPr>
                <w:rFonts w:asciiTheme="minorHAnsi" w:hAnsiTheme="minorHAnsi" w:cstheme="minorHAnsi"/>
                <w:color w:val="auto"/>
              </w:rPr>
              <w:t>4</w:t>
            </w:r>
            <w:r w:rsidRPr="00B833D9">
              <w:rPr>
                <w:rFonts w:asciiTheme="minorHAnsi" w:hAnsiTheme="minorHAnsi" w:cstheme="minorHAnsi"/>
                <w:color w:val="auto"/>
              </w:rPr>
              <w:t xml:space="preserve">: </w:t>
            </w:r>
            <w:r w:rsidR="00096EBC">
              <w:rPr>
                <w:rFonts w:asciiTheme="minorHAnsi" w:hAnsiTheme="minorHAnsi" w:cstheme="minorHAnsi"/>
                <w:color w:val="auto"/>
              </w:rPr>
              <w:t>Current r</w:t>
            </w:r>
            <w:r w:rsidRPr="00B833D9">
              <w:rPr>
                <w:rFonts w:asciiTheme="minorHAnsi" w:hAnsiTheme="minorHAnsi" w:cstheme="minorHAnsi"/>
                <w:color w:val="auto"/>
              </w:rPr>
              <w:t xml:space="preserve">eference period </w:t>
            </w:r>
            <w:proofErr w:type="gramStart"/>
            <w:r w:rsidRPr="00B833D9">
              <w:rPr>
                <w:rFonts w:asciiTheme="minorHAnsi" w:hAnsiTheme="minorHAnsi" w:cstheme="minorHAnsi"/>
                <w:color w:val="auto"/>
              </w:rPr>
              <w:t>assessed</w:t>
            </w:r>
            <w:proofErr w:type="gramEnd"/>
          </w:p>
          <w:p w14:paraId="4C48567D" w14:textId="40C8C55B" w:rsidR="003E1830" w:rsidRPr="00B833D9" w:rsidRDefault="003E1830" w:rsidP="003E1830">
            <w:pPr>
              <w:pStyle w:val="Milestonetable"/>
              <w:numPr>
                <w:ilvl w:val="0"/>
                <w:numId w:val="40"/>
              </w:numPr>
              <w:ind w:left="317" w:hanging="218"/>
              <w:rPr>
                <w:rFonts w:asciiTheme="minorHAnsi" w:hAnsiTheme="minorHAnsi" w:cstheme="minorHAnsi"/>
                <w:color w:val="auto"/>
              </w:rPr>
            </w:pPr>
            <w:r w:rsidRPr="00B833D9">
              <w:rPr>
                <w:rFonts w:asciiTheme="minorHAnsi" w:hAnsiTheme="minorHAnsi" w:cstheme="minorHAnsi"/>
                <w:color w:val="auto"/>
              </w:rPr>
              <w:t xml:space="preserve">By </w:t>
            </w:r>
            <w:r w:rsidR="003F3A76" w:rsidRPr="00B833D9">
              <w:rPr>
                <w:rFonts w:asciiTheme="minorHAnsi" w:hAnsiTheme="minorHAnsi" w:cstheme="minorHAnsi"/>
                <w:color w:val="auto"/>
              </w:rPr>
              <w:t>30 September</w:t>
            </w:r>
            <w:r w:rsidRPr="00B833D9">
              <w:rPr>
                <w:rFonts w:asciiTheme="minorHAnsi" w:hAnsiTheme="minorHAnsi" w:cstheme="minorHAnsi"/>
                <w:color w:val="auto"/>
              </w:rPr>
              <w:t xml:space="preserve"> 202</w:t>
            </w:r>
            <w:r w:rsidR="006268E7">
              <w:rPr>
                <w:rFonts w:asciiTheme="minorHAnsi" w:hAnsiTheme="minorHAnsi" w:cstheme="minorHAnsi"/>
                <w:color w:val="auto"/>
              </w:rPr>
              <w:t>5</w:t>
            </w:r>
            <w:r w:rsidRPr="00B833D9">
              <w:rPr>
                <w:rFonts w:asciiTheme="minorHAnsi" w:hAnsiTheme="minorHAnsi" w:cstheme="minorHAnsi"/>
                <w:color w:val="auto"/>
              </w:rPr>
              <w:t xml:space="preserve">: Assessment outcomes </w:t>
            </w:r>
            <w:proofErr w:type="gramStart"/>
            <w:r w:rsidRPr="00B833D9">
              <w:rPr>
                <w:rFonts w:asciiTheme="minorHAnsi" w:hAnsiTheme="minorHAnsi" w:cstheme="minorHAnsi"/>
                <w:color w:val="auto"/>
              </w:rPr>
              <w:t>notified</w:t>
            </w:r>
            <w:proofErr w:type="gramEnd"/>
            <w:r w:rsidRPr="00B833D9">
              <w:rPr>
                <w:rFonts w:asciiTheme="minorHAnsi" w:hAnsiTheme="minorHAnsi" w:cstheme="minorHAnsi"/>
                <w:color w:val="auto"/>
              </w:rPr>
              <w:t xml:space="preserve"> </w:t>
            </w:r>
          </w:p>
          <w:p w14:paraId="09F5635A" w14:textId="7148147D" w:rsidR="00E85E22" w:rsidRPr="00B833D9" w:rsidRDefault="003E1830" w:rsidP="00CF175E">
            <w:pPr>
              <w:pStyle w:val="Milestonetable"/>
              <w:numPr>
                <w:ilvl w:val="0"/>
                <w:numId w:val="40"/>
              </w:numPr>
              <w:ind w:left="317" w:hanging="218"/>
              <w:rPr>
                <w:rFonts w:asciiTheme="minorHAnsi" w:hAnsiTheme="minorHAnsi" w:cstheme="minorHAnsi"/>
                <w:color w:val="FF0000"/>
              </w:rPr>
            </w:pPr>
            <w:r w:rsidRPr="00DB5F6A">
              <w:rPr>
                <w:rFonts w:asciiTheme="minorHAnsi" w:hAnsiTheme="minorHAnsi" w:cstheme="minorHAnsi"/>
                <w:color w:val="auto"/>
              </w:rPr>
              <w:t xml:space="preserve">By </w:t>
            </w:r>
            <w:r w:rsidR="003F3A76" w:rsidRPr="00F77A92">
              <w:rPr>
                <w:rFonts w:asciiTheme="minorHAnsi" w:hAnsiTheme="minorHAnsi" w:cstheme="minorHAnsi"/>
                <w:color w:val="auto"/>
              </w:rPr>
              <w:t>31 December 202</w:t>
            </w:r>
            <w:r w:rsidR="006268E7">
              <w:rPr>
                <w:rFonts w:asciiTheme="minorHAnsi" w:hAnsiTheme="minorHAnsi" w:cstheme="minorHAnsi"/>
                <w:color w:val="auto"/>
              </w:rPr>
              <w:t>5</w:t>
            </w:r>
            <w:r w:rsidRPr="00F77A92">
              <w:rPr>
                <w:rFonts w:asciiTheme="minorHAnsi" w:hAnsiTheme="minorHAnsi" w:cstheme="minorHAnsi"/>
                <w:color w:val="auto"/>
              </w:rPr>
              <w:t xml:space="preserve">: </w:t>
            </w:r>
            <w:r w:rsidR="00813356" w:rsidRPr="00F77A92">
              <w:rPr>
                <w:rFonts w:asciiTheme="minorHAnsi" w:hAnsiTheme="minorHAnsi" w:cstheme="minorHAnsi"/>
                <w:color w:val="auto"/>
              </w:rPr>
              <w:t>A</w:t>
            </w:r>
            <w:r w:rsidRPr="00F77A92">
              <w:rPr>
                <w:rFonts w:asciiTheme="minorHAnsi" w:hAnsiTheme="minorHAnsi" w:cstheme="minorHAnsi"/>
                <w:color w:val="auto"/>
              </w:rPr>
              <w:t>ssessment report published</w:t>
            </w:r>
          </w:p>
        </w:tc>
        <w:tc>
          <w:tcPr>
            <w:tcW w:w="2226" w:type="dxa"/>
            <w:tcBorders>
              <w:top w:val="single" w:sz="8" w:space="0" w:color="4F81BD"/>
              <w:left w:val="single" w:sz="8" w:space="0" w:color="4F81BD"/>
              <w:bottom w:val="single" w:sz="8" w:space="0" w:color="4F81BD"/>
              <w:right w:val="single" w:sz="8" w:space="0" w:color="4F81BD"/>
            </w:tcBorders>
            <w:shd w:val="clear" w:color="auto" w:fill="auto"/>
          </w:tcPr>
          <w:p w14:paraId="7877F952" w14:textId="7546F6D8" w:rsidR="00E85E22" w:rsidRPr="00B833D9" w:rsidRDefault="00E85E22" w:rsidP="00F7743F">
            <w:pPr>
              <w:pStyle w:val="Milestonetable"/>
              <w:rPr>
                <w:rFonts w:asciiTheme="minorHAnsi" w:hAnsiTheme="minorHAnsi" w:cstheme="minorHAnsi"/>
                <w:color w:val="auto"/>
              </w:rPr>
            </w:pPr>
            <w:r w:rsidRPr="00B833D9">
              <w:rPr>
                <w:rFonts w:asciiTheme="minorHAnsi" w:hAnsiTheme="minorHAnsi" w:cstheme="minorHAnsi"/>
                <w:color w:val="auto"/>
              </w:rPr>
              <w:t xml:space="preserve">0.75% of the funded 4.5% of </w:t>
            </w:r>
            <w:r w:rsidR="00710D35" w:rsidRPr="00B833D9">
              <w:rPr>
                <w:rFonts w:asciiTheme="minorHAnsi" w:hAnsiTheme="minorHAnsi" w:cstheme="minorHAnsi"/>
                <w:color w:val="auto"/>
              </w:rPr>
              <w:t xml:space="preserve">each State and Territory’s </w:t>
            </w:r>
            <w:r w:rsidRPr="00B833D9">
              <w:rPr>
                <w:rFonts w:asciiTheme="minorHAnsi" w:hAnsiTheme="minorHAnsi" w:cstheme="minorHAnsi"/>
                <w:color w:val="auto"/>
              </w:rPr>
              <w:t>total vaccine costs</w:t>
            </w:r>
            <w:r w:rsidR="009D33DD">
              <w:rPr>
                <w:rFonts w:asciiTheme="minorHAnsi" w:hAnsiTheme="minorHAnsi" w:cstheme="minorHAnsi"/>
                <w:color w:val="auto"/>
              </w:rPr>
              <w:t xml:space="preserve"> in the </w:t>
            </w:r>
            <w:r w:rsidR="006268E7">
              <w:rPr>
                <w:rFonts w:asciiTheme="minorHAnsi" w:hAnsiTheme="minorHAnsi" w:cstheme="minorHAnsi"/>
                <w:color w:val="auto"/>
              </w:rPr>
              <w:t>2023-24</w:t>
            </w:r>
            <w:r w:rsidR="00D72056">
              <w:rPr>
                <w:rFonts w:asciiTheme="minorHAnsi" w:hAnsiTheme="minorHAnsi" w:cstheme="minorHAnsi"/>
                <w:color w:val="auto"/>
              </w:rPr>
              <w:t xml:space="preserve"> financial year</w:t>
            </w:r>
            <w:r w:rsidRPr="00B833D9">
              <w:rPr>
                <w:rFonts w:asciiTheme="minorHAnsi" w:hAnsiTheme="minorHAnsi" w:cstheme="minorHAnsi"/>
                <w:color w:val="auto"/>
              </w:rPr>
              <w:t>.</w:t>
            </w:r>
          </w:p>
          <w:p w14:paraId="10F15B03" w14:textId="0D916043" w:rsidR="00E85E22" w:rsidRPr="00B833D9" w:rsidRDefault="00E85E22" w:rsidP="00F7743F">
            <w:pPr>
              <w:pStyle w:val="Milestonetable"/>
              <w:rPr>
                <w:rFonts w:asciiTheme="minorHAnsi" w:hAnsiTheme="minorHAnsi" w:cstheme="minorHAnsi"/>
                <w:color w:val="auto"/>
              </w:rPr>
            </w:pPr>
            <w:r w:rsidRPr="00B833D9">
              <w:rPr>
                <w:rFonts w:asciiTheme="minorHAnsi" w:hAnsiTheme="minorHAnsi" w:cstheme="minorHAnsi"/>
                <w:iCs w:val="0"/>
                <w:color w:val="auto"/>
              </w:rPr>
              <w:t xml:space="preserve">Payments will be made as follows if </w:t>
            </w:r>
            <w:r w:rsidR="00007270" w:rsidRPr="00B833D9">
              <w:rPr>
                <w:rFonts w:asciiTheme="minorHAnsi" w:hAnsiTheme="minorHAnsi" w:cstheme="minorHAnsi"/>
                <w:iCs w:val="0"/>
                <w:color w:val="auto"/>
              </w:rPr>
              <w:t>the</w:t>
            </w:r>
            <w:r w:rsidRPr="00B833D9">
              <w:rPr>
                <w:rFonts w:asciiTheme="minorHAnsi" w:hAnsiTheme="minorHAnsi" w:cstheme="minorHAnsi"/>
                <w:iCs w:val="0"/>
                <w:color w:val="auto"/>
              </w:rPr>
              <w:t xml:space="preserve"> State </w:t>
            </w:r>
            <w:r w:rsidR="00007270" w:rsidRPr="00B833D9">
              <w:rPr>
                <w:rFonts w:asciiTheme="minorHAnsi" w:hAnsiTheme="minorHAnsi" w:cstheme="minorHAnsi"/>
                <w:iCs w:val="0"/>
                <w:color w:val="auto"/>
              </w:rPr>
              <w:t xml:space="preserve">or Territory </w:t>
            </w:r>
            <w:r w:rsidRPr="00B833D9">
              <w:rPr>
                <w:rFonts w:asciiTheme="minorHAnsi" w:hAnsiTheme="minorHAnsi" w:cstheme="minorHAnsi"/>
                <w:iCs w:val="0"/>
                <w:color w:val="auto"/>
              </w:rPr>
              <w:t xml:space="preserve">achieves an </w:t>
            </w:r>
            <w:r w:rsidRPr="00B833D9">
              <w:rPr>
                <w:rFonts w:asciiTheme="minorHAnsi" w:hAnsiTheme="minorHAnsi" w:cstheme="minorHAnsi"/>
                <w:iCs w:val="0"/>
                <w:color w:val="auto"/>
              </w:rPr>
              <w:lastRenderedPageBreak/>
              <w:t>increase in one of the two cohorts:</w:t>
            </w:r>
          </w:p>
          <w:p w14:paraId="163D41B5" w14:textId="5C798981" w:rsidR="00E85E22" w:rsidRPr="00B833D9" w:rsidRDefault="00E85E22" w:rsidP="003543B8">
            <w:pPr>
              <w:pStyle w:val="Normalnumbered"/>
              <w:tabs>
                <w:tab w:val="clear" w:pos="360"/>
              </w:tabs>
              <w:spacing w:after="60" w:line="240" w:lineRule="auto"/>
              <w:ind w:left="34" w:firstLine="0"/>
              <w:jc w:val="left"/>
              <w:rPr>
                <w:rFonts w:asciiTheme="minorHAnsi" w:hAnsiTheme="minorHAnsi" w:cstheme="minorHAnsi"/>
                <w:iCs/>
                <w:color w:val="auto"/>
                <w:sz w:val="20"/>
                <w:lang w:val="en-US"/>
              </w:rPr>
            </w:pPr>
            <w:r w:rsidRPr="00B833D9">
              <w:rPr>
                <w:rFonts w:asciiTheme="minorHAnsi" w:hAnsiTheme="minorHAnsi" w:cstheme="minorHAnsi"/>
                <w:iCs/>
                <w:color w:val="auto"/>
                <w:sz w:val="20"/>
                <w:lang w:val="en-US"/>
              </w:rPr>
              <w:t>•  40% for one cohort (either boys or girls)</w:t>
            </w:r>
          </w:p>
          <w:p w14:paraId="470E7866" w14:textId="77777777" w:rsidR="00E85E22" w:rsidRPr="00B833D9" w:rsidRDefault="00E85E22" w:rsidP="003543B8">
            <w:pPr>
              <w:pStyle w:val="Normalnumbered"/>
              <w:tabs>
                <w:tab w:val="clear" w:pos="360"/>
                <w:tab w:val="left" w:pos="567"/>
              </w:tabs>
              <w:spacing w:after="60" w:line="240" w:lineRule="auto"/>
              <w:ind w:left="34" w:firstLine="0"/>
              <w:jc w:val="left"/>
              <w:rPr>
                <w:rFonts w:asciiTheme="minorHAnsi" w:hAnsiTheme="minorHAnsi" w:cstheme="minorHAnsi"/>
                <w:iCs/>
                <w:color w:val="auto"/>
                <w:sz w:val="20"/>
                <w:lang w:val="en-US"/>
              </w:rPr>
            </w:pPr>
            <w:r w:rsidRPr="00B833D9">
              <w:rPr>
                <w:rFonts w:asciiTheme="minorHAnsi" w:hAnsiTheme="minorHAnsi" w:cstheme="minorHAnsi"/>
                <w:iCs/>
                <w:color w:val="auto"/>
                <w:sz w:val="20"/>
                <w:lang w:val="en-US"/>
              </w:rPr>
              <w:t>• 100% for two cohorts.</w:t>
            </w:r>
          </w:p>
          <w:p w14:paraId="25F131F6" w14:textId="0F5EF17C" w:rsidR="00E85E22" w:rsidRPr="00B833D9" w:rsidRDefault="00E85E22" w:rsidP="00EA63BE">
            <w:pPr>
              <w:pStyle w:val="Milestonetable"/>
              <w:jc w:val="right"/>
              <w:rPr>
                <w:rFonts w:asciiTheme="minorHAnsi" w:hAnsiTheme="minorHAnsi" w:cstheme="minorHAnsi"/>
                <w:color w:val="auto"/>
              </w:rPr>
            </w:pPr>
          </w:p>
        </w:tc>
      </w:tr>
      <w:tr w:rsidR="00E85E22" w:rsidRPr="00B833D9" w14:paraId="75BBB1EE" w14:textId="77777777" w:rsidTr="000A3B21">
        <w:tc>
          <w:tcPr>
            <w:tcW w:w="2117" w:type="dxa"/>
            <w:tcBorders>
              <w:top w:val="single" w:sz="8" w:space="0" w:color="4F81BD"/>
              <w:left w:val="single" w:sz="8" w:space="0" w:color="4F81BD"/>
              <w:bottom w:val="single" w:sz="8" w:space="0" w:color="4F81BD"/>
              <w:right w:val="single" w:sz="8" w:space="0" w:color="4F81BD"/>
            </w:tcBorders>
          </w:tcPr>
          <w:p w14:paraId="47875AAD" w14:textId="265F70F5" w:rsidR="00E85E22" w:rsidRPr="00B833D9" w:rsidRDefault="00E85E22" w:rsidP="00165B7E">
            <w:pPr>
              <w:pStyle w:val="Milestonetable"/>
              <w:rPr>
                <w:rFonts w:asciiTheme="minorHAnsi" w:hAnsiTheme="minorHAnsi" w:cstheme="minorHAnsi"/>
                <w:color w:val="auto"/>
              </w:rPr>
            </w:pPr>
            <w:r w:rsidRPr="00B833D9">
              <w:rPr>
                <w:rFonts w:asciiTheme="minorHAnsi" w:hAnsiTheme="minorHAnsi" w:cstheme="minorHAnsi"/>
                <w:color w:val="auto"/>
                <w:szCs w:val="23"/>
              </w:rPr>
              <w:lastRenderedPageBreak/>
              <w:t>Increased coverage rates in a</w:t>
            </w:r>
            <w:r w:rsidR="00A066A9" w:rsidRPr="00B833D9">
              <w:rPr>
                <w:rFonts w:asciiTheme="minorHAnsi" w:hAnsiTheme="minorHAnsi" w:cstheme="minorHAnsi"/>
                <w:color w:val="auto"/>
                <w:szCs w:val="23"/>
              </w:rPr>
              <w:t xml:space="preserve">reas of lowest coverage for 60 </w:t>
            </w:r>
            <w:r w:rsidRPr="00B833D9">
              <w:rPr>
                <w:rFonts w:asciiTheme="minorHAnsi" w:hAnsiTheme="minorHAnsi" w:cstheme="minorHAnsi"/>
                <w:color w:val="auto"/>
                <w:szCs w:val="23"/>
              </w:rPr>
              <w:t>≤ 63 month olds.</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21278237" w14:textId="620709FC" w:rsidR="00135C3E" w:rsidRPr="00B833D9" w:rsidRDefault="00135C3E" w:rsidP="008C121A">
            <w:pPr>
              <w:pStyle w:val="Milestonetable"/>
              <w:rPr>
                <w:rFonts w:asciiTheme="minorHAnsi" w:hAnsiTheme="minorHAnsi" w:cstheme="minorHAnsi"/>
                <w:b/>
                <w:color w:val="auto"/>
              </w:rPr>
            </w:pPr>
            <w:r w:rsidRPr="00B833D9">
              <w:rPr>
                <w:rFonts w:asciiTheme="minorHAnsi" w:hAnsiTheme="minorHAnsi" w:cstheme="minorHAnsi"/>
                <w:b/>
                <w:color w:val="auto"/>
              </w:rPr>
              <w:t>BENCHMARK 4:</w:t>
            </w:r>
          </w:p>
          <w:p w14:paraId="1FCF4545" w14:textId="64E74419" w:rsidR="00E85E22" w:rsidRPr="00B833D9" w:rsidRDefault="00E85E22" w:rsidP="00165B7E">
            <w:pPr>
              <w:rPr>
                <w:rFonts w:cstheme="minorHAnsi"/>
                <w:sz w:val="20"/>
              </w:rPr>
            </w:pPr>
            <w:r w:rsidRPr="00B833D9">
              <w:rPr>
                <w:rFonts w:cstheme="minorHAnsi"/>
                <w:sz w:val="20"/>
              </w:rPr>
              <w:t>An increase in va</w:t>
            </w:r>
            <w:r w:rsidR="00F12E98" w:rsidRPr="00B833D9">
              <w:rPr>
                <w:rFonts w:cstheme="minorHAnsi"/>
                <w:sz w:val="20"/>
              </w:rPr>
              <w:t>ccination coverage rates for 60</w:t>
            </w:r>
            <w:r w:rsidRPr="00B833D9">
              <w:rPr>
                <w:rFonts w:cstheme="minorHAnsi"/>
                <w:sz w:val="20"/>
              </w:rPr>
              <w:t xml:space="preserve"> ≤ 63 month olds in four of the ten lowest vaccination coverage SA3 geographical areas, relative to the baseline. </w:t>
            </w:r>
          </w:p>
          <w:p w14:paraId="2EAE7CA9" w14:textId="77777777" w:rsidR="00E85E22" w:rsidRPr="00B833D9" w:rsidRDefault="00E85E22" w:rsidP="00165B7E">
            <w:pPr>
              <w:pStyle w:val="Milestonetable"/>
              <w:rPr>
                <w:rFonts w:asciiTheme="minorHAnsi" w:hAnsiTheme="minorHAnsi" w:cstheme="minorHAnsi"/>
                <w:color w:val="auto"/>
              </w:rPr>
            </w:pPr>
          </w:p>
        </w:tc>
        <w:tc>
          <w:tcPr>
            <w:tcW w:w="4110" w:type="dxa"/>
            <w:tcBorders>
              <w:top w:val="single" w:sz="8" w:space="0" w:color="4F81BD"/>
              <w:left w:val="single" w:sz="8" w:space="0" w:color="4F81BD"/>
              <w:bottom w:val="single" w:sz="8" w:space="0" w:color="4F81BD"/>
              <w:right w:val="single" w:sz="8" w:space="0" w:color="4F81BD"/>
            </w:tcBorders>
          </w:tcPr>
          <w:p w14:paraId="73F9A453" w14:textId="71AFFD3E" w:rsidR="004C64B7" w:rsidRPr="00B833D9" w:rsidRDefault="004C64B7" w:rsidP="004C64B7">
            <w:pPr>
              <w:rPr>
                <w:rFonts w:cstheme="minorHAnsi"/>
                <w:sz w:val="20"/>
                <w:szCs w:val="20"/>
              </w:rPr>
            </w:pPr>
            <w:r w:rsidRPr="00B833D9">
              <w:rPr>
                <w:rFonts w:cstheme="minorHAnsi"/>
                <w:sz w:val="20"/>
                <w:szCs w:val="20"/>
              </w:rPr>
              <w:t>•  The numerator is the number of children</w:t>
            </w:r>
            <w:r w:rsidR="00A25422" w:rsidRPr="00B833D9">
              <w:rPr>
                <w:rFonts w:cstheme="minorHAnsi"/>
                <w:sz w:val="20"/>
                <w:szCs w:val="20"/>
              </w:rPr>
              <w:t xml:space="preserve"> enrolled in Medicare</w:t>
            </w:r>
            <w:r w:rsidRPr="00B833D9">
              <w:rPr>
                <w:rFonts w:cstheme="minorHAnsi"/>
                <w:sz w:val="20"/>
                <w:szCs w:val="20"/>
              </w:rPr>
              <w:t xml:space="preserve"> resi</w:t>
            </w:r>
            <w:r w:rsidR="004D3A72" w:rsidRPr="00B833D9">
              <w:rPr>
                <w:rFonts w:cstheme="minorHAnsi"/>
                <w:sz w:val="20"/>
                <w:szCs w:val="20"/>
              </w:rPr>
              <w:t>ding</w:t>
            </w:r>
            <w:r w:rsidRPr="00B833D9">
              <w:rPr>
                <w:rFonts w:cstheme="minorHAnsi"/>
                <w:sz w:val="20"/>
                <w:szCs w:val="20"/>
              </w:rPr>
              <w:t xml:space="preserve"> in an area of low immunisation coverage reported as fully immunised </w:t>
            </w:r>
            <w:r w:rsidR="007D7CA0" w:rsidRPr="00B833D9">
              <w:rPr>
                <w:rFonts w:cstheme="minorHAnsi"/>
                <w:sz w:val="20"/>
                <w:szCs w:val="20"/>
              </w:rPr>
              <w:t>as defined by</w:t>
            </w:r>
            <w:r w:rsidRPr="00B833D9">
              <w:rPr>
                <w:rFonts w:cstheme="minorHAnsi"/>
                <w:sz w:val="20"/>
                <w:szCs w:val="20"/>
              </w:rPr>
              <w:t xml:space="preserve"> the AIR, at age 60 ≤ 63 months.</w:t>
            </w:r>
          </w:p>
          <w:p w14:paraId="4B21F226" w14:textId="55236DE1" w:rsidR="004C64B7" w:rsidRPr="00B833D9" w:rsidRDefault="004C64B7" w:rsidP="004C64B7">
            <w:pPr>
              <w:rPr>
                <w:rFonts w:cstheme="minorHAnsi"/>
                <w:sz w:val="20"/>
                <w:szCs w:val="20"/>
              </w:rPr>
            </w:pPr>
            <w:r w:rsidRPr="00B833D9">
              <w:rPr>
                <w:rFonts w:cstheme="minorHAnsi"/>
                <w:sz w:val="20"/>
                <w:szCs w:val="20"/>
              </w:rPr>
              <w:t>•  The denominator is the total number of children</w:t>
            </w:r>
            <w:r w:rsidR="00A25422" w:rsidRPr="00B833D9">
              <w:rPr>
                <w:rFonts w:cstheme="minorHAnsi"/>
                <w:sz w:val="20"/>
                <w:szCs w:val="20"/>
              </w:rPr>
              <w:t xml:space="preserve"> enrolled in Medicare</w:t>
            </w:r>
            <w:r w:rsidRPr="00B833D9">
              <w:rPr>
                <w:rFonts w:cstheme="minorHAnsi"/>
                <w:sz w:val="20"/>
                <w:szCs w:val="20"/>
              </w:rPr>
              <w:t xml:space="preserve"> </w:t>
            </w:r>
            <w:r w:rsidR="00A25422" w:rsidRPr="00B833D9">
              <w:rPr>
                <w:rFonts w:cstheme="minorHAnsi"/>
                <w:sz w:val="20"/>
                <w:szCs w:val="20"/>
              </w:rPr>
              <w:t xml:space="preserve">residing </w:t>
            </w:r>
            <w:r w:rsidRPr="00B833D9">
              <w:rPr>
                <w:rFonts w:cstheme="minorHAnsi"/>
                <w:sz w:val="20"/>
                <w:szCs w:val="20"/>
              </w:rPr>
              <w:t xml:space="preserve">in an area of low immunisation coverage </w:t>
            </w:r>
            <w:r w:rsidR="007D7CA0" w:rsidRPr="00B833D9">
              <w:rPr>
                <w:rFonts w:cstheme="minorHAnsi"/>
                <w:sz w:val="20"/>
                <w:szCs w:val="20"/>
              </w:rPr>
              <w:t xml:space="preserve">and </w:t>
            </w:r>
            <w:r w:rsidRPr="00B833D9">
              <w:rPr>
                <w:rFonts w:cstheme="minorHAnsi"/>
                <w:sz w:val="20"/>
                <w:szCs w:val="20"/>
              </w:rPr>
              <w:t xml:space="preserve">registered with the </w:t>
            </w:r>
            <w:r w:rsidR="00F80564" w:rsidRPr="00B833D9">
              <w:rPr>
                <w:rFonts w:cstheme="minorHAnsi"/>
                <w:sz w:val="20"/>
                <w:szCs w:val="20"/>
              </w:rPr>
              <w:t>AIR</w:t>
            </w:r>
            <w:r w:rsidRPr="00B833D9">
              <w:rPr>
                <w:rFonts w:cstheme="minorHAnsi"/>
                <w:sz w:val="20"/>
                <w:szCs w:val="20"/>
              </w:rPr>
              <w:t xml:space="preserve"> at age 60 ≤ 63 months.</w:t>
            </w:r>
          </w:p>
          <w:p w14:paraId="70536827" w14:textId="77777777" w:rsidR="004C64B7" w:rsidRPr="00B833D9" w:rsidRDefault="004C64B7" w:rsidP="004C64B7">
            <w:pPr>
              <w:rPr>
                <w:rFonts w:cstheme="minorHAnsi"/>
                <w:sz w:val="20"/>
                <w:szCs w:val="20"/>
              </w:rPr>
            </w:pPr>
            <w:r w:rsidRPr="00B833D9">
              <w:rPr>
                <w:rFonts w:cstheme="minorHAnsi"/>
                <w:sz w:val="20"/>
                <w:szCs w:val="20"/>
              </w:rPr>
              <w:t>•  Calculation is 100 x (Numerator÷ Denominator) calculated for each age cohort.</w:t>
            </w:r>
          </w:p>
          <w:p w14:paraId="4ACFA3E4" w14:textId="364482C1" w:rsidR="004C64B7" w:rsidRPr="00B833D9" w:rsidRDefault="004C64B7" w:rsidP="004C64B7">
            <w:pPr>
              <w:rPr>
                <w:rFonts w:cstheme="minorHAnsi"/>
                <w:sz w:val="20"/>
                <w:szCs w:val="20"/>
              </w:rPr>
            </w:pPr>
            <w:r w:rsidRPr="00B833D9">
              <w:rPr>
                <w:rFonts w:cstheme="minorHAnsi"/>
                <w:sz w:val="20"/>
                <w:szCs w:val="20"/>
              </w:rPr>
              <w:t xml:space="preserve">•  The current </w:t>
            </w:r>
            <w:r w:rsidR="00096EBC">
              <w:rPr>
                <w:rFonts w:cstheme="minorHAnsi"/>
                <w:sz w:val="20"/>
                <w:szCs w:val="20"/>
              </w:rPr>
              <w:t>reference period’s</w:t>
            </w:r>
            <w:r w:rsidRPr="00B833D9">
              <w:rPr>
                <w:rFonts w:cstheme="minorHAnsi"/>
                <w:sz w:val="20"/>
                <w:szCs w:val="20"/>
              </w:rPr>
              <w:t xml:space="preserve"> coverage rate is compared to a baseline of the previous </w:t>
            </w:r>
            <w:r w:rsidR="00096EBC">
              <w:rPr>
                <w:rFonts w:cstheme="minorHAnsi"/>
                <w:sz w:val="20"/>
                <w:szCs w:val="20"/>
              </w:rPr>
              <w:t>reference period</w:t>
            </w:r>
            <w:r w:rsidR="00096EBC" w:rsidRPr="00B833D9">
              <w:rPr>
                <w:rFonts w:cstheme="minorHAnsi"/>
                <w:sz w:val="20"/>
                <w:szCs w:val="20"/>
              </w:rPr>
              <w:t>’s</w:t>
            </w:r>
            <w:r w:rsidR="00096EBC">
              <w:rPr>
                <w:rFonts w:cstheme="minorHAnsi"/>
                <w:sz w:val="20"/>
                <w:szCs w:val="20"/>
              </w:rPr>
              <w:t xml:space="preserve"> (1 April 202</w:t>
            </w:r>
            <w:r w:rsidR="006268E7">
              <w:rPr>
                <w:rFonts w:cstheme="minorHAnsi"/>
                <w:sz w:val="20"/>
                <w:szCs w:val="20"/>
              </w:rPr>
              <w:t>3</w:t>
            </w:r>
            <w:r w:rsidR="00096EBC">
              <w:rPr>
                <w:rFonts w:cstheme="minorHAnsi"/>
                <w:sz w:val="20"/>
                <w:szCs w:val="20"/>
              </w:rPr>
              <w:t xml:space="preserve"> – 31 March 202</w:t>
            </w:r>
            <w:r w:rsidR="006268E7">
              <w:rPr>
                <w:rFonts w:cstheme="minorHAnsi"/>
                <w:sz w:val="20"/>
                <w:szCs w:val="20"/>
              </w:rPr>
              <w:t>4</w:t>
            </w:r>
            <w:r w:rsidR="00096EBC">
              <w:rPr>
                <w:rFonts w:cstheme="minorHAnsi"/>
                <w:sz w:val="20"/>
                <w:szCs w:val="20"/>
              </w:rPr>
              <w:t>)</w:t>
            </w:r>
            <w:r w:rsidR="00096EBC" w:rsidRPr="00B833D9">
              <w:rPr>
                <w:rFonts w:cstheme="minorHAnsi"/>
                <w:sz w:val="20"/>
                <w:szCs w:val="20"/>
              </w:rPr>
              <w:t xml:space="preserve"> </w:t>
            </w:r>
            <w:r w:rsidRPr="00B833D9">
              <w:rPr>
                <w:rFonts w:cstheme="minorHAnsi"/>
                <w:sz w:val="20"/>
                <w:szCs w:val="20"/>
              </w:rPr>
              <w:t>coverage rate.</w:t>
            </w:r>
          </w:p>
          <w:p w14:paraId="1ACF4842" w14:textId="77777777" w:rsidR="004C64B7" w:rsidRPr="00B833D9" w:rsidRDefault="004C64B7" w:rsidP="004C64B7">
            <w:pPr>
              <w:rPr>
                <w:rFonts w:cstheme="minorHAnsi"/>
                <w:sz w:val="20"/>
                <w:szCs w:val="20"/>
              </w:rPr>
            </w:pPr>
            <w:r w:rsidRPr="00B833D9">
              <w:rPr>
                <w:rFonts w:cstheme="minorHAnsi"/>
                <w:sz w:val="20"/>
                <w:szCs w:val="20"/>
              </w:rPr>
              <w:t>•  Areas calculated at the SA3 level.</w:t>
            </w:r>
          </w:p>
          <w:p w14:paraId="3C932F1E" w14:textId="77777777" w:rsidR="004C64B7" w:rsidRPr="00B833D9" w:rsidRDefault="004C64B7" w:rsidP="004C64B7">
            <w:pPr>
              <w:rPr>
                <w:rFonts w:cstheme="minorHAnsi"/>
                <w:sz w:val="20"/>
                <w:szCs w:val="20"/>
              </w:rPr>
            </w:pPr>
            <w:r w:rsidRPr="00B833D9">
              <w:rPr>
                <w:rFonts w:cstheme="minorHAnsi"/>
                <w:sz w:val="20"/>
                <w:szCs w:val="20"/>
              </w:rPr>
              <w:t>•  SA3 areas with less than 100 children are excluded from the calculation.</w:t>
            </w:r>
          </w:p>
          <w:p w14:paraId="75835DDF" w14:textId="77777777" w:rsidR="004C64B7" w:rsidRPr="00B833D9" w:rsidRDefault="004C64B7" w:rsidP="004C64B7">
            <w:pPr>
              <w:rPr>
                <w:rFonts w:cstheme="minorHAnsi"/>
                <w:sz w:val="20"/>
                <w:szCs w:val="20"/>
              </w:rPr>
            </w:pPr>
            <w:r w:rsidRPr="00B833D9">
              <w:rPr>
                <w:rFonts w:cstheme="minorHAnsi"/>
                <w:sz w:val="20"/>
                <w:szCs w:val="20"/>
              </w:rPr>
              <w:t xml:space="preserve">•  For the purposes of this benchmark, a geographical area of low coverage is included if it is in the 10 lowest areas with coverage below 95 per cent.  </w:t>
            </w:r>
          </w:p>
          <w:p w14:paraId="4BB53B42" w14:textId="7B52DA79" w:rsidR="004C64B7" w:rsidRPr="00B833D9" w:rsidRDefault="004C64B7" w:rsidP="004C64B7">
            <w:pPr>
              <w:rPr>
                <w:rFonts w:cstheme="minorHAnsi"/>
                <w:sz w:val="20"/>
                <w:szCs w:val="20"/>
              </w:rPr>
            </w:pPr>
            <w:r w:rsidRPr="00B833D9">
              <w:rPr>
                <w:rFonts w:cstheme="minorHAnsi"/>
                <w:sz w:val="20"/>
                <w:szCs w:val="20"/>
              </w:rPr>
              <w:t xml:space="preserve">•  Where less than 10 SA3 areas have coverage </w:t>
            </w:r>
            <w:r w:rsidR="003E1830" w:rsidRPr="00B833D9">
              <w:rPr>
                <w:rFonts w:cstheme="minorHAnsi"/>
                <w:sz w:val="20"/>
                <w:szCs w:val="20"/>
              </w:rPr>
              <w:t xml:space="preserve">rates </w:t>
            </w:r>
            <w:r w:rsidRPr="00B833D9">
              <w:rPr>
                <w:rFonts w:cstheme="minorHAnsi"/>
                <w:sz w:val="20"/>
                <w:szCs w:val="20"/>
              </w:rPr>
              <w:t xml:space="preserve">below 95 per cent, the State is still required to choose 4 </w:t>
            </w:r>
            <w:r w:rsidR="003E1830" w:rsidRPr="00B833D9">
              <w:rPr>
                <w:rFonts w:cstheme="minorHAnsi"/>
                <w:sz w:val="20"/>
                <w:szCs w:val="20"/>
              </w:rPr>
              <w:t xml:space="preserve">areas to target </w:t>
            </w:r>
            <w:r w:rsidRPr="00B833D9">
              <w:rPr>
                <w:rFonts w:cstheme="minorHAnsi"/>
                <w:sz w:val="20"/>
                <w:szCs w:val="20"/>
              </w:rPr>
              <w:t>from the lowest coverage areas.</w:t>
            </w:r>
          </w:p>
          <w:p w14:paraId="47BA5AE0" w14:textId="08E1724D" w:rsidR="003E1830" w:rsidRDefault="004C64B7" w:rsidP="004C64B7">
            <w:pPr>
              <w:rPr>
                <w:rFonts w:cstheme="minorHAnsi"/>
                <w:sz w:val="20"/>
                <w:szCs w:val="20"/>
              </w:rPr>
            </w:pPr>
            <w:r w:rsidRPr="00B833D9">
              <w:rPr>
                <w:rFonts w:cstheme="minorHAnsi"/>
                <w:sz w:val="20"/>
                <w:szCs w:val="20"/>
              </w:rPr>
              <w:t>•  If all SA3 areas have coverage</w:t>
            </w:r>
            <w:r w:rsidR="003E1830" w:rsidRPr="00B833D9">
              <w:rPr>
                <w:rFonts w:cstheme="minorHAnsi"/>
                <w:sz w:val="20"/>
                <w:szCs w:val="20"/>
              </w:rPr>
              <w:t xml:space="preserve"> rates</w:t>
            </w:r>
            <w:r w:rsidRPr="00B833D9">
              <w:rPr>
                <w:rFonts w:cstheme="minorHAnsi"/>
                <w:sz w:val="20"/>
                <w:szCs w:val="20"/>
              </w:rPr>
              <w:t xml:space="preserve"> </w:t>
            </w:r>
            <w:r w:rsidR="003E1830" w:rsidRPr="00B833D9">
              <w:rPr>
                <w:rFonts w:cstheme="minorHAnsi"/>
                <w:sz w:val="20"/>
                <w:szCs w:val="20"/>
              </w:rPr>
              <w:t xml:space="preserve">of </w:t>
            </w:r>
            <w:r w:rsidRPr="00B833D9">
              <w:rPr>
                <w:rFonts w:cstheme="minorHAnsi"/>
                <w:sz w:val="20"/>
                <w:szCs w:val="20"/>
              </w:rPr>
              <w:t>95 per cent</w:t>
            </w:r>
            <w:r w:rsidR="003E1830" w:rsidRPr="00B833D9">
              <w:rPr>
                <w:rFonts w:cstheme="minorHAnsi"/>
                <w:sz w:val="20"/>
                <w:szCs w:val="20"/>
              </w:rPr>
              <w:t xml:space="preserve"> or above</w:t>
            </w:r>
            <w:r w:rsidRPr="00B833D9">
              <w:rPr>
                <w:rFonts w:cstheme="minorHAnsi"/>
                <w:sz w:val="20"/>
                <w:szCs w:val="20"/>
              </w:rPr>
              <w:t xml:space="preserve">, this benchmark is deemed to </w:t>
            </w:r>
            <w:r w:rsidRPr="00B833D9">
              <w:rPr>
                <w:rFonts w:cstheme="minorHAnsi"/>
                <w:sz w:val="20"/>
                <w:szCs w:val="20"/>
              </w:rPr>
              <w:lastRenderedPageBreak/>
              <w:t>have been met.</w:t>
            </w:r>
          </w:p>
          <w:p w14:paraId="4BEAA341" w14:textId="486C29CB" w:rsidR="008E4A7B" w:rsidRPr="00B833D9" w:rsidRDefault="008E4A7B" w:rsidP="004C64B7">
            <w:pPr>
              <w:rPr>
                <w:rFonts w:cstheme="minorHAnsi"/>
                <w:sz w:val="20"/>
                <w:szCs w:val="20"/>
              </w:rPr>
            </w:pPr>
            <w:r w:rsidRPr="00B833D9">
              <w:rPr>
                <w:rFonts w:cstheme="minorHAnsi"/>
                <w:sz w:val="20"/>
                <w:szCs w:val="20"/>
              </w:rPr>
              <w:t>•</w:t>
            </w:r>
            <w:r>
              <w:rPr>
                <w:rFonts w:cstheme="minorHAnsi"/>
                <w:sz w:val="20"/>
                <w:szCs w:val="20"/>
              </w:rPr>
              <w:t xml:space="preserve">  Should an SA3 area with a baseline coverage rate of greater than 95 per cent be nominated, the State would be required only to maintain a coverage rate of 95 per cent or above, regardless of whether the assessment coverage rate is greater than the baseline coverage rate.</w:t>
            </w:r>
          </w:p>
          <w:p w14:paraId="0BE4F68F" w14:textId="2DA96F89" w:rsidR="00E85E22" w:rsidRPr="000A3B21" w:rsidRDefault="0056302F" w:rsidP="00337346">
            <w:pPr>
              <w:rPr>
                <w:rFonts w:cstheme="minorHAnsi"/>
                <w:sz w:val="20"/>
                <w:szCs w:val="20"/>
              </w:rPr>
            </w:pPr>
            <w:r w:rsidRPr="00B833D9">
              <w:rPr>
                <w:rFonts w:cstheme="minorHAnsi"/>
                <w:sz w:val="20"/>
                <w:szCs w:val="20"/>
              </w:rPr>
              <w:t xml:space="preserve">•  </w:t>
            </w:r>
            <w:r w:rsidR="004C64B7" w:rsidRPr="00B833D9">
              <w:rPr>
                <w:rFonts w:cstheme="minorHAnsi"/>
                <w:sz w:val="20"/>
                <w:szCs w:val="20"/>
              </w:rPr>
              <w:t xml:space="preserve">Should the definition of fully immunised change, the baseline will be re-set following </w:t>
            </w:r>
            <w:r w:rsidR="004C64B7" w:rsidRPr="000A3B21">
              <w:rPr>
                <w:rFonts w:cstheme="minorHAnsi"/>
                <w:sz w:val="20"/>
                <w:szCs w:val="20"/>
              </w:rPr>
              <w:t>an independent review by an external body.</w:t>
            </w:r>
          </w:p>
        </w:tc>
        <w:tc>
          <w:tcPr>
            <w:tcW w:w="3119" w:type="dxa"/>
            <w:tcBorders>
              <w:top w:val="single" w:sz="8" w:space="0" w:color="4F81BD"/>
              <w:left w:val="single" w:sz="8" w:space="0" w:color="4F81BD"/>
              <w:bottom w:val="single" w:sz="8" w:space="0" w:color="4F81BD"/>
              <w:right w:val="single" w:sz="8" w:space="0" w:color="4F81BD"/>
            </w:tcBorders>
            <w:shd w:val="clear" w:color="auto" w:fill="auto"/>
          </w:tcPr>
          <w:p w14:paraId="10D16C88" w14:textId="33D0BD64" w:rsidR="004338E6" w:rsidRPr="00B833D9" w:rsidRDefault="006268E7" w:rsidP="004338E6">
            <w:pPr>
              <w:pStyle w:val="CommentText"/>
              <w:rPr>
                <w:rFonts w:cstheme="minorHAnsi"/>
                <w:b/>
              </w:rPr>
            </w:pPr>
            <w:r>
              <w:rPr>
                <w:rFonts w:cstheme="minorHAnsi"/>
                <w:b/>
              </w:rPr>
              <w:lastRenderedPageBreak/>
              <w:t>2024-25</w:t>
            </w:r>
            <w:r w:rsidR="00543CC9" w:rsidRPr="00B833D9">
              <w:rPr>
                <w:rFonts w:cstheme="minorHAnsi"/>
                <w:b/>
              </w:rPr>
              <w:t xml:space="preserve"> (Year </w:t>
            </w:r>
            <w:r>
              <w:rPr>
                <w:rFonts w:cstheme="minorHAnsi"/>
                <w:b/>
              </w:rPr>
              <w:t>8</w:t>
            </w:r>
            <w:r w:rsidR="00543CC9" w:rsidRPr="00B833D9">
              <w:rPr>
                <w:rFonts w:cstheme="minorHAnsi"/>
                <w:b/>
              </w:rPr>
              <w:t>)</w:t>
            </w:r>
          </w:p>
          <w:p w14:paraId="115A2F67" w14:textId="5F033899" w:rsidR="000D0D3C" w:rsidRPr="00B833D9" w:rsidRDefault="000D0D3C" w:rsidP="000D0D3C">
            <w:pPr>
              <w:pStyle w:val="Milestonetable"/>
              <w:numPr>
                <w:ilvl w:val="0"/>
                <w:numId w:val="40"/>
              </w:numPr>
              <w:ind w:left="317" w:hanging="218"/>
              <w:rPr>
                <w:rFonts w:asciiTheme="minorHAnsi" w:hAnsiTheme="minorHAnsi" w:cstheme="minorHAnsi"/>
                <w:color w:val="auto"/>
              </w:rPr>
            </w:pPr>
            <w:r w:rsidRPr="00B833D9">
              <w:rPr>
                <w:rFonts w:asciiTheme="minorHAnsi" w:hAnsiTheme="minorHAnsi" w:cstheme="minorHAnsi"/>
                <w:color w:val="auto"/>
              </w:rPr>
              <w:t>1 April 202</w:t>
            </w:r>
            <w:r w:rsidR="006268E7">
              <w:rPr>
                <w:rFonts w:asciiTheme="minorHAnsi" w:hAnsiTheme="minorHAnsi" w:cstheme="minorHAnsi"/>
                <w:color w:val="auto"/>
              </w:rPr>
              <w:t>4</w:t>
            </w:r>
            <w:r w:rsidRPr="00B833D9">
              <w:rPr>
                <w:rFonts w:asciiTheme="minorHAnsi" w:hAnsiTheme="minorHAnsi" w:cstheme="minorHAnsi"/>
                <w:color w:val="auto"/>
              </w:rPr>
              <w:t xml:space="preserve"> – 31 March 202</w:t>
            </w:r>
            <w:r w:rsidR="006268E7">
              <w:rPr>
                <w:rFonts w:asciiTheme="minorHAnsi" w:hAnsiTheme="minorHAnsi" w:cstheme="minorHAnsi"/>
                <w:color w:val="auto"/>
              </w:rPr>
              <w:t>5</w:t>
            </w:r>
            <w:r w:rsidRPr="00B833D9">
              <w:rPr>
                <w:rFonts w:asciiTheme="minorHAnsi" w:hAnsiTheme="minorHAnsi" w:cstheme="minorHAnsi"/>
                <w:color w:val="auto"/>
              </w:rPr>
              <w:t xml:space="preserve">: </w:t>
            </w:r>
            <w:r w:rsidR="00096EBC">
              <w:rPr>
                <w:rFonts w:asciiTheme="minorHAnsi" w:hAnsiTheme="minorHAnsi" w:cstheme="minorHAnsi"/>
                <w:color w:val="auto"/>
              </w:rPr>
              <w:t>Current r</w:t>
            </w:r>
            <w:r w:rsidRPr="00B833D9">
              <w:rPr>
                <w:rFonts w:asciiTheme="minorHAnsi" w:hAnsiTheme="minorHAnsi" w:cstheme="minorHAnsi"/>
                <w:color w:val="auto"/>
              </w:rPr>
              <w:t xml:space="preserve">eference period </w:t>
            </w:r>
            <w:proofErr w:type="gramStart"/>
            <w:r w:rsidRPr="00B833D9">
              <w:rPr>
                <w:rFonts w:asciiTheme="minorHAnsi" w:hAnsiTheme="minorHAnsi" w:cstheme="minorHAnsi"/>
                <w:color w:val="auto"/>
              </w:rPr>
              <w:t>assessed</w:t>
            </w:r>
            <w:proofErr w:type="gramEnd"/>
          </w:p>
          <w:p w14:paraId="6A1277E4" w14:textId="199F3D2C" w:rsidR="004338E6" w:rsidRPr="00B833D9" w:rsidRDefault="004338E6" w:rsidP="004338E6">
            <w:pPr>
              <w:pStyle w:val="Milestonetable"/>
              <w:numPr>
                <w:ilvl w:val="0"/>
                <w:numId w:val="40"/>
              </w:numPr>
              <w:ind w:left="317" w:hanging="218"/>
              <w:rPr>
                <w:rFonts w:asciiTheme="minorHAnsi" w:hAnsiTheme="minorHAnsi" w:cstheme="minorHAnsi"/>
                <w:color w:val="auto"/>
              </w:rPr>
            </w:pPr>
            <w:r w:rsidRPr="00B833D9">
              <w:rPr>
                <w:rFonts w:asciiTheme="minorHAnsi" w:hAnsiTheme="minorHAnsi" w:cstheme="minorHAnsi"/>
                <w:color w:val="auto"/>
              </w:rPr>
              <w:t>By 1 September 202</w:t>
            </w:r>
            <w:r w:rsidR="006268E7">
              <w:rPr>
                <w:rFonts w:asciiTheme="minorHAnsi" w:hAnsiTheme="minorHAnsi" w:cstheme="minorHAnsi"/>
                <w:color w:val="auto"/>
              </w:rPr>
              <w:t>4</w:t>
            </w:r>
            <w:r w:rsidRPr="00B833D9">
              <w:rPr>
                <w:rFonts w:asciiTheme="minorHAnsi" w:hAnsiTheme="minorHAnsi" w:cstheme="minorHAnsi"/>
                <w:color w:val="auto"/>
              </w:rPr>
              <w:t xml:space="preserve">: Jurisdictions to notify the Commonwealth of the four areas being targeted for Year </w:t>
            </w:r>
            <w:r w:rsidR="00347663">
              <w:rPr>
                <w:rFonts w:asciiTheme="minorHAnsi" w:hAnsiTheme="minorHAnsi" w:cstheme="minorHAnsi"/>
                <w:color w:val="auto"/>
              </w:rPr>
              <w:t>7</w:t>
            </w:r>
            <w:r w:rsidRPr="00B833D9">
              <w:rPr>
                <w:rFonts w:asciiTheme="minorHAnsi" w:hAnsiTheme="minorHAnsi" w:cstheme="minorHAnsi"/>
                <w:color w:val="auto"/>
              </w:rPr>
              <w:t>.</w:t>
            </w:r>
          </w:p>
          <w:p w14:paraId="43BC66A1" w14:textId="0CFA7091" w:rsidR="004338E6" w:rsidRPr="00B833D9" w:rsidRDefault="004338E6" w:rsidP="004338E6">
            <w:pPr>
              <w:pStyle w:val="Milestonetable"/>
              <w:numPr>
                <w:ilvl w:val="0"/>
                <w:numId w:val="40"/>
              </w:numPr>
              <w:ind w:left="317" w:hanging="218"/>
              <w:rPr>
                <w:rFonts w:asciiTheme="minorHAnsi" w:hAnsiTheme="minorHAnsi" w:cstheme="minorHAnsi"/>
                <w:color w:val="auto"/>
              </w:rPr>
            </w:pPr>
            <w:r w:rsidRPr="00B833D9">
              <w:rPr>
                <w:rFonts w:asciiTheme="minorHAnsi" w:hAnsiTheme="minorHAnsi" w:cstheme="minorHAnsi"/>
                <w:color w:val="auto"/>
              </w:rPr>
              <w:t xml:space="preserve">By </w:t>
            </w:r>
            <w:r w:rsidR="000D0D3C" w:rsidRPr="00B833D9">
              <w:rPr>
                <w:rFonts w:asciiTheme="minorHAnsi" w:hAnsiTheme="minorHAnsi" w:cstheme="minorHAnsi"/>
                <w:color w:val="auto"/>
              </w:rPr>
              <w:t>1 June</w:t>
            </w:r>
            <w:r w:rsidRPr="00B833D9">
              <w:rPr>
                <w:rFonts w:asciiTheme="minorHAnsi" w:hAnsiTheme="minorHAnsi" w:cstheme="minorHAnsi"/>
                <w:color w:val="auto"/>
              </w:rPr>
              <w:t xml:space="preserve"> 202</w:t>
            </w:r>
            <w:r w:rsidR="006268E7">
              <w:rPr>
                <w:rFonts w:asciiTheme="minorHAnsi" w:hAnsiTheme="minorHAnsi" w:cstheme="minorHAnsi"/>
                <w:color w:val="auto"/>
              </w:rPr>
              <w:t>5</w:t>
            </w:r>
            <w:r w:rsidRPr="00B833D9">
              <w:rPr>
                <w:rFonts w:asciiTheme="minorHAnsi" w:hAnsiTheme="minorHAnsi" w:cstheme="minorHAnsi"/>
                <w:color w:val="auto"/>
              </w:rPr>
              <w:t xml:space="preserve">: Assessment outcomes </w:t>
            </w:r>
            <w:proofErr w:type="gramStart"/>
            <w:r w:rsidRPr="00B833D9">
              <w:rPr>
                <w:rFonts w:asciiTheme="minorHAnsi" w:hAnsiTheme="minorHAnsi" w:cstheme="minorHAnsi"/>
                <w:color w:val="auto"/>
              </w:rPr>
              <w:t>notified</w:t>
            </w:r>
            <w:proofErr w:type="gramEnd"/>
            <w:r w:rsidRPr="00B833D9">
              <w:rPr>
                <w:rFonts w:asciiTheme="minorHAnsi" w:hAnsiTheme="minorHAnsi" w:cstheme="minorHAnsi"/>
                <w:color w:val="auto"/>
              </w:rPr>
              <w:t xml:space="preserve"> </w:t>
            </w:r>
          </w:p>
          <w:p w14:paraId="76F122C1" w14:textId="7EBD2B43" w:rsidR="004338E6" w:rsidRPr="00B833D9" w:rsidRDefault="004338E6" w:rsidP="00CF175E">
            <w:pPr>
              <w:pStyle w:val="Milestonetable"/>
              <w:numPr>
                <w:ilvl w:val="0"/>
                <w:numId w:val="40"/>
              </w:numPr>
              <w:ind w:left="317" w:hanging="218"/>
              <w:rPr>
                <w:rFonts w:asciiTheme="minorHAnsi" w:hAnsiTheme="minorHAnsi" w:cstheme="minorHAnsi"/>
                <w:color w:val="auto"/>
              </w:rPr>
            </w:pPr>
            <w:r w:rsidRPr="00DB5F6A">
              <w:rPr>
                <w:rFonts w:asciiTheme="minorHAnsi" w:hAnsiTheme="minorHAnsi" w:cstheme="minorHAnsi"/>
                <w:color w:val="auto"/>
              </w:rPr>
              <w:t xml:space="preserve">By </w:t>
            </w:r>
            <w:r w:rsidR="000D0D3C" w:rsidRPr="00F77A92">
              <w:rPr>
                <w:rFonts w:asciiTheme="minorHAnsi" w:hAnsiTheme="minorHAnsi" w:cstheme="minorHAnsi"/>
                <w:color w:val="auto"/>
              </w:rPr>
              <w:t>31 December 202</w:t>
            </w:r>
            <w:r w:rsidR="006268E7">
              <w:rPr>
                <w:rFonts w:asciiTheme="minorHAnsi" w:hAnsiTheme="minorHAnsi" w:cstheme="minorHAnsi"/>
                <w:color w:val="auto"/>
              </w:rPr>
              <w:t>5</w:t>
            </w:r>
            <w:r w:rsidRPr="00F77A92">
              <w:rPr>
                <w:rFonts w:asciiTheme="minorHAnsi" w:hAnsiTheme="minorHAnsi" w:cstheme="minorHAnsi"/>
                <w:color w:val="auto"/>
              </w:rPr>
              <w:t xml:space="preserve">: </w:t>
            </w:r>
            <w:r w:rsidR="00813356" w:rsidRPr="00F77A92">
              <w:rPr>
                <w:rFonts w:asciiTheme="minorHAnsi" w:hAnsiTheme="minorHAnsi" w:cstheme="minorHAnsi"/>
                <w:color w:val="auto"/>
              </w:rPr>
              <w:t>A</w:t>
            </w:r>
            <w:r w:rsidRPr="00F77A92">
              <w:rPr>
                <w:rFonts w:asciiTheme="minorHAnsi" w:hAnsiTheme="minorHAnsi" w:cstheme="minorHAnsi"/>
                <w:color w:val="auto"/>
              </w:rPr>
              <w:t>ssessment report published</w:t>
            </w:r>
          </w:p>
        </w:tc>
        <w:tc>
          <w:tcPr>
            <w:tcW w:w="2226" w:type="dxa"/>
            <w:tcBorders>
              <w:top w:val="single" w:sz="8" w:space="0" w:color="4F81BD"/>
              <w:left w:val="single" w:sz="8" w:space="0" w:color="4F81BD"/>
              <w:bottom w:val="single" w:sz="8" w:space="0" w:color="4F81BD"/>
              <w:right w:val="single" w:sz="8" w:space="0" w:color="4F81BD"/>
            </w:tcBorders>
            <w:shd w:val="clear" w:color="auto" w:fill="auto"/>
          </w:tcPr>
          <w:p w14:paraId="09B525C3" w14:textId="3A319935" w:rsidR="00E85E22" w:rsidRPr="00B833D9" w:rsidRDefault="00E85E22" w:rsidP="00165B7E">
            <w:pPr>
              <w:pStyle w:val="Milestonetable"/>
              <w:rPr>
                <w:rFonts w:asciiTheme="minorHAnsi" w:hAnsiTheme="minorHAnsi" w:cstheme="minorHAnsi"/>
                <w:color w:val="auto"/>
              </w:rPr>
            </w:pPr>
            <w:r w:rsidRPr="00B833D9">
              <w:rPr>
                <w:rFonts w:asciiTheme="minorHAnsi" w:hAnsiTheme="minorHAnsi" w:cstheme="minorHAnsi"/>
                <w:color w:val="auto"/>
              </w:rPr>
              <w:t xml:space="preserve">0.75% of the funded 4.5% of each </w:t>
            </w:r>
            <w:r w:rsidR="00007270" w:rsidRPr="00B833D9">
              <w:rPr>
                <w:rFonts w:asciiTheme="minorHAnsi" w:hAnsiTheme="minorHAnsi" w:cstheme="minorHAnsi"/>
                <w:color w:val="auto"/>
              </w:rPr>
              <w:t>State and Territory’s</w:t>
            </w:r>
            <w:r w:rsidRPr="00B833D9">
              <w:rPr>
                <w:rFonts w:asciiTheme="minorHAnsi" w:hAnsiTheme="minorHAnsi" w:cstheme="minorHAnsi"/>
                <w:color w:val="auto"/>
              </w:rPr>
              <w:t xml:space="preserve"> total vaccine costs</w:t>
            </w:r>
            <w:r w:rsidR="009D33DD">
              <w:rPr>
                <w:rFonts w:asciiTheme="minorHAnsi" w:hAnsiTheme="minorHAnsi" w:cstheme="minorHAnsi"/>
                <w:color w:val="auto"/>
              </w:rPr>
              <w:t xml:space="preserve"> in the </w:t>
            </w:r>
            <w:r w:rsidR="006268E7">
              <w:rPr>
                <w:rFonts w:asciiTheme="minorHAnsi" w:hAnsiTheme="minorHAnsi" w:cstheme="minorHAnsi"/>
                <w:color w:val="auto"/>
              </w:rPr>
              <w:t>2023-24</w:t>
            </w:r>
            <w:r w:rsidR="00D72056">
              <w:rPr>
                <w:rFonts w:asciiTheme="minorHAnsi" w:hAnsiTheme="minorHAnsi" w:cstheme="minorHAnsi"/>
                <w:color w:val="auto"/>
              </w:rPr>
              <w:t xml:space="preserve"> financial year</w:t>
            </w:r>
            <w:r w:rsidRPr="00B833D9">
              <w:rPr>
                <w:rFonts w:asciiTheme="minorHAnsi" w:hAnsiTheme="minorHAnsi" w:cstheme="minorHAnsi"/>
                <w:color w:val="auto"/>
              </w:rPr>
              <w:t>.</w:t>
            </w:r>
          </w:p>
          <w:p w14:paraId="12DE03F3" w14:textId="46A42AA0" w:rsidR="00E85E22" w:rsidRPr="00B833D9" w:rsidRDefault="00E85E22" w:rsidP="00165B7E">
            <w:pPr>
              <w:pStyle w:val="Milestonetable"/>
              <w:rPr>
                <w:rFonts w:asciiTheme="minorHAnsi" w:hAnsiTheme="minorHAnsi" w:cstheme="minorHAnsi"/>
                <w:color w:val="auto"/>
              </w:rPr>
            </w:pPr>
            <w:r w:rsidRPr="00B833D9">
              <w:rPr>
                <w:rFonts w:asciiTheme="minorHAnsi" w:hAnsiTheme="minorHAnsi" w:cstheme="minorHAnsi"/>
                <w:color w:val="auto"/>
              </w:rPr>
              <w:t xml:space="preserve">Payments will be made as follows if </w:t>
            </w:r>
            <w:r w:rsidR="00007270" w:rsidRPr="00B833D9">
              <w:rPr>
                <w:rFonts w:asciiTheme="minorHAnsi" w:hAnsiTheme="minorHAnsi" w:cstheme="minorHAnsi"/>
                <w:color w:val="auto"/>
              </w:rPr>
              <w:t>the</w:t>
            </w:r>
            <w:r w:rsidRPr="00B833D9">
              <w:rPr>
                <w:rFonts w:asciiTheme="minorHAnsi" w:hAnsiTheme="minorHAnsi" w:cstheme="minorHAnsi"/>
                <w:color w:val="auto"/>
              </w:rPr>
              <w:t xml:space="preserve"> State</w:t>
            </w:r>
            <w:r w:rsidR="00007270" w:rsidRPr="00B833D9">
              <w:rPr>
                <w:rFonts w:asciiTheme="minorHAnsi" w:hAnsiTheme="minorHAnsi" w:cstheme="minorHAnsi"/>
                <w:color w:val="auto"/>
              </w:rPr>
              <w:t xml:space="preserve"> or Territory</w:t>
            </w:r>
            <w:r w:rsidRPr="00B833D9">
              <w:rPr>
                <w:rFonts w:asciiTheme="minorHAnsi" w:hAnsiTheme="minorHAnsi" w:cstheme="minorHAnsi"/>
                <w:color w:val="auto"/>
              </w:rPr>
              <w:t xml:space="preserve"> achieves an increase in some, but not all, of the four areas:</w:t>
            </w:r>
          </w:p>
          <w:p w14:paraId="6A4A4430" w14:textId="6005AC06" w:rsidR="00E85E22" w:rsidRPr="00B833D9" w:rsidRDefault="00E85E22" w:rsidP="00165B7E">
            <w:pPr>
              <w:pStyle w:val="Milestonetable"/>
              <w:rPr>
                <w:rFonts w:asciiTheme="minorHAnsi" w:hAnsiTheme="minorHAnsi" w:cstheme="minorHAnsi"/>
                <w:color w:val="auto"/>
              </w:rPr>
            </w:pPr>
            <w:r w:rsidRPr="00B833D9">
              <w:rPr>
                <w:rFonts w:asciiTheme="minorHAnsi" w:hAnsiTheme="minorHAnsi" w:cstheme="minorHAnsi"/>
                <w:color w:val="auto"/>
              </w:rPr>
              <w:t xml:space="preserve">•  25% </w:t>
            </w:r>
            <w:bookmarkStart w:id="7" w:name="tempbookmark"/>
            <w:r w:rsidRPr="00B833D9">
              <w:rPr>
                <w:rFonts w:asciiTheme="minorHAnsi" w:hAnsiTheme="minorHAnsi" w:cstheme="minorHAnsi"/>
                <w:color w:val="auto"/>
              </w:rPr>
              <w:t>for one area</w:t>
            </w:r>
          </w:p>
          <w:p w14:paraId="3E26C725" w14:textId="66F00474" w:rsidR="00E85E22" w:rsidRPr="00B833D9" w:rsidRDefault="00E85E22" w:rsidP="00165B7E">
            <w:pPr>
              <w:pStyle w:val="Milestonetable"/>
              <w:rPr>
                <w:rFonts w:asciiTheme="minorHAnsi" w:hAnsiTheme="minorHAnsi" w:cstheme="minorHAnsi"/>
                <w:color w:val="auto"/>
              </w:rPr>
            </w:pPr>
            <w:r w:rsidRPr="00B833D9">
              <w:rPr>
                <w:rFonts w:asciiTheme="minorHAnsi" w:hAnsiTheme="minorHAnsi" w:cstheme="minorHAnsi"/>
                <w:color w:val="auto"/>
              </w:rPr>
              <w:t>•  50% for two areas</w:t>
            </w:r>
          </w:p>
          <w:p w14:paraId="70B2AAE2" w14:textId="76E0791D" w:rsidR="00E85E22" w:rsidRPr="00B833D9" w:rsidRDefault="00E85E22" w:rsidP="00165B7E">
            <w:pPr>
              <w:pStyle w:val="Milestonetable"/>
              <w:rPr>
                <w:rFonts w:asciiTheme="minorHAnsi" w:hAnsiTheme="minorHAnsi" w:cstheme="minorHAnsi"/>
                <w:color w:val="auto"/>
              </w:rPr>
            </w:pPr>
            <w:r w:rsidRPr="00B833D9">
              <w:rPr>
                <w:rFonts w:asciiTheme="minorHAnsi" w:hAnsiTheme="minorHAnsi" w:cstheme="minorHAnsi"/>
                <w:color w:val="auto"/>
              </w:rPr>
              <w:t>•  75% for three areas</w:t>
            </w:r>
          </w:p>
          <w:p w14:paraId="11529525" w14:textId="77777777" w:rsidR="00E85E22" w:rsidRPr="00B833D9" w:rsidRDefault="00E85E22" w:rsidP="00165B7E">
            <w:pPr>
              <w:pStyle w:val="Milestonetable"/>
              <w:rPr>
                <w:rFonts w:asciiTheme="minorHAnsi" w:hAnsiTheme="minorHAnsi" w:cstheme="minorHAnsi"/>
                <w:color w:val="auto"/>
              </w:rPr>
            </w:pPr>
            <w:r w:rsidRPr="00B833D9">
              <w:rPr>
                <w:rFonts w:asciiTheme="minorHAnsi" w:hAnsiTheme="minorHAnsi" w:cstheme="minorHAnsi"/>
                <w:color w:val="auto"/>
              </w:rPr>
              <w:t xml:space="preserve">•  100% for </w:t>
            </w:r>
            <w:bookmarkEnd w:id="7"/>
            <w:r w:rsidRPr="00B833D9">
              <w:rPr>
                <w:rFonts w:asciiTheme="minorHAnsi" w:hAnsiTheme="minorHAnsi" w:cstheme="minorHAnsi"/>
                <w:color w:val="auto"/>
              </w:rPr>
              <w:t>four areas.</w:t>
            </w:r>
          </w:p>
          <w:p w14:paraId="1BCF2B45" w14:textId="41CA6AEA" w:rsidR="00E85E22" w:rsidRPr="00B833D9" w:rsidRDefault="00E85E22" w:rsidP="00165B7E">
            <w:pPr>
              <w:pStyle w:val="Milestonetable"/>
              <w:rPr>
                <w:rFonts w:asciiTheme="minorHAnsi" w:hAnsiTheme="minorHAnsi" w:cstheme="minorHAnsi"/>
                <w:color w:val="auto"/>
              </w:rPr>
            </w:pPr>
          </w:p>
        </w:tc>
      </w:tr>
      <w:tr w:rsidR="004D3A72" w:rsidRPr="00B833D9" w14:paraId="45C18977" w14:textId="77777777" w:rsidTr="000A3B21">
        <w:tc>
          <w:tcPr>
            <w:tcW w:w="2117" w:type="dxa"/>
            <w:tcBorders>
              <w:top w:val="single" w:sz="8" w:space="0" w:color="4F81BD"/>
              <w:left w:val="single" w:sz="8" w:space="0" w:color="4F81BD"/>
              <w:bottom w:val="single" w:sz="8" w:space="0" w:color="4F81BD"/>
              <w:right w:val="single" w:sz="8" w:space="0" w:color="4F81BD"/>
            </w:tcBorders>
          </w:tcPr>
          <w:p w14:paraId="5B42C79F" w14:textId="00814E0C" w:rsidR="004D3A72" w:rsidRPr="00B833D9" w:rsidRDefault="004D3A72" w:rsidP="004D3A72">
            <w:pPr>
              <w:pStyle w:val="Milestonetable"/>
              <w:rPr>
                <w:rFonts w:asciiTheme="minorHAnsi" w:hAnsiTheme="minorHAnsi" w:cstheme="minorHAnsi"/>
                <w:color w:val="auto"/>
                <w:szCs w:val="23"/>
              </w:rPr>
            </w:pPr>
            <w:r w:rsidRPr="00B833D9">
              <w:rPr>
                <w:rFonts w:asciiTheme="minorHAnsi" w:hAnsiTheme="minorHAnsi" w:cstheme="minorHAnsi"/>
                <w:color w:val="auto"/>
              </w:rPr>
              <w:t>Reduced wastage and leakage for vaccines listed on the NIP</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62114973" w14:textId="6B0F05A6" w:rsidR="004D3A72" w:rsidRPr="00B833D9" w:rsidRDefault="004D3A72" w:rsidP="004D3A72">
            <w:pPr>
              <w:pStyle w:val="Milestonetable"/>
              <w:rPr>
                <w:rFonts w:asciiTheme="minorHAnsi" w:hAnsiTheme="minorHAnsi" w:cstheme="minorHAnsi"/>
                <w:b/>
                <w:color w:val="auto"/>
              </w:rPr>
            </w:pPr>
            <w:r w:rsidRPr="00B833D9">
              <w:rPr>
                <w:rFonts w:asciiTheme="minorHAnsi" w:hAnsiTheme="minorHAnsi" w:cstheme="minorHAnsi"/>
                <w:b/>
                <w:color w:val="auto"/>
              </w:rPr>
              <w:t>BENCHMARK 5:</w:t>
            </w:r>
          </w:p>
          <w:p w14:paraId="2BF0FF92" w14:textId="4316F066" w:rsidR="004D3A72" w:rsidRPr="00B833D9" w:rsidRDefault="004D3A72" w:rsidP="004D3A72">
            <w:pPr>
              <w:rPr>
                <w:rFonts w:cstheme="minorHAnsi"/>
                <w:sz w:val="20"/>
              </w:rPr>
            </w:pPr>
            <w:r w:rsidRPr="00B833D9">
              <w:rPr>
                <w:rFonts w:cstheme="minorHAnsi"/>
                <w:sz w:val="20"/>
              </w:rPr>
              <w:t>An annual decrease in the wastage and leakage rate for agreed vaccines, relative to the baseline (where a state achieves a wastage and leakage rate of 5 per cent or lower, it will be deemed to have met the Benchmark).</w:t>
            </w:r>
          </w:p>
        </w:tc>
        <w:tc>
          <w:tcPr>
            <w:tcW w:w="4110" w:type="dxa"/>
            <w:tcBorders>
              <w:top w:val="single" w:sz="8" w:space="0" w:color="4F81BD"/>
              <w:left w:val="single" w:sz="8" w:space="0" w:color="4F81BD"/>
              <w:bottom w:val="single" w:sz="8" w:space="0" w:color="4F81BD"/>
              <w:right w:val="single" w:sz="8" w:space="0" w:color="4F81BD"/>
            </w:tcBorders>
          </w:tcPr>
          <w:p w14:paraId="129D6454" w14:textId="77777777" w:rsidR="004D3A72" w:rsidRPr="00B833D9" w:rsidRDefault="004D3A72" w:rsidP="004D3A72">
            <w:pPr>
              <w:rPr>
                <w:rFonts w:cstheme="minorHAnsi"/>
                <w:sz w:val="20"/>
                <w:szCs w:val="20"/>
              </w:rPr>
            </w:pPr>
            <w:r w:rsidRPr="00B833D9">
              <w:rPr>
                <w:rFonts w:cstheme="minorHAnsi"/>
                <w:sz w:val="20"/>
                <w:szCs w:val="20"/>
              </w:rPr>
              <w:t>•  All vaccines on the NIP provided to children and excluding those provided to other at-risk groups are to be included in the calculation of wastage and leakage.</w:t>
            </w:r>
          </w:p>
          <w:p w14:paraId="7F5882BA" w14:textId="618243EA" w:rsidR="00625F25" w:rsidRPr="00B833D9" w:rsidRDefault="004D3A72" w:rsidP="004D3A72">
            <w:pPr>
              <w:rPr>
                <w:rFonts w:cstheme="minorHAnsi"/>
                <w:sz w:val="20"/>
                <w:szCs w:val="20"/>
              </w:rPr>
            </w:pPr>
            <w:r w:rsidRPr="00B833D9">
              <w:rPr>
                <w:rFonts w:cstheme="minorHAnsi"/>
                <w:sz w:val="20"/>
                <w:szCs w:val="20"/>
              </w:rPr>
              <w:t>•  The numerator is the number of National Immunisation Program vaccines lost to wastage and leakage.</w:t>
            </w:r>
            <w:r w:rsidR="00625F25" w:rsidRPr="00B833D9">
              <w:rPr>
                <w:rFonts w:cstheme="minorHAnsi"/>
                <w:sz w:val="20"/>
                <w:szCs w:val="20"/>
              </w:rPr>
              <w:t xml:space="preserve"> </w:t>
            </w:r>
          </w:p>
          <w:p w14:paraId="1F3B7AFC" w14:textId="03E150C6" w:rsidR="004D3A72" w:rsidRPr="00B833D9" w:rsidRDefault="004D3A72" w:rsidP="004D3A72">
            <w:pPr>
              <w:rPr>
                <w:rFonts w:cstheme="minorHAnsi"/>
                <w:sz w:val="20"/>
                <w:szCs w:val="20"/>
              </w:rPr>
            </w:pPr>
            <w:r w:rsidRPr="00B833D9">
              <w:rPr>
                <w:rFonts w:cstheme="minorHAnsi"/>
                <w:sz w:val="20"/>
                <w:szCs w:val="20"/>
              </w:rPr>
              <w:t>•  The denominator is the total number of vaccines distributed.</w:t>
            </w:r>
          </w:p>
          <w:p w14:paraId="47E9D4DC" w14:textId="67E27910" w:rsidR="004D3A72" w:rsidRPr="00B833D9" w:rsidRDefault="004D3A72" w:rsidP="004D3A72">
            <w:pPr>
              <w:rPr>
                <w:rFonts w:cstheme="minorHAnsi"/>
                <w:sz w:val="20"/>
                <w:szCs w:val="20"/>
              </w:rPr>
            </w:pPr>
            <w:r w:rsidRPr="00B833D9">
              <w:rPr>
                <w:rFonts w:cstheme="minorHAnsi"/>
                <w:sz w:val="20"/>
                <w:szCs w:val="20"/>
              </w:rPr>
              <w:t>•  Calculation is 100 x (Numerator÷ Denominator).</w:t>
            </w:r>
          </w:p>
          <w:p w14:paraId="20EB14D6" w14:textId="484E05B5" w:rsidR="00625F25" w:rsidRPr="00B833D9" w:rsidRDefault="00625F25" w:rsidP="004D3A72">
            <w:pPr>
              <w:rPr>
                <w:rFonts w:cstheme="minorHAnsi"/>
                <w:sz w:val="20"/>
                <w:szCs w:val="20"/>
              </w:rPr>
            </w:pPr>
            <w:r w:rsidRPr="00B833D9">
              <w:rPr>
                <w:noProof/>
                <w:lang w:val="en-AU" w:eastAsia="en-AU"/>
              </w:rPr>
              <mc:AlternateContent>
                <mc:Choice Requires="wps">
                  <w:drawing>
                    <wp:anchor distT="0" distB="0" distL="114300" distR="114300" simplePos="0" relativeHeight="251663360" behindDoc="0" locked="0" layoutInCell="1" allowOverlap="1" wp14:anchorId="62EEF59D" wp14:editId="57401FBA">
                      <wp:simplePos x="0" y="0"/>
                      <wp:positionH relativeFrom="column">
                        <wp:posOffset>24765</wp:posOffset>
                      </wp:positionH>
                      <wp:positionV relativeFrom="paragraph">
                        <wp:posOffset>128270</wp:posOffset>
                      </wp:positionV>
                      <wp:extent cx="1885950" cy="238125"/>
                      <wp:effectExtent l="0" t="0" r="0" b="0"/>
                      <wp:wrapNone/>
                      <wp:docPr id="2" name="TextBox 1"/>
                      <wp:cNvGraphicFramePr/>
                      <a:graphic xmlns:a="http://schemas.openxmlformats.org/drawingml/2006/main">
                        <a:graphicData uri="http://schemas.microsoft.com/office/word/2010/wordprocessingShape">
                          <wps:wsp>
                            <wps:cNvSpPr txBox="1"/>
                            <wps:spPr>
                              <a:xfrm>
                                <a:off x="0" y="0"/>
                                <a:ext cx="1885950" cy="2381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6E60250" w14:textId="3D988270" w:rsidR="004F17D5" w:rsidRPr="00817D57" w:rsidRDefault="004F17D5" w:rsidP="00625F25">
                                  <w:pPr>
                                    <w:pStyle w:val="NormalWeb"/>
                                    <w:spacing w:before="0" w:beforeAutospacing="0" w:after="0" w:afterAutospacing="0"/>
                                    <w:rPr>
                                      <w:sz w:val="18"/>
                                      <w:szCs w:val="18"/>
                                    </w:rPr>
                                  </w:pPr>
                                  <w:r w:rsidRPr="00CF56BD">
                                    <w:rPr>
                                      <w:rFonts w:asciiTheme="minorHAnsi" w:hAnsi="Calibri" w:cstheme="minorBidi"/>
                                      <w:b/>
                                      <w:bCs/>
                                      <w:sz w:val="18"/>
                                      <w:szCs w:val="18"/>
                                    </w:rPr>
                                    <w:t xml:space="preserve">Calculation </w:t>
                                  </w:r>
                                  <m:oMath>
                                    <m:r>
                                      <m:rPr>
                                        <m:sty m:val="b"/>
                                      </m:rPr>
                                      <w:rPr>
                                        <w:rFonts w:ascii="Cambria Math" w:hAnsi="Cambria Math" w:cstheme="minorBidi"/>
                                        <w:sz w:val="18"/>
                                        <w:szCs w:val="18"/>
                                      </w:rPr>
                                      <m:t>=</m:t>
                                    </m:r>
                                    <m:d>
                                      <m:dPr>
                                        <m:ctrlPr>
                                          <w:rPr>
                                            <w:rFonts w:ascii="Cambria Math" w:hAnsi="Cambria Math" w:cstheme="minorBidi"/>
                                            <w:b/>
                                            <w:bCs/>
                                            <w:i/>
                                            <w:iCs/>
                                            <w:sz w:val="18"/>
                                            <w:szCs w:val="18"/>
                                          </w:rPr>
                                        </m:ctrlPr>
                                      </m:dPr>
                                      <m:e>
                                        <m:f>
                                          <m:fPr>
                                            <m:ctrlPr>
                                              <w:rPr>
                                                <w:rFonts w:ascii="Cambria Math" w:hAnsi="Cambria Math" w:cstheme="minorBidi"/>
                                                <w:b/>
                                                <w:bCs/>
                                                <w:i/>
                                                <w:iCs/>
                                                <w:sz w:val="18"/>
                                                <w:szCs w:val="18"/>
                                              </w:rPr>
                                            </m:ctrlPr>
                                          </m:fPr>
                                          <m:num>
                                            <m:r>
                                              <m:rPr>
                                                <m:sty m:val="bi"/>
                                              </m:rPr>
                                              <w:rPr>
                                                <w:rFonts w:ascii="Cambria Math" w:hAnsi="Cambria Math" w:cstheme="minorBidi"/>
                                                <w:sz w:val="18"/>
                                                <w:szCs w:val="18"/>
                                              </w:rPr>
                                              <m:t>A</m:t>
                                            </m:r>
                                            <m:r>
                                              <m:rPr>
                                                <m:sty m:val="b"/>
                                              </m:rPr>
                                              <w:rPr>
                                                <w:rFonts w:ascii="Cambria Math" w:hAnsi="Cambria Math" w:cstheme="minorBidi"/>
                                                <w:sz w:val="18"/>
                                                <w:szCs w:val="18"/>
                                              </w:rPr>
                                              <m:t>-</m:t>
                                            </m:r>
                                            <m:d>
                                              <m:dPr>
                                                <m:ctrlPr>
                                                  <w:rPr>
                                                    <w:rFonts w:ascii="Cambria Math" w:hAnsi="Cambria Math" w:cstheme="minorBidi"/>
                                                    <w:b/>
                                                    <w:bCs/>
                                                    <w:i/>
                                                    <w:iCs/>
                                                    <w:sz w:val="18"/>
                                                    <w:szCs w:val="18"/>
                                                  </w:rPr>
                                                </m:ctrlPr>
                                              </m:dPr>
                                              <m:e>
                                                <m:r>
                                                  <m:rPr>
                                                    <m:sty m:val="bi"/>
                                                  </m:rPr>
                                                  <w:rPr>
                                                    <w:rFonts w:ascii="Cambria Math" w:hAnsi="Cambria Math" w:cstheme="minorBidi"/>
                                                    <w:sz w:val="18"/>
                                                    <w:szCs w:val="18"/>
                                                  </w:rPr>
                                                  <m:t>B</m:t>
                                                </m:r>
                                                <m:r>
                                                  <m:rPr>
                                                    <m:sty m:val="b"/>
                                                  </m:rPr>
                                                  <w:rPr>
                                                    <w:rFonts w:ascii="Cambria Math" w:hAnsi="+mn-ea" w:cstheme="minorBidi" w:hint="eastAsia"/>
                                                    <w:sz w:val="18"/>
                                                    <w:szCs w:val="18"/>
                                                  </w:rPr>
                                                  <m:t>×</m:t>
                                                </m:r>
                                                <m:r>
                                                  <m:rPr>
                                                    <m:sty m:val="b"/>
                                                  </m:rPr>
                                                  <w:rPr>
                                                    <w:rFonts w:ascii="Cambria Math" w:hAnsi="Cambria Math" w:cstheme="minorBidi"/>
                                                    <w:sz w:val="18"/>
                                                    <w:szCs w:val="18"/>
                                                  </w:rPr>
                                                  <m:t>1.03</m:t>
                                                </m:r>
                                              </m:e>
                                            </m:d>
                                            <m:r>
                                              <m:rPr>
                                                <m:sty m:val="b"/>
                                              </m:rPr>
                                              <w:rPr>
                                                <w:rFonts w:ascii="Cambria Math" w:hAnsi="Cambria Math" w:cstheme="minorBidi"/>
                                                <w:sz w:val="18"/>
                                                <w:szCs w:val="18"/>
                                              </w:rPr>
                                              <m:t>-</m:t>
                                            </m:r>
                                            <m:r>
                                              <m:rPr>
                                                <m:sty m:val="bi"/>
                                              </m:rPr>
                                              <w:rPr>
                                                <w:rFonts w:ascii="Cambria Math" w:hAnsi="Cambria Math" w:cstheme="minorBidi"/>
                                                <w:sz w:val="18"/>
                                                <w:szCs w:val="18"/>
                                              </w:rPr>
                                              <m:t>C</m:t>
                                            </m:r>
                                          </m:num>
                                          <m:den>
                                            <m:r>
                                              <m:rPr>
                                                <m:sty m:val="bi"/>
                                              </m:rPr>
                                              <w:rPr>
                                                <w:rFonts w:ascii="Cambria Math" w:hAnsi="Cambria Math" w:cstheme="minorBidi"/>
                                                <w:sz w:val="18"/>
                                                <w:szCs w:val="18"/>
                                              </w:rPr>
                                              <m:t>A</m:t>
                                            </m:r>
                                          </m:den>
                                        </m:f>
                                      </m:e>
                                    </m:d>
                                  </m:oMath>
                                  <w:r w:rsidRPr="00CF56BD">
                                    <w:rPr>
                                      <w:rFonts w:asciiTheme="minorHAnsi" w:hAnsi="Calibri" w:cstheme="minorBidi"/>
                                      <w:b/>
                                      <w:bCs/>
                                      <w:sz w:val="18"/>
                                      <w:szCs w:val="18"/>
                                    </w:rPr>
                                    <w:t xml:space="preserve"> x 100</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62EEF59D" id="TextBox 1" o:spid="_x0000_s1027" type="#_x0000_t202" style="position:absolute;margin-left:1.95pt;margin-top:10.1pt;width:148.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x3+gEAAFMEAAAOAAAAZHJzL2Uyb0RvYy54bWysVNuO0zAQfUfiHyy/07RFRSVquoJdLUJC&#10;LGLhAxzHbiw5HjN2m5SvZ+w06Wp5WsSLO5nL8Zkz4+5uhs6yk8JgwFV8tVhyppyExrhDxX/+uH+z&#10;5SxE4RphwamKn1XgN/vXr3a9L9UaWrCNQkYgLpS9r3gboy+LIshWdSIswCtHQQ3YiUifeCgaFD2h&#10;d7ZYL5fvih6w8QhShUDeuzHI9xlfayXjg9ZBRWYrTtxiPjGfdTqL/U6UBxS+NfJCQ/wDi04YR5fO&#10;UHciCnZE8xdUZyRCAB0XEroCtDZS5R6om9XyWTePrfAq90LiBD/LFP4frPx6evTfkMXhIww0wCRI&#10;70MZyJn6GTR26ZeYMoqThOdZNjVEJlPRdrt5v6GQpNj67Xa13iSY4lrtMcRPCjqWjIojjSWrJU5f&#10;QhxTp5R0mYN7Y23yX6lkK56tSgnWfVeamSYzSo4g8VDfWmTjaGn3iM40YCKSC1KiJuAX1l5KUrXK&#10;G/XC+rko3w8uzvWdcYBZiLzvKjVwErSpcciDIOJ6zJ+kGAVIWsShHkiBJyOroTnTJOkxxgc6tIW+&#10;4tIaz1kL+Pu5r6elr3j4dRSoOLOfHW0ViRYnAyejngyM9hbGdyScJEwimtk7+HCMoE0eZSI3UrmQ&#10;ps3Ny3B5ZelpPP3OWdf/gv0fAAAA//8DAFBLAwQUAAYACAAAACEALmaN89wAAAAHAQAADwAAAGRy&#10;cy9kb3ducmV2LnhtbEyOzU7DMBCE70i8g7VI3KjdVLQ0zaaqEJyQEGk4cHTibRI1XofYbcPbY07l&#10;OD+a+bLtZHtxptF3jhHmMwWCuHam4wbhs3x9eALhg2aje8eE8EMetvntTaZT4y5c0HkfGhFH2Kca&#10;oQ1hSKX0dUtW+5kbiGN2cKPVIcqxkWbUlzhue5kotZRWdxwfWj3Qc0v1cX+yCLsvLl667/fqozgU&#10;XVmuFb8tj4j3d9NuAyLQFK5l+MOP6JBHpsqd2HjRIyzWsYiQqAREjBdKRaNCeFytQOaZ/M+f/wIA&#10;AP//AwBQSwECLQAUAAYACAAAACEAtoM4kv4AAADhAQAAEwAAAAAAAAAAAAAAAAAAAAAAW0NvbnRl&#10;bnRfVHlwZXNdLnhtbFBLAQItABQABgAIAAAAIQA4/SH/1gAAAJQBAAALAAAAAAAAAAAAAAAAAC8B&#10;AABfcmVscy8ucmVsc1BLAQItABQABgAIAAAAIQAqIDx3+gEAAFMEAAAOAAAAAAAAAAAAAAAAAC4C&#10;AABkcnMvZTJvRG9jLnhtbFBLAQItABQABgAIAAAAIQAuZo3z3AAAAAcBAAAPAAAAAAAAAAAAAAAA&#10;AFQEAABkcnMvZG93bnJldi54bWxQSwUGAAAAAAQABADzAAAAXQUAAAAA&#10;" filled="f" stroked="f">
                      <v:textbox inset="0,0,0,0">
                        <w:txbxContent>
                          <w:p w14:paraId="66E60250" w14:textId="3D988270" w:rsidR="004F17D5" w:rsidRPr="00817D57" w:rsidRDefault="004F17D5" w:rsidP="00625F25">
                            <w:pPr>
                              <w:pStyle w:val="NormalWeb"/>
                              <w:spacing w:before="0" w:beforeAutospacing="0" w:after="0" w:afterAutospacing="0"/>
                              <w:rPr>
                                <w:sz w:val="18"/>
                                <w:szCs w:val="18"/>
                              </w:rPr>
                            </w:pPr>
                            <w:r w:rsidRPr="00CF56BD">
                              <w:rPr>
                                <w:rFonts w:asciiTheme="minorHAnsi" w:hAnsi="Calibri" w:cstheme="minorBidi"/>
                                <w:b/>
                                <w:bCs/>
                                <w:sz w:val="18"/>
                                <w:szCs w:val="18"/>
                              </w:rPr>
                              <w:t xml:space="preserve">Calculation </w:t>
                            </w:r>
                            <m:oMath>
                              <m:r>
                                <m:rPr>
                                  <m:sty m:val="b"/>
                                </m:rPr>
                                <w:rPr>
                                  <w:rFonts w:ascii="Cambria Math" w:hAnsi="Cambria Math" w:cstheme="minorBidi"/>
                                  <w:sz w:val="18"/>
                                  <w:szCs w:val="18"/>
                                </w:rPr>
                                <m:t>=</m:t>
                              </m:r>
                              <m:d>
                                <m:dPr>
                                  <m:ctrlPr>
                                    <w:rPr>
                                      <w:rFonts w:ascii="Cambria Math" w:hAnsi="Cambria Math" w:cstheme="minorBidi"/>
                                      <w:b/>
                                      <w:bCs/>
                                      <w:i/>
                                      <w:iCs/>
                                      <w:sz w:val="18"/>
                                      <w:szCs w:val="18"/>
                                    </w:rPr>
                                  </m:ctrlPr>
                                </m:dPr>
                                <m:e>
                                  <m:f>
                                    <m:fPr>
                                      <m:ctrlPr>
                                        <w:rPr>
                                          <w:rFonts w:ascii="Cambria Math" w:hAnsi="Cambria Math" w:cstheme="minorBidi"/>
                                          <w:b/>
                                          <w:bCs/>
                                          <w:i/>
                                          <w:iCs/>
                                          <w:sz w:val="18"/>
                                          <w:szCs w:val="18"/>
                                        </w:rPr>
                                      </m:ctrlPr>
                                    </m:fPr>
                                    <m:num>
                                      <m:r>
                                        <m:rPr>
                                          <m:sty m:val="bi"/>
                                        </m:rPr>
                                        <w:rPr>
                                          <w:rFonts w:ascii="Cambria Math" w:hAnsi="Cambria Math" w:cstheme="minorBidi"/>
                                          <w:sz w:val="18"/>
                                          <w:szCs w:val="18"/>
                                        </w:rPr>
                                        <m:t>A</m:t>
                                      </m:r>
                                      <m:r>
                                        <m:rPr>
                                          <m:sty m:val="b"/>
                                        </m:rPr>
                                        <w:rPr>
                                          <w:rFonts w:ascii="Cambria Math" w:hAnsi="Cambria Math" w:cstheme="minorBidi"/>
                                          <w:sz w:val="18"/>
                                          <w:szCs w:val="18"/>
                                        </w:rPr>
                                        <m:t>-</m:t>
                                      </m:r>
                                      <m:d>
                                        <m:dPr>
                                          <m:ctrlPr>
                                            <w:rPr>
                                              <w:rFonts w:ascii="Cambria Math" w:hAnsi="Cambria Math" w:cstheme="minorBidi"/>
                                              <w:b/>
                                              <w:bCs/>
                                              <w:i/>
                                              <w:iCs/>
                                              <w:sz w:val="18"/>
                                              <w:szCs w:val="18"/>
                                            </w:rPr>
                                          </m:ctrlPr>
                                        </m:dPr>
                                        <m:e>
                                          <m:r>
                                            <m:rPr>
                                              <m:sty m:val="bi"/>
                                            </m:rPr>
                                            <w:rPr>
                                              <w:rFonts w:ascii="Cambria Math" w:hAnsi="Cambria Math" w:cstheme="minorBidi"/>
                                              <w:sz w:val="18"/>
                                              <w:szCs w:val="18"/>
                                            </w:rPr>
                                            <m:t>B</m:t>
                                          </m:r>
                                          <m:r>
                                            <m:rPr>
                                              <m:sty m:val="b"/>
                                            </m:rPr>
                                            <w:rPr>
                                              <w:rFonts w:ascii="Cambria Math" w:hAnsi="+mn-ea" w:cstheme="minorBidi" w:hint="eastAsia"/>
                                              <w:sz w:val="18"/>
                                              <w:szCs w:val="18"/>
                                            </w:rPr>
                                            <m:t>×</m:t>
                                          </m:r>
                                          <m:r>
                                            <m:rPr>
                                              <m:sty m:val="b"/>
                                            </m:rPr>
                                            <w:rPr>
                                              <w:rFonts w:ascii="Cambria Math" w:hAnsi="Cambria Math" w:cstheme="minorBidi"/>
                                              <w:sz w:val="18"/>
                                              <w:szCs w:val="18"/>
                                            </w:rPr>
                                            <m:t>1.03</m:t>
                                          </m:r>
                                        </m:e>
                                      </m:d>
                                      <m:r>
                                        <m:rPr>
                                          <m:sty m:val="b"/>
                                        </m:rPr>
                                        <w:rPr>
                                          <w:rFonts w:ascii="Cambria Math" w:hAnsi="Cambria Math" w:cstheme="minorBidi"/>
                                          <w:sz w:val="18"/>
                                          <w:szCs w:val="18"/>
                                        </w:rPr>
                                        <m:t>-</m:t>
                                      </m:r>
                                      <m:r>
                                        <m:rPr>
                                          <m:sty m:val="bi"/>
                                        </m:rPr>
                                        <w:rPr>
                                          <w:rFonts w:ascii="Cambria Math" w:hAnsi="Cambria Math" w:cstheme="minorBidi"/>
                                          <w:sz w:val="18"/>
                                          <w:szCs w:val="18"/>
                                        </w:rPr>
                                        <m:t>C</m:t>
                                      </m:r>
                                    </m:num>
                                    <m:den>
                                      <m:r>
                                        <m:rPr>
                                          <m:sty m:val="bi"/>
                                        </m:rPr>
                                        <w:rPr>
                                          <w:rFonts w:ascii="Cambria Math" w:hAnsi="Cambria Math" w:cstheme="minorBidi"/>
                                          <w:sz w:val="18"/>
                                          <w:szCs w:val="18"/>
                                        </w:rPr>
                                        <m:t>A</m:t>
                                      </m:r>
                                    </m:den>
                                  </m:f>
                                </m:e>
                              </m:d>
                            </m:oMath>
                            <w:r w:rsidRPr="00CF56BD">
                              <w:rPr>
                                <w:rFonts w:asciiTheme="minorHAnsi" w:hAnsi="Calibri" w:cstheme="minorBidi"/>
                                <w:b/>
                                <w:bCs/>
                                <w:sz w:val="18"/>
                                <w:szCs w:val="18"/>
                              </w:rPr>
                              <w:t xml:space="preserve"> x 100</w:t>
                            </w:r>
                          </w:p>
                        </w:txbxContent>
                      </v:textbox>
                    </v:shape>
                  </w:pict>
                </mc:Fallback>
              </mc:AlternateContent>
            </w:r>
          </w:p>
          <w:p w14:paraId="75BBEF2C" w14:textId="45D35ADA" w:rsidR="00625F25" w:rsidRPr="00B833D9" w:rsidRDefault="00625F25" w:rsidP="004D3A72">
            <w:pPr>
              <w:rPr>
                <w:rFonts w:cstheme="minorHAnsi"/>
                <w:sz w:val="20"/>
                <w:szCs w:val="20"/>
              </w:rPr>
            </w:pPr>
          </w:p>
          <w:p w14:paraId="58513E60" w14:textId="77777777" w:rsidR="00625F25" w:rsidRPr="00B833D9" w:rsidRDefault="00625F25" w:rsidP="004D3A72">
            <w:pPr>
              <w:rPr>
                <w:rFonts w:cstheme="minorHAnsi"/>
                <w:sz w:val="20"/>
                <w:szCs w:val="20"/>
              </w:rPr>
            </w:pPr>
          </w:p>
          <w:p w14:paraId="0E8EE79A" w14:textId="77777777" w:rsidR="007E41BF" w:rsidRDefault="007E41BF" w:rsidP="004D3A72">
            <w:pPr>
              <w:rPr>
                <w:rFonts w:cstheme="minorHAnsi"/>
                <w:sz w:val="20"/>
                <w:szCs w:val="20"/>
              </w:rPr>
            </w:pPr>
          </w:p>
          <w:p w14:paraId="0E8A093A" w14:textId="77777777" w:rsidR="007E41BF" w:rsidRDefault="007E41BF" w:rsidP="004D3A72">
            <w:pPr>
              <w:rPr>
                <w:rFonts w:cstheme="minorHAnsi"/>
                <w:sz w:val="20"/>
                <w:szCs w:val="20"/>
              </w:rPr>
            </w:pPr>
          </w:p>
          <w:p w14:paraId="22BC41FD" w14:textId="1B57B366" w:rsidR="00625F25" w:rsidRPr="00B833D9" w:rsidRDefault="00625F25" w:rsidP="004D3A72">
            <w:pPr>
              <w:rPr>
                <w:rFonts w:cstheme="minorHAnsi"/>
                <w:sz w:val="20"/>
                <w:szCs w:val="20"/>
              </w:rPr>
            </w:pPr>
            <w:r w:rsidRPr="00B833D9">
              <w:rPr>
                <w:rFonts w:cstheme="minorHAnsi"/>
                <w:sz w:val="20"/>
                <w:szCs w:val="20"/>
              </w:rPr>
              <w:t>Where:</w:t>
            </w:r>
          </w:p>
          <w:p w14:paraId="4FEE9E2E" w14:textId="5D9A6112" w:rsidR="00625F25" w:rsidRPr="00B833D9" w:rsidRDefault="00625F25" w:rsidP="00625F25">
            <w:pPr>
              <w:ind w:left="316"/>
              <w:rPr>
                <w:rFonts w:cstheme="minorHAnsi"/>
                <w:sz w:val="20"/>
                <w:szCs w:val="20"/>
              </w:rPr>
            </w:pPr>
            <w:r w:rsidRPr="00B833D9">
              <w:rPr>
                <w:rFonts w:cstheme="minorHAnsi"/>
                <w:sz w:val="20"/>
                <w:szCs w:val="20"/>
              </w:rPr>
              <w:t>A = total number of doses distributed by states and territories to providers.</w:t>
            </w:r>
          </w:p>
          <w:p w14:paraId="0C8B2224" w14:textId="0088089D" w:rsidR="00625F25" w:rsidRPr="00B833D9" w:rsidRDefault="00625F25" w:rsidP="00625F25">
            <w:pPr>
              <w:ind w:left="316"/>
              <w:rPr>
                <w:rFonts w:cstheme="minorHAnsi"/>
                <w:sz w:val="20"/>
                <w:szCs w:val="20"/>
              </w:rPr>
            </w:pPr>
            <w:r w:rsidRPr="00B833D9">
              <w:rPr>
                <w:rFonts w:cstheme="minorHAnsi"/>
                <w:sz w:val="20"/>
                <w:szCs w:val="20"/>
              </w:rPr>
              <w:t>B = total number of doses given to children aged &lt;10 years on the AIR.</w:t>
            </w:r>
          </w:p>
          <w:p w14:paraId="7DBF18C4" w14:textId="50A03371" w:rsidR="00625F25" w:rsidRPr="00B833D9" w:rsidRDefault="00625F25" w:rsidP="00625F25">
            <w:pPr>
              <w:spacing w:after="120"/>
              <w:ind w:left="318"/>
              <w:rPr>
                <w:rFonts w:cstheme="minorHAnsi"/>
                <w:sz w:val="20"/>
                <w:szCs w:val="20"/>
              </w:rPr>
            </w:pPr>
            <w:r w:rsidRPr="00B833D9">
              <w:rPr>
                <w:rFonts w:cstheme="minorHAnsi"/>
                <w:sz w:val="20"/>
                <w:szCs w:val="20"/>
              </w:rPr>
              <w:t>C = total number of doses lost to unavoidable wastage and leakage.</w:t>
            </w:r>
          </w:p>
          <w:p w14:paraId="4F1F9F6F" w14:textId="77777777" w:rsidR="00625F25" w:rsidRPr="00B833D9" w:rsidRDefault="00625F25" w:rsidP="00625F25">
            <w:pPr>
              <w:rPr>
                <w:rFonts w:cstheme="minorHAnsi"/>
                <w:sz w:val="20"/>
                <w:szCs w:val="20"/>
              </w:rPr>
            </w:pPr>
            <w:r w:rsidRPr="00B833D9">
              <w:rPr>
                <w:rFonts w:cstheme="minorHAnsi"/>
                <w:sz w:val="20"/>
                <w:szCs w:val="20"/>
              </w:rPr>
              <w:t>•  The wastage and leakage calculation includes an adjustment factor of 3 per cent to account for underreporting to AIR.</w:t>
            </w:r>
          </w:p>
          <w:p w14:paraId="7097E86A" w14:textId="7EBFFDB7" w:rsidR="004D3A72" w:rsidRPr="00B833D9" w:rsidRDefault="004D3A72" w:rsidP="004D3A72">
            <w:pPr>
              <w:rPr>
                <w:rFonts w:cstheme="minorHAnsi"/>
                <w:strike/>
                <w:sz w:val="20"/>
                <w:szCs w:val="20"/>
              </w:rPr>
            </w:pPr>
            <w:r w:rsidRPr="00B833D9">
              <w:rPr>
                <w:rFonts w:cstheme="minorHAnsi"/>
                <w:sz w:val="20"/>
                <w:szCs w:val="20"/>
              </w:rPr>
              <w:t>•  The current</w:t>
            </w:r>
            <w:r w:rsidR="00096EBC">
              <w:rPr>
                <w:rFonts w:cstheme="minorHAnsi"/>
                <w:sz w:val="20"/>
                <w:szCs w:val="20"/>
              </w:rPr>
              <w:t xml:space="preserve"> reference period’s</w:t>
            </w:r>
            <w:r w:rsidRPr="00B833D9">
              <w:rPr>
                <w:rFonts w:cstheme="minorHAnsi"/>
                <w:sz w:val="20"/>
                <w:szCs w:val="20"/>
              </w:rPr>
              <w:t xml:space="preserve"> wastage and leakage rate is compared to a baseli</w:t>
            </w:r>
            <w:r w:rsidR="00031219" w:rsidRPr="00B833D9">
              <w:rPr>
                <w:rFonts w:cstheme="minorHAnsi"/>
                <w:sz w:val="20"/>
                <w:szCs w:val="20"/>
              </w:rPr>
              <w:t xml:space="preserve">ne which is </w:t>
            </w:r>
            <w:r w:rsidR="00031219" w:rsidRPr="00B833D9">
              <w:rPr>
                <w:rFonts w:cstheme="minorHAnsi"/>
                <w:sz w:val="20"/>
                <w:szCs w:val="20"/>
              </w:rPr>
              <w:lastRenderedPageBreak/>
              <w:t xml:space="preserve">the previous </w:t>
            </w:r>
            <w:r w:rsidR="00096EBC">
              <w:rPr>
                <w:rFonts w:cstheme="minorHAnsi"/>
                <w:sz w:val="20"/>
                <w:szCs w:val="20"/>
              </w:rPr>
              <w:t xml:space="preserve">reference period (1 April </w:t>
            </w:r>
            <w:r w:rsidR="006268E7">
              <w:rPr>
                <w:rFonts w:cstheme="minorHAnsi"/>
                <w:sz w:val="20"/>
                <w:szCs w:val="20"/>
              </w:rPr>
              <w:t xml:space="preserve">2023 </w:t>
            </w:r>
            <w:r w:rsidR="00096EBC">
              <w:rPr>
                <w:rFonts w:cstheme="minorHAnsi"/>
                <w:sz w:val="20"/>
                <w:szCs w:val="20"/>
              </w:rPr>
              <w:t xml:space="preserve">– 31 March </w:t>
            </w:r>
            <w:r w:rsidR="006268E7">
              <w:rPr>
                <w:rFonts w:cstheme="minorHAnsi"/>
                <w:sz w:val="20"/>
                <w:szCs w:val="20"/>
              </w:rPr>
              <w:t>2024</w:t>
            </w:r>
            <w:r w:rsidR="00096EBC">
              <w:rPr>
                <w:rFonts w:cstheme="minorHAnsi"/>
                <w:sz w:val="20"/>
                <w:szCs w:val="20"/>
              </w:rPr>
              <w:t>)</w:t>
            </w:r>
            <w:r w:rsidR="00096EBC" w:rsidRPr="00B833D9">
              <w:rPr>
                <w:rFonts w:cstheme="minorHAnsi"/>
                <w:sz w:val="20"/>
                <w:szCs w:val="20"/>
              </w:rPr>
              <w:t xml:space="preserve"> </w:t>
            </w:r>
            <w:r w:rsidR="00031219" w:rsidRPr="00B833D9">
              <w:rPr>
                <w:rFonts w:cstheme="minorHAnsi"/>
                <w:sz w:val="20"/>
                <w:szCs w:val="20"/>
              </w:rPr>
              <w:t>wastage and leakage</w:t>
            </w:r>
            <w:r w:rsidRPr="00B833D9">
              <w:rPr>
                <w:rFonts w:cstheme="minorHAnsi"/>
                <w:sz w:val="20"/>
                <w:szCs w:val="20"/>
              </w:rPr>
              <w:t xml:space="preserve"> rate for that jurisdiction.  </w:t>
            </w:r>
          </w:p>
          <w:p w14:paraId="0EBC2B50" w14:textId="1998093C" w:rsidR="004D3A72" w:rsidRPr="00B833D9" w:rsidRDefault="004D3A72" w:rsidP="004D3A72">
            <w:pPr>
              <w:rPr>
                <w:rFonts w:cstheme="minorHAnsi"/>
                <w:sz w:val="20"/>
                <w:szCs w:val="20"/>
              </w:rPr>
            </w:pPr>
            <w:r w:rsidRPr="00B833D9">
              <w:rPr>
                <w:rFonts w:cstheme="minorHAnsi"/>
                <w:sz w:val="20"/>
                <w:szCs w:val="20"/>
              </w:rPr>
              <w:t xml:space="preserve">•  Analysis </w:t>
            </w:r>
            <w:r w:rsidR="00031219" w:rsidRPr="00B833D9">
              <w:rPr>
                <w:rFonts w:cstheme="minorHAnsi"/>
                <w:sz w:val="20"/>
                <w:szCs w:val="20"/>
              </w:rPr>
              <w:t xml:space="preserve">by State/Territory </w:t>
            </w:r>
            <w:r w:rsidRPr="00B833D9">
              <w:rPr>
                <w:rFonts w:cstheme="minorHAnsi"/>
                <w:sz w:val="20"/>
                <w:szCs w:val="20"/>
              </w:rPr>
              <w:t>is based on postcode of residence of the child as record</w:t>
            </w:r>
            <w:r w:rsidR="00031219" w:rsidRPr="00B833D9">
              <w:rPr>
                <w:rFonts w:cstheme="minorHAnsi"/>
                <w:sz w:val="20"/>
                <w:szCs w:val="20"/>
              </w:rPr>
              <w:t>ed</w:t>
            </w:r>
            <w:r w:rsidRPr="00B833D9">
              <w:rPr>
                <w:rFonts w:cstheme="minorHAnsi"/>
                <w:sz w:val="20"/>
                <w:szCs w:val="20"/>
              </w:rPr>
              <w:t xml:space="preserve"> on </w:t>
            </w:r>
            <w:r w:rsidR="00031219" w:rsidRPr="00B833D9">
              <w:rPr>
                <w:rFonts w:cstheme="minorHAnsi"/>
                <w:sz w:val="20"/>
                <w:szCs w:val="20"/>
              </w:rPr>
              <w:t xml:space="preserve">the AIR. </w:t>
            </w:r>
            <w:r w:rsidRPr="00B833D9">
              <w:rPr>
                <w:rFonts w:cstheme="minorHAnsi"/>
                <w:sz w:val="20"/>
                <w:szCs w:val="20"/>
              </w:rPr>
              <w:t>As children may receive vaccinations in locations other than where they live, this data does not necessarily reflect the location in which services were received.</w:t>
            </w:r>
          </w:p>
          <w:p w14:paraId="67A80C30" w14:textId="2E554597" w:rsidR="004D3A72" w:rsidRPr="00B833D9" w:rsidRDefault="004D3A72" w:rsidP="004D3A72">
            <w:pPr>
              <w:rPr>
                <w:rFonts w:cstheme="minorHAnsi"/>
                <w:sz w:val="20"/>
                <w:szCs w:val="20"/>
              </w:rPr>
            </w:pPr>
            <w:r w:rsidRPr="00B833D9">
              <w:rPr>
                <w:rFonts w:cstheme="minorHAnsi"/>
                <w:sz w:val="20"/>
                <w:szCs w:val="20"/>
              </w:rPr>
              <w:t>•  The wastage and leakage calculation discounts vaccines lost due to uncontrollable events such as natural disasters, power outages or refrigeration failures. States must provide reports that outline any known wastage that has occurred due to uncontrollable</w:t>
            </w:r>
            <w:r w:rsidR="00031219" w:rsidRPr="00B833D9">
              <w:rPr>
                <w:rFonts w:cstheme="minorHAnsi"/>
                <w:sz w:val="20"/>
                <w:szCs w:val="20"/>
              </w:rPr>
              <w:t xml:space="preserve"> events. R</w:t>
            </w:r>
            <w:r w:rsidRPr="00B833D9">
              <w:rPr>
                <w:rFonts w:cstheme="minorHAnsi"/>
                <w:sz w:val="20"/>
                <w:szCs w:val="20"/>
              </w:rPr>
              <w:t>eports are required to include the number of vaccines distributed during the reporting period.</w:t>
            </w:r>
          </w:p>
          <w:p w14:paraId="7EB0F73D" w14:textId="77777777" w:rsidR="00F075B9" w:rsidRDefault="00F075B9" w:rsidP="0056302F">
            <w:pPr>
              <w:rPr>
                <w:rFonts w:cstheme="minorHAnsi"/>
                <w:sz w:val="20"/>
                <w:szCs w:val="20"/>
              </w:rPr>
            </w:pPr>
            <w:r w:rsidRPr="00B833D9">
              <w:rPr>
                <w:rFonts w:cstheme="minorHAnsi"/>
                <w:sz w:val="20"/>
                <w:szCs w:val="20"/>
              </w:rPr>
              <w:t>•  Where a new vaccine is added to the NIP for children only, a baseline of 10 per cent wastage and leakage will be applied.</w:t>
            </w:r>
          </w:p>
          <w:p w14:paraId="752AA378" w14:textId="12C39B6F" w:rsidR="004D3A72" w:rsidRPr="00B833D9" w:rsidRDefault="004D3A72" w:rsidP="003D59EF"/>
        </w:tc>
        <w:tc>
          <w:tcPr>
            <w:tcW w:w="3119" w:type="dxa"/>
            <w:tcBorders>
              <w:top w:val="single" w:sz="8" w:space="0" w:color="4F81BD"/>
              <w:left w:val="single" w:sz="8" w:space="0" w:color="4F81BD"/>
              <w:bottom w:val="single" w:sz="8" w:space="0" w:color="4F81BD"/>
              <w:right w:val="single" w:sz="8" w:space="0" w:color="4F81BD"/>
            </w:tcBorders>
            <w:shd w:val="clear" w:color="auto" w:fill="auto"/>
          </w:tcPr>
          <w:p w14:paraId="508EE9E9" w14:textId="0EE289AC" w:rsidR="004D3A72" w:rsidRPr="00B833D9" w:rsidRDefault="006268E7" w:rsidP="004D3A72">
            <w:pPr>
              <w:pStyle w:val="CommentText"/>
              <w:rPr>
                <w:rFonts w:cstheme="minorHAnsi"/>
                <w:b/>
              </w:rPr>
            </w:pPr>
            <w:r>
              <w:rPr>
                <w:rFonts w:cstheme="minorHAnsi"/>
                <w:b/>
              </w:rPr>
              <w:lastRenderedPageBreak/>
              <w:t>2024-25</w:t>
            </w:r>
            <w:r w:rsidR="00543CC9" w:rsidRPr="00B833D9">
              <w:rPr>
                <w:rFonts w:cstheme="minorHAnsi"/>
                <w:b/>
              </w:rPr>
              <w:t xml:space="preserve"> (Year </w:t>
            </w:r>
            <w:r>
              <w:rPr>
                <w:rFonts w:cstheme="minorHAnsi"/>
                <w:b/>
              </w:rPr>
              <w:t>8</w:t>
            </w:r>
            <w:r w:rsidR="00543CC9" w:rsidRPr="00B833D9">
              <w:rPr>
                <w:rFonts w:cstheme="minorHAnsi"/>
                <w:b/>
              </w:rPr>
              <w:t>)</w:t>
            </w:r>
          </w:p>
          <w:p w14:paraId="15B075AA" w14:textId="57770EC2" w:rsidR="004D3A72" w:rsidRPr="00B833D9" w:rsidRDefault="004D3A72" w:rsidP="004D3A72">
            <w:pPr>
              <w:pStyle w:val="Milestonetable"/>
              <w:numPr>
                <w:ilvl w:val="0"/>
                <w:numId w:val="40"/>
              </w:numPr>
              <w:ind w:left="317" w:hanging="218"/>
              <w:rPr>
                <w:rFonts w:asciiTheme="minorHAnsi" w:hAnsiTheme="minorHAnsi" w:cstheme="minorHAnsi"/>
                <w:color w:val="auto"/>
              </w:rPr>
            </w:pPr>
            <w:r w:rsidRPr="00B833D9">
              <w:rPr>
                <w:rFonts w:asciiTheme="minorHAnsi" w:hAnsiTheme="minorHAnsi" w:cstheme="minorHAnsi"/>
                <w:color w:val="auto"/>
              </w:rPr>
              <w:t>1 April 202</w:t>
            </w:r>
            <w:r w:rsidR="006268E7">
              <w:rPr>
                <w:rFonts w:asciiTheme="minorHAnsi" w:hAnsiTheme="minorHAnsi" w:cstheme="minorHAnsi"/>
                <w:color w:val="auto"/>
              </w:rPr>
              <w:t>4</w:t>
            </w:r>
            <w:r w:rsidRPr="00B833D9">
              <w:rPr>
                <w:rFonts w:asciiTheme="minorHAnsi" w:hAnsiTheme="minorHAnsi" w:cstheme="minorHAnsi"/>
                <w:color w:val="auto"/>
              </w:rPr>
              <w:t xml:space="preserve"> – 31 March 202</w:t>
            </w:r>
            <w:r w:rsidR="006268E7">
              <w:rPr>
                <w:rFonts w:asciiTheme="minorHAnsi" w:hAnsiTheme="minorHAnsi" w:cstheme="minorHAnsi"/>
                <w:color w:val="auto"/>
              </w:rPr>
              <w:t>5</w:t>
            </w:r>
            <w:r w:rsidRPr="00B833D9">
              <w:rPr>
                <w:rFonts w:asciiTheme="minorHAnsi" w:hAnsiTheme="minorHAnsi" w:cstheme="minorHAnsi"/>
                <w:color w:val="auto"/>
              </w:rPr>
              <w:t xml:space="preserve">: </w:t>
            </w:r>
            <w:r w:rsidR="00096EBC">
              <w:rPr>
                <w:rFonts w:asciiTheme="minorHAnsi" w:hAnsiTheme="minorHAnsi" w:cstheme="minorHAnsi"/>
                <w:color w:val="auto"/>
              </w:rPr>
              <w:t>Current r</w:t>
            </w:r>
            <w:r w:rsidRPr="00B833D9">
              <w:rPr>
                <w:rFonts w:asciiTheme="minorHAnsi" w:hAnsiTheme="minorHAnsi" w:cstheme="minorHAnsi"/>
                <w:color w:val="auto"/>
              </w:rPr>
              <w:t xml:space="preserve">eference period </w:t>
            </w:r>
            <w:proofErr w:type="gramStart"/>
            <w:r w:rsidRPr="00B833D9">
              <w:rPr>
                <w:rFonts w:asciiTheme="minorHAnsi" w:hAnsiTheme="minorHAnsi" w:cstheme="minorHAnsi"/>
                <w:color w:val="auto"/>
              </w:rPr>
              <w:t>assessed</w:t>
            </w:r>
            <w:proofErr w:type="gramEnd"/>
          </w:p>
          <w:p w14:paraId="2D9EA6AB" w14:textId="0D7E09A9" w:rsidR="004D3A72" w:rsidRPr="00B833D9" w:rsidRDefault="004D3A72" w:rsidP="004D3A72">
            <w:pPr>
              <w:pStyle w:val="Milestonetable"/>
              <w:numPr>
                <w:ilvl w:val="0"/>
                <w:numId w:val="40"/>
              </w:numPr>
              <w:ind w:left="317" w:hanging="218"/>
              <w:rPr>
                <w:rFonts w:asciiTheme="minorHAnsi" w:hAnsiTheme="minorHAnsi" w:cstheme="minorHAnsi"/>
                <w:color w:val="auto"/>
              </w:rPr>
            </w:pPr>
            <w:r w:rsidRPr="00B833D9">
              <w:rPr>
                <w:rFonts w:asciiTheme="minorHAnsi" w:hAnsiTheme="minorHAnsi" w:cstheme="minorHAnsi"/>
                <w:color w:val="auto"/>
              </w:rPr>
              <w:t xml:space="preserve">By </w:t>
            </w:r>
            <w:r w:rsidR="009E7725" w:rsidRPr="00B833D9">
              <w:rPr>
                <w:rFonts w:asciiTheme="minorHAnsi" w:hAnsiTheme="minorHAnsi" w:cstheme="minorHAnsi"/>
                <w:color w:val="auto"/>
              </w:rPr>
              <w:t>30 September</w:t>
            </w:r>
            <w:r w:rsidRPr="00B833D9">
              <w:rPr>
                <w:rFonts w:asciiTheme="minorHAnsi" w:hAnsiTheme="minorHAnsi" w:cstheme="minorHAnsi"/>
                <w:color w:val="auto"/>
              </w:rPr>
              <w:t xml:space="preserve"> 202</w:t>
            </w:r>
            <w:r w:rsidR="006268E7">
              <w:rPr>
                <w:rFonts w:asciiTheme="minorHAnsi" w:hAnsiTheme="minorHAnsi" w:cstheme="minorHAnsi"/>
                <w:color w:val="auto"/>
              </w:rPr>
              <w:t>5</w:t>
            </w:r>
            <w:r w:rsidRPr="00B833D9">
              <w:rPr>
                <w:rFonts w:asciiTheme="minorHAnsi" w:hAnsiTheme="minorHAnsi" w:cstheme="minorHAnsi"/>
                <w:color w:val="auto"/>
              </w:rPr>
              <w:t xml:space="preserve">: Assessment outcomes </w:t>
            </w:r>
            <w:proofErr w:type="gramStart"/>
            <w:r w:rsidRPr="00B833D9">
              <w:rPr>
                <w:rFonts w:asciiTheme="minorHAnsi" w:hAnsiTheme="minorHAnsi" w:cstheme="minorHAnsi"/>
                <w:color w:val="auto"/>
              </w:rPr>
              <w:t>notified</w:t>
            </w:r>
            <w:proofErr w:type="gramEnd"/>
            <w:r w:rsidRPr="00B833D9">
              <w:rPr>
                <w:rFonts w:asciiTheme="minorHAnsi" w:hAnsiTheme="minorHAnsi" w:cstheme="minorHAnsi"/>
                <w:color w:val="auto"/>
              </w:rPr>
              <w:t xml:space="preserve"> </w:t>
            </w:r>
          </w:p>
          <w:p w14:paraId="57895197" w14:textId="3745626D" w:rsidR="004D3A72" w:rsidRPr="00B833D9" w:rsidRDefault="004D3A72" w:rsidP="00CF175E">
            <w:pPr>
              <w:pStyle w:val="Milestonetable"/>
              <w:numPr>
                <w:ilvl w:val="0"/>
                <w:numId w:val="40"/>
              </w:numPr>
              <w:ind w:left="317" w:hanging="218"/>
              <w:rPr>
                <w:rFonts w:asciiTheme="minorHAnsi" w:hAnsiTheme="minorHAnsi" w:cstheme="minorHAnsi"/>
                <w:color w:val="auto"/>
              </w:rPr>
            </w:pPr>
            <w:r w:rsidRPr="00347663">
              <w:rPr>
                <w:rFonts w:asciiTheme="minorHAnsi" w:hAnsiTheme="minorHAnsi" w:cstheme="minorHAnsi"/>
                <w:color w:val="auto"/>
              </w:rPr>
              <w:t xml:space="preserve">By </w:t>
            </w:r>
            <w:r w:rsidR="009E7725" w:rsidRPr="00096EBC">
              <w:rPr>
                <w:rFonts w:asciiTheme="minorHAnsi" w:hAnsiTheme="minorHAnsi" w:cstheme="minorHAnsi"/>
                <w:color w:val="auto"/>
              </w:rPr>
              <w:t>31 December 202</w:t>
            </w:r>
            <w:r w:rsidR="006268E7">
              <w:rPr>
                <w:rFonts w:asciiTheme="minorHAnsi" w:hAnsiTheme="minorHAnsi" w:cstheme="minorHAnsi"/>
                <w:color w:val="auto"/>
              </w:rPr>
              <w:t>5</w:t>
            </w:r>
            <w:r w:rsidRPr="00096EBC">
              <w:rPr>
                <w:rFonts w:asciiTheme="minorHAnsi" w:hAnsiTheme="minorHAnsi" w:cstheme="minorHAnsi"/>
                <w:color w:val="auto"/>
              </w:rPr>
              <w:t xml:space="preserve">: </w:t>
            </w:r>
            <w:r w:rsidR="00813356" w:rsidRPr="00096EBC">
              <w:rPr>
                <w:rFonts w:asciiTheme="minorHAnsi" w:hAnsiTheme="minorHAnsi" w:cstheme="minorHAnsi"/>
                <w:color w:val="auto"/>
              </w:rPr>
              <w:t>A</w:t>
            </w:r>
            <w:r w:rsidRPr="00096EBC">
              <w:rPr>
                <w:rFonts w:asciiTheme="minorHAnsi" w:hAnsiTheme="minorHAnsi" w:cstheme="minorHAnsi"/>
                <w:color w:val="auto"/>
              </w:rPr>
              <w:t>ssessment report published</w:t>
            </w:r>
          </w:p>
        </w:tc>
        <w:tc>
          <w:tcPr>
            <w:tcW w:w="2226" w:type="dxa"/>
            <w:tcBorders>
              <w:top w:val="single" w:sz="8" w:space="0" w:color="4F81BD"/>
              <w:left w:val="single" w:sz="8" w:space="0" w:color="4F81BD"/>
              <w:bottom w:val="single" w:sz="8" w:space="0" w:color="4F81BD"/>
              <w:right w:val="single" w:sz="8" w:space="0" w:color="4F81BD"/>
            </w:tcBorders>
            <w:shd w:val="clear" w:color="auto" w:fill="auto"/>
          </w:tcPr>
          <w:p w14:paraId="4A0BE79F" w14:textId="7BDDB4C1" w:rsidR="004D3A72" w:rsidRPr="00B833D9" w:rsidRDefault="004D3A72" w:rsidP="004D3A72">
            <w:pPr>
              <w:pStyle w:val="Milestonetable"/>
              <w:rPr>
                <w:rFonts w:asciiTheme="minorHAnsi" w:hAnsiTheme="minorHAnsi" w:cstheme="minorHAnsi"/>
                <w:color w:val="auto"/>
              </w:rPr>
            </w:pPr>
            <w:r w:rsidRPr="00B833D9">
              <w:rPr>
                <w:rFonts w:asciiTheme="minorHAnsi" w:hAnsiTheme="minorHAnsi" w:cstheme="minorHAnsi"/>
                <w:color w:val="auto"/>
              </w:rPr>
              <w:t>0.75% of the funded 4.5% of each State and Territory’s total vaccine costs</w:t>
            </w:r>
            <w:r w:rsidR="009D33DD">
              <w:rPr>
                <w:rFonts w:asciiTheme="minorHAnsi" w:hAnsiTheme="minorHAnsi" w:cstheme="minorHAnsi"/>
                <w:color w:val="auto"/>
              </w:rPr>
              <w:t xml:space="preserve"> in the </w:t>
            </w:r>
            <w:r w:rsidR="006268E7">
              <w:rPr>
                <w:rFonts w:asciiTheme="minorHAnsi" w:hAnsiTheme="minorHAnsi" w:cstheme="minorHAnsi"/>
                <w:color w:val="auto"/>
              </w:rPr>
              <w:t>2023-24</w:t>
            </w:r>
            <w:r w:rsidR="00D72056">
              <w:rPr>
                <w:rFonts w:asciiTheme="minorHAnsi" w:hAnsiTheme="minorHAnsi" w:cstheme="minorHAnsi"/>
                <w:color w:val="auto"/>
              </w:rPr>
              <w:t xml:space="preserve"> financial year</w:t>
            </w:r>
            <w:r w:rsidRPr="00B833D9">
              <w:rPr>
                <w:rFonts w:asciiTheme="minorHAnsi" w:hAnsiTheme="minorHAnsi" w:cstheme="minorHAnsi"/>
                <w:color w:val="auto"/>
              </w:rPr>
              <w:t xml:space="preserve">.  </w:t>
            </w:r>
          </w:p>
        </w:tc>
      </w:tr>
    </w:tbl>
    <w:p w14:paraId="6B57991D" w14:textId="206E82CD" w:rsidR="003D59EF" w:rsidRPr="003D59EF" w:rsidRDefault="003D59EF" w:rsidP="003D59EF">
      <w:pPr>
        <w:rPr>
          <w:rFonts w:cstheme="minorHAnsi"/>
        </w:rPr>
      </w:pPr>
      <w:r w:rsidRPr="00034DCC">
        <w:rPr>
          <w:rFonts w:cstheme="minorHAnsi"/>
          <w:b/>
          <w:bCs/>
          <w:vertAlign w:val="superscript"/>
        </w:rPr>
        <w:t>#</w:t>
      </w:r>
      <w:r>
        <w:rPr>
          <w:rFonts w:cstheme="minorHAnsi"/>
          <w:b/>
          <w:bCs/>
          <w:vertAlign w:val="superscript"/>
        </w:rPr>
        <w:t xml:space="preserve">  </w:t>
      </w:r>
      <w:r w:rsidRPr="00BD02DB">
        <w:rPr>
          <w:rFonts w:cstheme="minorHAnsi"/>
        </w:rPr>
        <w:t>Where a state or territory does not meet the performance benchmark and considers that this outcome is beyond its control because of exceptional circumstances, then the state or territory may present a case to the designated delegate outlining mitigating circumstances supported by appropriate evidence. Such circumstances may include unforeseen or isolated events (e.g. natural disasters). If it is determined upon consideration of the presented evidence that the exceptional circumstance(s) directly contributed to the state or territory not meeting the performance benchmark, then the state or territory will be deemed to have met the performance benchmark for the purpose of receiving the associated payment. Where exceptional events demonstrably have a national impact (including but not limited to pandemics, national vaccine supply shortages or changes to the National Immunisation Program schedule within a reporting period), the Commonwealth will consider available evidence on behalf of jurisdictions and make a determination to support fair performance assessment.</w:t>
      </w:r>
    </w:p>
    <w:p w14:paraId="3CA5FCAF" w14:textId="77777777" w:rsidR="00C91B5F" w:rsidRPr="003543B8" w:rsidRDefault="00C91B5F" w:rsidP="00C91B5F">
      <w:pPr>
        <w:rPr>
          <w:rFonts w:cstheme="minorHAnsi"/>
        </w:rPr>
      </w:pPr>
    </w:p>
    <w:p w14:paraId="78423B65" w14:textId="6498B949" w:rsidR="00884E8F" w:rsidRDefault="00884E8F" w:rsidP="00884E8F"/>
    <w:p w14:paraId="1FED8276" w14:textId="77777777" w:rsidR="00884E8F" w:rsidRPr="00F00A18" w:rsidRDefault="00884E8F" w:rsidP="00884E8F"/>
    <w:p w14:paraId="75B2AA94" w14:textId="77777777" w:rsidR="00884E8F" w:rsidRPr="00F00A18" w:rsidRDefault="00884E8F" w:rsidP="00884E8F">
      <w:pPr>
        <w:tabs>
          <w:tab w:val="left" w:pos="3865"/>
        </w:tabs>
        <w:sectPr w:rsidR="00884E8F" w:rsidRPr="00F00A18" w:rsidSect="00EA63BE">
          <w:headerReference w:type="even" r:id="rId14"/>
          <w:headerReference w:type="default" r:id="rId15"/>
          <w:headerReference w:type="first" r:id="rId16"/>
          <w:pgSz w:w="16838" w:h="11906" w:orient="landscape" w:code="9"/>
          <w:pgMar w:top="1134" w:right="1134" w:bottom="1134" w:left="1134" w:header="709" w:footer="709" w:gutter="0"/>
          <w:pgNumType w:chapStyle="9"/>
          <w:cols w:space="708"/>
          <w:titlePg/>
          <w:docGrid w:linePitch="360"/>
        </w:sectPr>
      </w:pPr>
      <w:r w:rsidRPr="00F00A18">
        <w:tab/>
      </w:r>
    </w:p>
    <w:tbl>
      <w:tblPr>
        <w:tblpPr w:leftFromText="180" w:rightFromText="180" w:vertAnchor="text" w:horzAnchor="margin" w:tblpY="361"/>
        <w:tblW w:w="9356" w:type="dxa"/>
        <w:tblLayout w:type="fixed"/>
        <w:tblLook w:val="01E0" w:firstRow="1" w:lastRow="1" w:firstColumn="1" w:lastColumn="1" w:noHBand="0" w:noVBand="0"/>
      </w:tblPr>
      <w:tblGrid>
        <w:gridCol w:w="4536"/>
        <w:gridCol w:w="284"/>
        <w:gridCol w:w="4536"/>
      </w:tblGrid>
      <w:tr w:rsidR="00C0547D" w:rsidRPr="00F00A18" w14:paraId="10C909F0" w14:textId="77777777" w:rsidTr="00C0547D">
        <w:trPr>
          <w:cantSplit/>
        </w:trPr>
        <w:tc>
          <w:tcPr>
            <w:tcW w:w="4536" w:type="dxa"/>
          </w:tcPr>
          <w:p w14:paraId="6368E6D3" w14:textId="77777777" w:rsidR="00C0547D" w:rsidRPr="00F00A18" w:rsidRDefault="00C0547D" w:rsidP="00C0547D">
            <w:pPr>
              <w:pStyle w:val="Signed"/>
              <w:rPr>
                <w:color w:val="auto"/>
              </w:rPr>
            </w:pPr>
            <w:r w:rsidRPr="00F00A18">
              <w:rPr>
                <w:rStyle w:val="SignedBold"/>
                <w:color w:val="auto"/>
              </w:rPr>
              <w:lastRenderedPageBreak/>
              <w:t>Signed</w:t>
            </w:r>
            <w:r w:rsidRPr="00F00A18">
              <w:rPr>
                <w:color w:val="auto"/>
              </w:rPr>
              <w:t xml:space="preserve"> for and on behalf of the Commonwealth of Australia by</w:t>
            </w:r>
          </w:p>
          <w:p w14:paraId="4A6C0631" w14:textId="77777777" w:rsidR="00C0547D" w:rsidRPr="00F00A18" w:rsidRDefault="00C0547D" w:rsidP="00C0547D">
            <w:pPr>
              <w:pStyle w:val="LineForSignature"/>
              <w:rPr>
                <w:color w:val="auto"/>
              </w:rPr>
            </w:pPr>
            <w:r w:rsidRPr="00F00A18">
              <w:rPr>
                <w:color w:val="auto"/>
              </w:rPr>
              <w:tab/>
            </w:r>
          </w:p>
          <w:p w14:paraId="2D3661F7" w14:textId="77777777" w:rsidR="00C0547D" w:rsidRPr="00F00A18" w:rsidRDefault="00C0547D" w:rsidP="00C0547D">
            <w:pPr>
              <w:pStyle w:val="SingleParagraph"/>
              <w:rPr>
                <w:rStyle w:val="Bold"/>
                <w:color w:val="auto"/>
              </w:rPr>
            </w:pPr>
            <w:r w:rsidRPr="00F00A18">
              <w:rPr>
                <w:rStyle w:val="Bold"/>
                <w:color w:val="auto"/>
              </w:rPr>
              <w:t xml:space="preserve">The Honourable </w:t>
            </w:r>
            <w:r>
              <w:rPr>
                <w:rStyle w:val="Bold"/>
                <w:color w:val="auto"/>
              </w:rPr>
              <w:t>Mark Butler</w:t>
            </w:r>
            <w:r w:rsidRPr="00F00A18">
              <w:rPr>
                <w:rStyle w:val="Bold"/>
                <w:color w:val="auto"/>
              </w:rPr>
              <w:t xml:space="preserve"> MP</w:t>
            </w:r>
          </w:p>
          <w:p w14:paraId="1A59043E" w14:textId="77777777" w:rsidR="00C0547D" w:rsidRPr="00F00A18" w:rsidRDefault="00C0547D" w:rsidP="00C0547D">
            <w:pPr>
              <w:pStyle w:val="Position"/>
              <w:rPr>
                <w:color w:val="auto"/>
                <w:lang w:val="en-GB"/>
              </w:rPr>
            </w:pPr>
            <w:r w:rsidRPr="00F00A18">
              <w:rPr>
                <w:color w:val="auto"/>
                <w:lang w:val="en-GB"/>
              </w:rPr>
              <w:t xml:space="preserve">Minister for </w:t>
            </w:r>
            <w:r>
              <w:rPr>
                <w:color w:val="auto"/>
                <w:lang w:val="en-GB"/>
              </w:rPr>
              <w:t>Health and Aged Care</w:t>
            </w:r>
            <w:r w:rsidRPr="00F00A18">
              <w:rPr>
                <w:color w:val="auto"/>
                <w:lang w:val="en-GB"/>
              </w:rPr>
              <w:t xml:space="preserve"> </w:t>
            </w:r>
          </w:p>
          <w:p w14:paraId="64048B40" w14:textId="77777777" w:rsidR="00C0547D" w:rsidRPr="00F00A18" w:rsidRDefault="00C0547D" w:rsidP="00C0547D">
            <w:pPr>
              <w:pStyle w:val="SingleParagraph"/>
              <w:tabs>
                <w:tab w:val="num" w:pos="1134"/>
              </w:tabs>
              <w:spacing w:after="240"/>
              <w:ind w:left="1134" w:hanging="567"/>
              <w:rPr>
                <w:b/>
                <w:color w:val="auto"/>
                <w:lang w:val="en-GB"/>
              </w:rPr>
            </w:pPr>
            <w:r>
              <w:rPr>
                <w:color w:val="auto"/>
                <w:lang w:val="en-GB"/>
              </w:rPr>
              <w:t>June 2024</w:t>
            </w:r>
          </w:p>
        </w:tc>
        <w:tc>
          <w:tcPr>
            <w:tcW w:w="284" w:type="dxa"/>
            <w:tcMar>
              <w:left w:w="0" w:type="dxa"/>
              <w:right w:w="0" w:type="dxa"/>
            </w:tcMar>
          </w:tcPr>
          <w:p w14:paraId="1D5EF017" w14:textId="77777777" w:rsidR="00C0547D" w:rsidRPr="00F00A18" w:rsidRDefault="00C0547D" w:rsidP="00C0547D">
            <w:pPr>
              <w:rPr>
                <w:rFonts w:ascii="Book Antiqua" w:hAnsi="Book Antiqua"/>
                <w:lang w:val="en-GB"/>
              </w:rPr>
            </w:pPr>
          </w:p>
        </w:tc>
        <w:tc>
          <w:tcPr>
            <w:tcW w:w="4536" w:type="dxa"/>
          </w:tcPr>
          <w:p w14:paraId="5E2D7407" w14:textId="77777777" w:rsidR="00C0547D" w:rsidRPr="00F00A18" w:rsidRDefault="00C0547D" w:rsidP="00C0547D">
            <w:pPr>
              <w:rPr>
                <w:rFonts w:ascii="Book Antiqua" w:hAnsi="Book Antiqua"/>
                <w:lang w:val="en-GB"/>
              </w:rPr>
            </w:pPr>
          </w:p>
        </w:tc>
      </w:tr>
      <w:tr w:rsidR="00C0547D" w:rsidRPr="00F00A18" w14:paraId="3D1E2A7E" w14:textId="77777777" w:rsidTr="00C0547D">
        <w:trPr>
          <w:cantSplit/>
        </w:trPr>
        <w:tc>
          <w:tcPr>
            <w:tcW w:w="4536" w:type="dxa"/>
          </w:tcPr>
          <w:p w14:paraId="0B8EE40E" w14:textId="77777777" w:rsidR="00C0547D" w:rsidRPr="00F00A18" w:rsidRDefault="00C0547D" w:rsidP="00C0547D">
            <w:pPr>
              <w:pStyle w:val="SingleParagraph"/>
              <w:rPr>
                <w:rFonts w:ascii="Book Antiqua" w:hAnsi="Book Antiqua"/>
                <w:color w:val="auto"/>
                <w:lang w:val="en-GB"/>
              </w:rPr>
            </w:pPr>
          </w:p>
        </w:tc>
        <w:tc>
          <w:tcPr>
            <w:tcW w:w="284" w:type="dxa"/>
            <w:tcMar>
              <w:left w:w="0" w:type="dxa"/>
              <w:right w:w="0" w:type="dxa"/>
            </w:tcMar>
          </w:tcPr>
          <w:p w14:paraId="03CF927B" w14:textId="77777777" w:rsidR="00C0547D" w:rsidRPr="00F00A18" w:rsidRDefault="00C0547D" w:rsidP="00C0547D">
            <w:pPr>
              <w:pStyle w:val="SingleParagraph"/>
              <w:rPr>
                <w:rFonts w:ascii="Book Antiqua" w:hAnsi="Book Antiqua"/>
                <w:color w:val="auto"/>
                <w:lang w:val="en-GB"/>
              </w:rPr>
            </w:pPr>
          </w:p>
        </w:tc>
        <w:tc>
          <w:tcPr>
            <w:tcW w:w="4536" w:type="dxa"/>
          </w:tcPr>
          <w:p w14:paraId="4D331E4C" w14:textId="77777777" w:rsidR="00C0547D" w:rsidRPr="00F00A18" w:rsidRDefault="00C0547D" w:rsidP="00C0547D">
            <w:pPr>
              <w:pStyle w:val="SingleParagraph"/>
              <w:rPr>
                <w:rFonts w:ascii="Book Antiqua" w:hAnsi="Book Antiqua"/>
                <w:color w:val="auto"/>
                <w:lang w:val="en-GB"/>
              </w:rPr>
            </w:pPr>
          </w:p>
        </w:tc>
      </w:tr>
      <w:tr w:rsidR="00C0547D" w:rsidRPr="00F00A18" w14:paraId="658BB150" w14:textId="77777777" w:rsidTr="00C0547D">
        <w:trPr>
          <w:cantSplit/>
        </w:trPr>
        <w:tc>
          <w:tcPr>
            <w:tcW w:w="4536" w:type="dxa"/>
          </w:tcPr>
          <w:p w14:paraId="4950F84B" w14:textId="77777777" w:rsidR="00C0547D" w:rsidRPr="00F00A18" w:rsidRDefault="00C0547D" w:rsidP="00C0547D">
            <w:pPr>
              <w:pStyle w:val="Signed"/>
              <w:rPr>
                <w:color w:val="auto"/>
              </w:rPr>
            </w:pPr>
            <w:r w:rsidRPr="00F00A18">
              <w:rPr>
                <w:rStyle w:val="SignedBold"/>
                <w:color w:val="auto"/>
              </w:rPr>
              <w:t>Signed</w:t>
            </w:r>
            <w:r w:rsidRPr="00F00A18">
              <w:rPr>
                <w:color w:val="auto"/>
              </w:rPr>
              <w:t xml:space="preserve"> for and on behalf of the </w:t>
            </w:r>
            <w:r w:rsidRPr="00F00A18">
              <w:rPr>
                <w:color w:val="auto"/>
              </w:rPr>
              <w:br/>
              <w:t>State of New South Wales by</w:t>
            </w:r>
          </w:p>
          <w:p w14:paraId="42522AE4" w14:textId="77777777" w:rsidR="00C0547D" w:rsidRPr="00F00A18" w:rsidRDefault="00C0547D" w:rsidP="00C0547D">
            <w:pPr>
              <w:pStyle w:val="LineForSignature"/>
              <w:rPr>
                <w:color w:val="auto"/>
              </w:rPr>
            </w:pPr>
            <w:r w:rsidRPr="00F00A18">
              <w:rPr>
                <w:color w:val="auto"/>
              </w:rPr>
              <w:tab/>
            </w:r>
          </w:p>
          <w:p w14:paraId="654437E8" w14:textId="77777777" w:rsidR="00C0547D" w:rsidRPr="00F00A18" w:rsidRDefault="00C0547D" w:rsidP="00C0547D">
            <w:pPr>
              <w:pStyle w:val="SingleParagraph"/>
              <w:rPr>
                <w:rStyle w:val="Bold"/>
                <w:color w:val="auto"/>
              </w:rPr>
            </w:pPr>
            <w:r w:rsidRPr="00F00A18">
              <w:rPr>
                <w:rStyle w:val="Bold"/>
                <w:color w:val="auto"/>
              </w:rPr>
              <w:t xml:space="preserve">The Honourable </w:t>
            </w:r>
            <w:r>
              <w:rPr>
                <w:rStyle w:val="Bold"/>
                <w:color w:val="auto"/>
              </w:rPr>
              <w:t>Ryan Park</w:t>
            </w:r>
            <w:r w:rsidRPr="00F00A18">
              <w:rPr>
                <w:rStyle w:val="Bold"/>
                <w:color w:val="auto"/>
              </w:rPr>
              <w:t xml:space="preserve"> MP</w:t>
            </w:r>
          </w:p>
          <w:p w14:paraId="05219946" w14:textId="77777777" w:rsidR="00C0547D" w:rsidRPr="00F00A18" w:rsidRDefault="00C0547D" w:rsidP="00C0547D">
            <w:pPr>
              <w:pStyle w:val="Position"/>
              <w:rPr>
                <w:color w:val="auto"/>
                <w:lang w:val="en-GB"/>
              </w:rPr>
            </w:pPr>
            <w:r w:rsidRPr="00F00A18">
              <w:rPr>
                <w:color w:val="auto"/>
                <w:lang w:val="en-GB"/>
              </w:rPr>
              <w:t xml:space="preserve">Minister for </w:t>
            </w:r>
            <w:r>
              <w:rPr>
                <w:color w:val="auto"/>
                <w:lang w:val="en-GB"/>
              </w:rPr>
              <w:t>Health</w:t>
            </w:r>
          </w:p>
          <w:p w14:paraId="7501CBAC" w14:textId="77777777" w:rsidR="00C0547D" w:rsidRPr="00F00A18" w:rsidRDefault="00C0547D" w:rsidP="00C0547D">
            <w:pPr>
              <w:pStyle w:val="SingleParagraph"/>
              <w:tabs>
                <w:tab w:val="num" w:pos="1134"/>
              </w:tabs>
              <w:spacing w:after="240"/>
              <w:ind w:left="1134" w:hanging="567"/>
              <w:rPr>
                <w:color w:val="auto"/>
                <w:szCs w:val="22"/>
                <w:lang w:val="en-GB"/>
              </w:rPr>
            </w:pPr>
            <w:r w:rsidRPr="00F00A18" w:rsidDel="00542A8C">
              <w:rPr>
                <w:bCs/>
                <w:color w:val="auto"/>
                <w:lang w:val="en-GB"/>
              </w:rPr>
              <w:t xml:space="preserve"> </w:t>
            </w:r>
            <w:r>
              <w:rPr>
                <w:color w:val="auto"/>
                <w:lang w:val="en-GB"/>
              </w:rPr>
              <w:t>July</w:t>
            </w:r>
            <w:r w:rsidRPr="00F00A18">
              <w:rPr>
                <w:color w:val="auto"/>
                <w:lang w:val="en-GB"/>
              </w:rPr>
              <w:t xml:space="preserve"> </w:t>
            </w:r>
            <w:r>
              <w:rPr>
                <w:color w:val="auto"/>
                <w:lang w:val="en-GB"/>
              </w:rPr>
              <w:t>2024</w:t>
            </w:r>
          </w:p>
        </w:tc>
        <w:tc>
          <w:tcPr>
            <w:tcW w:w="284" w:type="dxa"/>
            <w:tcMar>
              <w:left w:w="0" w:type="dxa"/>
              <w:right w:w="0" w:type="dxa"/>
            </w:tcMar>
          </w:tcPr>
          <w:p w14:paraId="60EF7CFE" w14:textId="77777777" w:rsidR="00C0547D" w:rsidRPr="00F00A18" w:rsidRDefault="00C0547D" w:rsidP="00C0547D">
            <w:pPr>
              <w:rPr>
                <w:rFonts w:ascii="Book Antiqua" w:hAnsi="Book Antiqua"/>
                <w:lang w:val="en-GB"/>
              </w:rPr>
            </w:pPr>
          </w:p>
        </w:tc>
        <w:tc>
          <w:tcPr>
            <w:tcW w:w="4536" w:type="dxa"/>
          </w:tcPr>
          <w:p w14:paraId="5E9B11AF" w14:textId="77777777" w:rsidR="00C0547D" w:rsidRPr="00F00A18" w:rsidRDefault="00C0547D" w:rsidP="00C0547D">
            <w:pPr>
              <w:pStyle w:val="Signed"/>
              <w:rPr>
                <w:color w:val="auto"/>
              </w:rPr>
            </w:pPr>
            <w:r w:rsidRPr="00F00A18">
              <w:rPr>
                <w:rStyle w:val="SignedBold"/>
                <w:color w:val="auto"/>
              </w:rPr>
              <w:t>Signed</w:t>
            </w:r>
            <w:r w:rsidRPr="00F00A18">
              <w:rPr>
                <w:color w:val="auto"/>
              </w:rPr>
              <w:t xml:space="preserve"> for and on behalf of the</w:t>
            </w:r>
            <w:r w:rsidRPr="00F00A18">
              <w:rPr>
                <w:color w:val="auto"/>
              </w:rPr>
              <w:br/>
              <w:t>State of Victoria by</w:t>
            </w:r>
          </w:p>
          <w:p w14:paraId="7E02589D" w14:textId="77777777" w:rsidR="00C0547D" w:rsidRPr="00F00A18" w:rsidRDefault="00C0547D" w:rsidP="00C0547D">
            <w:pPr>
              <w:pStyle w:val="LineForSignature"/>
              <w:rPr>
                <w:color w:val="auto"/>
              </w:rPr>
            </w:pPr>
            <w:r w:rsidRPr="00F00A18">
              <w:rPr>
                <w:color w:val="auto"/>
              </w:rPr>
              <w:tab/>
            </w:r>
          </w:p>
          <w:p w14:paraId="3B0E6A68" w14:textId="77777777" w:rsidR="00C0547D" w:rsidRPr="00F00A18" w:rsidRDefault="00C0547D" w:rsidP="00C0547D">
            <w:pPr>
              <w:pStyle w:val="SingleParagraph"/>
              <w:rPr>
                <w:rStyle w:val="Bold"/>
                <w:color w:val="auto"/>
              </w:rPr>
            </w:pPr>
            <w:r w:rsidRPr="00F00A18">
              <w:rPr>
                <w:rStyle w:val="Bold"/>
                <w:color w:val="auto"/>
              </w:rPr>
              <w:t xml:space="preserve">The Honourable </w:t>
            </w:r>
            <w:r>
              <w:rPr>
                <w:rStyle w:val="Bold"/>
                <w:color w:val="auto"/>
              </w:rPr>
              <w:t>Mary-Anne Thomas</w:t>
            </w:r>
            <w:r w:rsidRPr="00F00A18">
              <w:rPr>
                <w:rStyle w:val="Bold"/>
                <w:color w:val="auto"/>
              </w:rPr>
              <w:t xml:space="preserve"> MP</w:t>
            </w:r>
          </w:p>
          <w:p w14:paraId="3314FCDC" w14:textId="77777777" w:rsidR="00C0547D" w:rsidRPr="00F00A18" w:rsidRDefault="00C0547D" w:rsidP="00C0547D">
            <w:pPr>
              <w:pStyle w:val="Position"/>
              <w:rPr>
                <w:color w:val="auto"/>
                <w:lang w:val="en-GB"/>
              </w:rPr>
            </w:pPr>
            <w:r w:rsidRPr="00F00A18">
              <w:rPr>
                <w:color w:val="auto"/>
                <w:lang w:val="en-GB"/>
              </w:rPr>
              <w:t xml:space="preserve">Minister for </w:t>
            </w:r>
            <w:r>
              <w:rPr>
                <w:color w:val="auto"/>
                <w:lang w:val="en-GB"/>
              </w:rPr>
              <w:t>Health</w:t>
            </w:r>
          </w:p>
          <w:p w14:paraId="47355F09" w14:textId="77777777" w:rsidR="00C0547D" w:rsidRPr="00F00A18" w:rsidRDefault="00C0547D" w:rsidP="00C0547D">
            <w:pPr>
              <w:pStyle w:val="SingleParagraph"/>
              <w:tabs>
                <w:tab w:val="num" w:pos="1134"/>
              </w:tabs>
              <w:spacing w:after="240"/>
              <w:ind w:left="1134" w:hanging="567"/>
              <w:rPr>
                <w:color w:val="auto"/>
                <w:lang w:val="en-GB"/>
              </w:rPr>
            </w:pPr>
            <w:r w:rsidRPr="00F00A18" w:rsidDel="00542A8C">
              <w:rPr>
                <w:bCs/>
                <w:color w:val="auto"/>
                <w:lang w:val="en-GB"/>
              </w:rPr>
              <w:t xml:space="preserve"> </w:t>
            </w:r>
            <w:r>
              <w:rPr>
                <w:color w:val="auto"/>
                <w:lang w:val="en-GB"/>
              </w:rPr>
              <w:t>July 2024</w:t>
            </w:r>
          </w:p>
        </w:tc>
      </w:tr>
      <w:tr w:rsidR="00C0547D" w:rsidRPr="00A50751" w14:paraId="06F367F2" w14:textId="77777777" w:rsidTr="00C0547D">
        <w:trPr>
          <w:cantSplit/>
        </w:trPr>
        <w:tc>
          <w:tcPr>
            <w:tcW w:w="4536" w:type="dxa"/>
          </w:tcPr>
          <w:p w14:paraId="3B1E2A1F" w14:textId="77777777" w:rsidR="00C0547D" w:rsidRPr="00A50751" w:rsidRDefault="00C0547D" w:rsidP="00C0547D">
            <w:pPr>
              <w:pStyle w:val="SingleParagraph"/>
              <w:rPr>
                <w:rFonts w:ascii="Book Antiqua" w:hAnsi="Book Antiqua"/>
                <w:lang w:val="en-GB"/>
              </w:rPr>
            </w:pPr>
          </w:p>
        </w:tc>
        <w:tc>
          <w:tcPr>
            <w:tcW w:w="284" w:type="dxa"/>
            <w:tcMar>
              <w:left w:w="0" w:type="dxa"/>
              <w:right w:w="0" w:type="dxa"/>
            </w:tcMar>
          </w:tcPr>
          <w:p w14:paraId="0F42BBDC" w14:textId="77777777" w:rsidR="00C0547D" w:rsidRPr="00A50751" w:rsidRDefault="00C0547D" w:rsidP="00C0547D">
            <w:pPr>
              <w:pStyle w:val="SingleParagraph"/>
              <w:rPr>
                <w:rFonts w:ascii="Book Antiqua" w:hAnsi="Book Antiqua"/>
                <w:lang w:val="en-GB"/>
              </w:rPr>
            </w:pPr>
          </w:p>
        </w:tc>
        <w:tc>
          <w:tcPr>
            <w:tcW w:w="4536" w:type="dxa"/>
          </w:tcPr>
          <w:p w14:paraId="0E2D9D2C" w14:textId="77777777" w:rsidR="00C0547D" w:rsidRPr="00A50751" w:rsidRDefault="00C0547D" w:rsidP="00C0547D">
            <w:pPr>
              <w:pStyle w:val="SingleParagraph"/>
              <w:rPr>
                <w:rFonts w:ascii="Book Antiqua" w:hAnsi="Book Antiqua"/>
                <w:lang w:val="en-GB"/>
              </w:rPr>
            </w:pPr>
          </w:p>
        </w:tc>
      </w:tr>
      <w:tr w:rsidR="00C0547D" w:rsidRPr="00A50751" w14:paraId="301CA966" w14:textId="77777777" w:rsidTr="00C0547D">
        <w:trPr>
          <w:cantSplit/>
        </w:trPr>
        <w:tc>
          <w:tcPr>
            <w:tcW w:w="4536" w:type="dxa"/>
          </w:tcPr>
          <w:p w14:paraId="42E762EA" w14:textId="77777777" w:rsidR="00C0547D" w:rsidRPr="004A0AE7" w:rsidRDefault="00C0547D" w:rsidP="00C0547D">
            <w:pPr>
              <w:pStyle w:val="Signed"/>
            </w:pPr>
            <w:r>
              <w:rPr>
                <w:rStyle w:val="SignedBold"/>
              </w:rPr>
              <w:t>Signed</w:t>
            </w:r>
            <w:r w:rsidRPr="004A0AE7">
              <w:t xml:space="preserve"> for and on behalf of the</w:t>
            </w:r>
            <w:r w:rsidRPr="004A0AE7">
              <w:br/>
              <w:t>State of Queensland by</w:t>
            </w:r>
          </w:p>
          <w:p w14:paraId="41CA8718" w14:textId="77777777" w:rsidR="00C0547D" w:rsidRPr="00A50751" w:rsidRDefault="00C0547D" w:rsidP="00C0547D">
            <w:pPr>
              <w:pStyle w:val="LineForSignature"/>
            </w:pPr>
            <w:r w:rsidRPr="00A50751">
              <w:tab/>
            </w:r>
          </w:p>
          <w:p w14:paraId="11AD86A1" w14:textId="77777777" w:rsidR="00C0547D" w:rsidRDefault="00C0547D" w:rsidP="00C0547D">
            <w:pPr>
              <w:pStyle w:val="SingleParagraph"/>
              <w:rPr>
                <w:b/>
              </w:rPr>
            </w:pPr>
            <w:r>
              <w:rPr>
                <w:b/>
              </w:rPr>
              <w:t xml:space="preserve">The Honourable </w:t>
            </w:r>
            <w:r>
              <w:rPr>
                <w:rStyle w:val="Bold"/>
              </w:rPr>
              <w:t xml:space="preserve">Shannon Fentiman </w:t>
            </w:r>
            <w:r>
              <w:rPr>
                <w:b/>
              </w:rPr>
              <w:t>MP</w:t>
            </w:r>
          </w:p>
          <w:p w14:paraId="491278F9" w14:textId="77777777" w:rsidR="00C0547D" w:rsidRDefault="00C0547D" w:rsidP="00C0547D">
            <w:pPr>
              <w:pStyle w:val="Position"/>
              <w:rPr>
                <w:lang w:val="en-GB"/>
              </w:rPr>
            </w:pPr>
            <w:r>
              <w:rPr>
                <w:lang w:val="en-GB"/>
              </w:rPr>
              <w:t>Minister for Health, Mental Health and Ambulance Services and Minister for Women</w:t>
            </w:r>
          </w:p>
          <w:p w14:paraId="64B7C1EB" w14:textId="77777777" w:rsidR="00C0547D" w:rsidRPr="00A50751" w:rsidRDefault="00C0547D" w:rsidP="00C0547D">
            <w:pPr>
              <w:pStyle w:val="SingleParagraph"/>
              <w:tabs>
                <w:tab w:val="num" w:pos="1134"/>
              </w:tabs>
              <w:spacing w:after="240"/>
              <w:ind w:left="1134" w:hanging="567"/>
              <w:rPr>
                <w:lang w:val="en-GB"/>
              </w:rPr>
            </w:pPr>
            <w:r w:rsidRPr="00B00778" w:rsidDel="00542A8C">
              <w:rPr>
                <w:bCs/>
                <w:lang w:val="en-GB"/>
              </w:rPr>
              <w:t xml:space="preserve"> </w:t>
            </w:r>
            <w:r>
              <w:rPr>
                <w:lang w:val="en-GB"/>
              </w:rPr>
              <w:t>July 2024</w:t>
            </w:r>
          </w:p>
        </w:tc>
        <w:tc>
          <w:tcPr>
            <w:tcW w:w="284" w:type="dxa"/>
            <w:tcMar>
              <w:left w:w="0" w:type="dxa"/>
              <w:right w:w="0" w:type="dxa"/>
            </w:tcMar>
          </w:tcPr>
          <w:p w14:paraId="78974FED" w14:textId="77777777" w:rsidR="00C0547D" w:rsidRPr="00A50751" w:rsidRDefault="00C0547D" w:rsidP="00C0547D">
            <w:pPr>
              <w:rPr>
                <w:rFonts w:ascii="Book Antiqua" w:hAnsi="Book Antiqua"/>
                <w:lang w:val="en-GB"/>
              </w:rPr>
            </w:pPr>
          </w:p>
        </w:tc>
        <w:tc>
          <w:tcPr>
            <w:tcW w:w="4536" w:type="dxa"/>
          </w:tcPr>
          <w:p w14:paraId="5FE22517" w14:textId="77777777" w:rsidR="00C0547D" w:rsidRPr="004A0AE7" w:rsidRDefault="00C0547D" w:rsidP="00C0547D">
            <w:pPr>
              <w:pStyle w:val="Signed"/>
            </w:pPr>
            <w:r>
              <w:rPr>
                <w:rStyle w:val="SignedBold"/>
              </w:rPr>
              <w:t>Signed</w:t>
            </w:r>
            <w:r w:rsidRPr="004A0AE7">
              <w:t xml:space="preserve"> for and on behalf of the</w:t>
            </w:r>
            <w:r w:rsidRPr="004A0AE7">
              <w:br/>
              <w:t>State of Western Australia by</w:t>
            </w:r>
          </w:p>
          <w:p w14:paraId="01B5D613" w14:textId="77777777" w:rsidR="00C0547D" w:rsidRPr="00A50751" w:rsidRDefault="00C0547D" w:rsidP="00C0547D">
            <w:pPr>
              <w:pStyle w:val="LineForSignature"/>
            </w:pPr>
            <w:r w:rsidRPr="00A50751">
              <w:tab/>
            </w:r>
          </w:p>
          <w:p w14:paraId="37E24DE7" w14:textId="77777777" w:rsidR="00C0547D" w:rsidRDefault="00C0547D" w:rsidP="00C0547D">
            <w:pPr>
              <w:pStyle w:val="SingleParagraph"/>
              <w:rPr>
                <w:rStyle w:val="Bold"/>
                <w:rFonts w:ascii="Book Antiqua" w:hAnsi="Book Antiqua"/>
                <w:color w:val="C0C0C0"/>
                <w:lang w:val="en-GB"/>
              </w:rPr>
            </w:pPr>
            <w:r>
              <w:rPr>
                <w:rStyle w:val="Bold"/>
              </w:rPr>
              <w:t>The Honourable Amber-Jade Sanderson MLA</w:t>
            </w:r>
          </w:p>
          <w:p w14:paraId="7FD356D5" w14:textId="77777777" w:rsidR="00C0547D" w:rsidRDefault="00C0547D" w:rsidP="00C0547D">
            <w:pPr>
              <w:pStyle w:val="Position"/>
              <w:rPr>
                <w:lang w:val="en-GB"/>
              </w:rPr>
            </w:pPr>
            <w:r>
              <w:rPr>
                <w:lang w:val="en-GB"/>
              </w:rPr>
              <w:t xml:space="preserve">Minister for Health </w:t>
            </w:r>
          </w:p>
          <w:p w14:paraId="69B717E5" w14:textId="77777777" w:rsidR="00C0547D" w:rsidRPr="00A50751" w:rsidRDefault="00C0547D" w:rsidP="00C0547D">
            <w:pPr>
              <w:pStyle w:val="SingleParagraph"/>
              <w:tabs>
                <w:tab w:val="num" w:pos="1134"/>
              </w:tabs>
              <w:spacing w:after="240"/>
              <w:ind w:left="1134" w:hanging="567"/>
              <w:rPr>
                <w:lang w:val="en-GB"/>
              </w:rPr>
            </w:pPr>
            <w:r w:rsidDel="00542A8C">
              <w:rPr>
                <w:lang w:val="en-GB"/>
              </w:rPr>
              <w:t xml:space="preserve"> </w:t>
            </w:r>
            <w:r>
              <w:rPr>
                <w:lang w:val="en-GB"/>
              </w:rPr>
              <w:t>July 2024</w:t>
            </w:r>
          </w:p>
        </w:tc>
      </w:tr>
      <w:tr w:rsidR="00C0547D" w:rsidRPr="00A50751" w14:paraId="1F180966" w14:textId="77777777" w:rsidTr="00C0547D">
        <w:trPr>
          <w:cantSplit/>
        </w:trPr>
        <w:tc>
          <w:tcPr>
            <w:tcW w:w="4536" w:type="dxa"/>
          </w:tcPr>
          <w:p w14:paraId="569B7589" w14:textId="77777777" w:rsidR="00C0547D" w:rsidRPr="00A50751" w:rsidRDefault="00C0547D" w:rsidP="00C0547D">
            <w:pPr>
              <w:pStyle w:val="SingleParagraph"/>
              <w:rPr>
                <w:rFonts w:ascii="Book Antiqua" w:hAnsi="Book Antiqua"/>
                <w:lang w:val="en-GB"/>
              </w:rPr>
            </w:pPr>
          </w:p>
        </w:tc>
        <w:tc>
          <w:tcPr>
            <w:tcW w:w="284" w:type="dxa"/>
            <w:tcMar>
              <w:left w:w="0" w:type="dxa"/>
              <w:right w:w="0" w:type="dxa"/>
            </w:tcMar>
          </w:tcPr>
          <w:p w14:paraId="24F8ED8D" w14:textId="77777777" w:rsidR="00C0547D" w:rsidRPr="00A50751" w:rsidRDefault="00C0547D" w:rsidP="00C0547D">
            <w:pPr>
              <w:pStyle w:val="SingleParagraph"/>
              <w:rPr>
                <w:rFonts w:ascii="Book Antiqua" w:hAnsi="Book Antiqua"/>
                <w:lang w:val="en-GB"/>
              </w:rPr>
            </w:pPr>
          </w:p>
        </w:tc>
        <w:tc>
          <w:tcPr>
            <w:tcW w:w="4536" w:type="dxa"/>
          </w:tcPr>
          <w:p w14:paraId="7CBDF975" w14:textId="77777777" w:rsidR="00C0547D" w:rsidRPr="00A50751" w:rsidRDefault="00C0547D" w:rsidP="00C0547D">
            <w:pPr>
              <w:pStyle w:val="SingleParagraph"/>
              <w:rPr>
                <w:rFonts w:ascii="Book Antiqua" w:hAnsi="Book Antiqua"/>
                <w:lang w:val="en-GB"/>
              </w:rPr>
            </w:pPr>
          </w:p>
        </w:tc>
      </w:tr>
      <w:tr w:rsidR="00C0547D" w:rsidRPr="00A50751" w14:paraId="411F0744" w14:textId="77777777" w:rsidTr="00C0547D">
        <w:trPr>
          <w:cantSplit/>
          <w:trHeight w:val="143"/>
        </w:trPr>
        <w:tc>
          <w:tcPr>
            <w:tcW w:w="4536" w:type="dxa"/>
          </w:tcPr>
          <w:p w14:paraId="782D4653" w14:textId="77777777" w:rsidR="00C0547D" w:rsidRPr="004A0AE7" w:rsidRDefault="00C0547D" w:rsidP="00C0547D">
            <w:pPr>
              <w:pStyle w:val="Signed"/>
            </w:pPr>
            <w:r>
              <w:rPr>
                <w:rStyle w:val="SignedBold"/>
              </w:rPr>
              <w:t>Signed</w:t>
            </w:r>
            <w:r w:rsidRPr="004A0AE7">
              <w:t xml:space="preserve"> for and on behalf of the</w:t>
            </w:r>
            <w:r w:rsidRPr="004A0AE7">
              <w:br/>
              <w:t>State of South Australia by</w:t>
            </w:r>
          </w:p>
          <w:p w14:paraId="7BEFC7CC" w14:textId="77777777" w:rsidR="00C0547D" w:rsidRPr="00A50751" w:rsidRDefault="00C0547D" w:rsidP="00C0547D">
            <w:pPr>
              <w:pStyle w:val="LineForSignature"/>
            </w:pPr>
            <w:r w:rsidRPr="00A50751">
              <w:tab/>
            </w:r>
          </w:p>
          <w:p w14:paraId="38D0E1CF" w14:textId="77777777" w:rsidR="00C0547D" w:rsidRDefault="00C0547D" w:rsidP="00C0547D">
            <w:pPr>
              <w:pStyle w:val="SingleParagraph"/>
              <w:rPr>
                <w:rStyle w:val="Bold"/>
              </w:rPr>
            </w:pPr>
            <w:r>
              <w:rPr>
                <w:rStyle w:val="Bold"/>
              </w:rPr>
              <w:t>The Honourable Chris Picton MP</w:t>
            </w:r>
          </w:p>
          <w:p w14:paraId="4073900D" w14:textId="77777777" w:rsidR="00C0547D" w:rsidRDefault="00C0547D" w:rsidP="00C0547D">
            <w:pPr>
              <w:pStyle w:val="Position"/>
              <w:rPr>
                <w:lang w:val="en-GB"/>
              </w:rPr>
            </w:pPr>
            <w:r>
              <w:rPr>
                <w:lang w:val="en-GB"/>
              </w:rPr>
              <w:t xml:space="preserve">Minister for Health and Wellbeing </w:t>
            </w:r>
          </w:p>
          <w:p w14:paraId="2C6A1200" w14:textId="77777777" w:rsidR="00C0547D" w:rsidRPr="00A50751" w:rsidRDefault="00C0547D" w:rsidP="00C0547D">
            <w:pPr>
              <w:pStyle w:val="SingleParagraph"/>
              <w:tabs>
                <w:tab w:val="num" w:pos="1134"/>
              </w:tabs>
              <w:spacing w:after="240"/>
              <w:ind w:left="1134" w:hanging="567"/>
              <w:rPr>
                <w:lang w:val="en-GB"/>
              </w:rPr>
            </w:pPr>
            <w:r w:rsidRPr="00B00778" w:rsidDel="00542A8C">
              <w:rPr>
                <w:bCs/>
                <w:lang w:val="en-GB"/>
              </w:rPr>
              <w:t xml:space="preserve"> </w:t>
            </w:r>
            <w:r>
              <w:rPr>
                <w:lang w:val="en-GB"/>
              </w:rPr>
              <w:t>July 2024</w:t>
            </w:r>
          </w:p>
        </w:tc>
        <w:tc>
          <w:tcPr>
            <w:tcW w:w="284" w:type="dxa"/>
            <w:tcMar>
              <w:left w:w="0" w:type="dxa"/>
              <w:right w:w="0" w:type="dxa"/>
            </w:tcMar>
          </w:tcPr>
          <w:p w14:paraId="7C414437" w14:textId="77777777" w:rsidR="00C0547D" w:rsidRPr="00A50751" w:rsidRDefault="00C0547D" w:rsidP="00C0547D">
            <w:pPr>
              <w:rPr>
                <w:rFonts w:ascii="Book Antiqua" w:hAnsi="Book Antiqua"/>
                <w:lang w:val="en-GB"/>
              </w:rPr>
            </w:pPr>
          </w:p>
        </w:tc>
        <w:tc>
          <w:tcPr>
            <w:tcW w:w="4536" w:type="dxa"/>
          </w:tcPr>
          <w:p w14:paraId="6EE2F75A" w14:textId="77777777" w:rsidR="00C0547D" w:rsidRPr="004A0AE7" w:rsidRDefault="00C0547D" w:rsidP="00C0547D">
            <w:pPr>
              <w:pStyle w:val="Signed"/>
            </w:pPr>
            <w:r>
              <w:rPr>
                <w:rStyle w:val="SignedBold"/>
              </w:rPr>
              <w:t>Signed</w:t>
            </w:r>
            <w:r w:rsidRPr="004A0AE7">
              <w:t xml:space="preserve"> for and on behalf of the</w:t>
            </w:r>
            <w:r w:rsidRPr="004A0AE7">
              <w:br/>
              <w:t>State of Tasmania by</w:t>
            </w:r>
          </w:p>
          <w:p w14:paraId="14381DD3" w14:textId="77777777" w:rsidR="00C0547D" w:rsidRPr="00A50751" w:rsidRDefault="00C0547D" w:rsidP="00C0547D">
            <w:pPr>
              <w:pStyle w:val="LineForSignature"/>
            </w:pPr>
            <w:r w:rsidRPr="00A50751">
              <w:tab/>
            </w:r>
          </w:p>
          <w:p w14:paraId="47DCF14F" w14:textId="77777777" w:rsidR="00C0547D" w:rsidRDefault="00C0547D" w:rsidP="00C0547D">
            <w:pPr>
              <w:pStyle w:val="SingleParagraph"/>
              <w:rPr>
                <w:rStyle w:val="Bold"/>
              </w:rPr>
            </w:pPr>
            <w:r>
              <w:rPr>
                <w:rStyle w:val="Bold"/>
              </w:rPr>
              <w:t>The Honourable Guy Barnett MP</w:t>
            </w:r>
          </w:p>
          <w:p w14:paraId="02222C62" w14:textId="77777777" w:rsidR="00C0547D" w:rsidRDefault="00C0547D" w:rsidP="00C0547D">
            <w:pPr>
              <w:pStyle w:val="Position"/>
              <w:rPr>
                <w:lang w:val="en-GB"/>
              </w:rPr>
            </w:pPr>
            <w:r>
              <w:rPr>
                <w:lang w:val="en-GB"/>
              </w:rPr>
              <w:t xml:space="preserve">Minister for Health </w:t>
            </w:r>
          </w:p>
          <w:p w14:paraId="740D666B" w14:textId="77777777" w:rsidR="00C0547D" w:rsidRPr="00A50751" w:rsidRDefault="00C0547D" w:rsidP="00C0547D">
            <w:pPr>
              <w:pStyle w:val="SingleParagraph"/>
              <w:tabs>
                <w:tab w:val="num" w:pos="1134"/>
              </w:tabs>
              <w:spacing w:after="240"/>
              <w:ind w:left="1134" w:hanging="567"/>
              <w:rPr>
                <w:lang w:val="en-GB"/>
              </w:rPr>
            </w:pPr>
            <w:r w:rsidRPr="00B12190" w:rsidDel="00542A8C">
              <w:rPr>
                <w:bCs/>
                <w:lang w:val="en-GB"/>
              </w:rPr>
              <w:t xml:space="preserve"> </w:t>
            </w:r>
            <w:r>
              <w:rPr>
                <w:lang w:val="en-GB"/>
              </w:rPr>
              <w:t>July 2024</w:t>
            </w:r>
          </w:p>
        </w:tc>
      </w:tr>
      <w:tr w:rsidR="00C0547D" w:rsidRPr="00A50751" w14:paraId="021DC5CF" w14:textId="77777777" w:rsidTr="00C0547D">
        <w:trPr>
          <w:cantSplit/>
        </w:trPr>
        <w:tc>
          <w:tcPr>
            <w:tcW w:w="4536" w:type="dxa"/>
          </w:tcPr>
          <w:p w14:paraId="5E6697F0" w14:textId="77777777" w:rsidR="00C0547D" w:rsidRPr="00A50751" w:rsidRDefault="00C0547D" w:rsidP="00C0547D">
            <w:pPr>
              <w:pStyle w:val="SingleParagraph"/>
              <w:rPr>
                <w:rFonts w:ascii="Book Antiqua" w:hAnsi="Book Antiqua"/>
                <w:lang w:val="en-GB"/>
              </w:rPr>
            </w:pPr>
          </w:p>
        </w:tc>
        <w:tc>
          <w:tcPr>
            <w:tcW w:w="284" w:type="dxa"/>
            <w:tcMar>
              <w:left w:w="0" w:type="dxa"/>
              <w:right w:w="0" w:type="dxa"/>
            </w:tcMar>
          </w:tcPr>
          <w:p w14:paraId="20DFC308" w14:textId="77777777" w:rsidR="00C0547D" w:rsidRPr="00A50751" w:rsidRDefault="00C0547D" w:rsidP="00C0547D">
            <w:pPr>
              <w:pStyle w:val="SingleParagraph"/>
              <w:rPr>
                <w:rFonts w:ascii="Book Antiqua" w:hAnsi="Book Antiqua"/>
                <w:lang w:val="en-GB"/>
              </w:rPr>
            </w:pPr>
          </w:p>
        </w:tc>
        <w:tc>
          <w:tcPr>
            <w:tcW w:w="4536" w:type="dxa"/>
          </w:tcPr>
          <w:p w14:paraId="4349D283" w14:textId="77777777" w:rsidR="00C0547D" w:rsidRPr="00A50751" w:rsidRDefault="00C0547D" w:rsidP="00C0547D">
            <w:pPr>
              <w:pStyle w:val="SingleParagraph"/>
              <w:rPr>
                <w:rFonts w:ascii="Book Antiqua" w:hAnsi="Book Antiqua"/>
                <w:lang w:val="en-GB"/>
              </w:rPr>
            </w:pPr>
          </w:p>
        </w:tc>
      </w:tr>
      <w:tr w:rsidR="00C0547D" w:rsidRPr="00A50751" w14:paraId="68066BB7" w14:textId="77777777" w:rsidTr="00C0547D">
        <w:trPr>
          <w:cantSplit/>
        </w:trPr>
        <w:tc>
          <w:tcPr>
            <w:tcW w:w="4536" w:type="dxa"/>
          </w:tcPr>
          <w:p w14:paraId="4B3A3DFC" w14:textId="77777777" w:rsidR="00C0547D" w:rsidRPr="00A50751" w:rsidRDefault="00C0547D" w:rsidP="00C0547D">
            <w:pPr>
              <w:pStyle w:val="Signed"/>
            </w:pPr>
            <w:r>
              <w:rPr>
                <w:rStyle w:val="SignedBold"/>
              </w:rPr>
              <w:t>Signed</w:t>
            </w:r>
            <w:r w:rsidRPr="004A0AE7">
              <w:rPr>
                <w:i w:val="0"/>
              </w:rPr>
              <w:t xml:space="preserve"> </w:t>
            </w:r>
            <w:r w:rsidRPr="004A0AE7">
              <w:t xml:space="preserve">for and on behalf of </w:t>
            </w:r>
            <w:r>
              <w:t xml:space="preserve">the </w:t>
            </w:r>
            <w:r w:rsidRPr="004A0AE7">
              <w:t>Australian Capital Territory by</w:t>
            </w:r>
          </w:p>
          <w:p w14:paraId="1468D7B3" w14:textId="77777777" w:rsidR="00C0547D" w:rsidRPr="00A50751" w:rsidRDefault="00C0547D" w:rsidP="00C0547D">
            <w:pPr>
              <w:pStyle w:val="LineForSignature"/>
            </w:pPr>
            <w:r w:rsidRPr="00A50751">
              <w:tab/>
            </w:r>
          </w:p>
          <w:p w14:paraId="1527AEC5" w14:textId="77777777" w:rsidR="00C0547D" w:rsidRDefault="00C0547D" w:rsidP="00C0547D">
            <w:pPr>
              <w:pStyle w:val="SingleParagraph"/>
              <w:rPr>
                <w:rStyle w:val="Bold"/>
              </w:rPr>
            </w:pPr>
            <w:r>
              <w:rPr>
                <w:rStyle w:val="Bold"/>
              </w:rPr>
              <w:t>Emma Davidson MLA</w:t>
            </w:r>
          </w:p>
          <w:p w14:paraId="2E686CA5" w14:textId="77777777" w:rsidR="00C0547D" w:rsidRDefault="00C0547D" w:rsidP="00C0547D">
            <w:pPr>
              <w:pStyle w:val="Position"/>
              <w:rPr>
                <w:lang w:val="en-GB"/>
              </w:rPr>
            </w:pPr>
            <w:r>
              <w:rPr>
                <w:lang w:val="en-GB"/>
              </w:rPr>
              <w:t>Minister for Population Health and Minister for Mental Health</w:t>
            </w:r>
          </w:p>
          <w:p w14:paraId="771CCECE" w14:textId="77777777" w:rsidR="00C0547D" w:rsidRPr="00A50751" w:rsidRDefault="00C0547D" w:rsidP="00C0547D">
            <w:pPr>
              <w:pStyle w:val="SingleParagraph"/>
              <w:tabs>
                <w:tab w:val="num" w:pos="1134"/>
              </w:tabs>
              <w:spacing w:after="240"/>
              <w:ind w:left="1134" w:hanging="567"/>
              <w:rPr>
                <w:szCs w:val="22"/>
                <w:lang w:val="en-GB"/>
              </w:rPr>
            </w:pPr>
            <w:r w:rsidRPr="00B12190" w:rsidDel="00542A8C">
              <w:rPr>
                <w:lang w:val="en-GB"/>
              </w:rPr>
              <w:t xml:space="preserve"> </w:t>
            </w:r>
            <w:r>
              <w:rPr>
                <w:lang w:val="en-GB"/>
              </w:rPr>
              <w:t>July 2024</w:t>
            </w:r>
          </w:p>
        </w:tc>
        <w:tc>
          <w:tcPr>
            <w:tcW w:w="284" w:type="dxa"/>
            <w:tcMar>
              <w:left w:w="0" w:type="dxa"/>
              <w:right w:w="0" w:type="dxa"/>
            </w:tcMar>
          </w:tcPr>
          <w:p w14:paraId="27369F03" w14:textId="77777777" w:rsidR="00C0547D" w:rsidRPr="00A50751" w:rsidRDefault="00C0547D" w:rsidP="00C0547D">
            <w:pPr>
              <w:rPr>
                <w:rFonts w:ascii="Book Antiqua" w:hAnsi="Book Antiqua"/>
                <w:lang w:val="en-GB"/>
              </w:rPr>
            </w:pPr>
          </w:p>
        </w:tc>
        <w:tc>
          <w:tcPr>
            <w:tcW w:w="4536" w:type="dxa"/>
          </w:tcPr>
          <w:p w14:paraId="757EF866" w14:textId="77777777" w:rsidR="00C0547D" w:rsidRPr="00A50751" w:rsidRDefault="00C0547D" w:rsidP="00C0547D">
            <w:pPr>
              <w:pStyle w:val="Signed"/>
            </w:pPr>
            <w:r>
              <w:rPr>
                <w:rStyle w:val="SignedBold"/>
              </w:rPr>
              <w:t>Signed</w:t>
            </w:r>
            <w:r w:rsidRPr="004A0AE7">
              <w:rPr>
                <w:i w:val="0"/>
              </w:rPr>
              <w:t xml:space="preserve"> </w:t>
            </w:r>
            <w:r w:rsidRPr="004A0AE7">
              <w:t xml:space="preserve">for and on behalf of </w:t>
            </w:r>
            <w:r>
              <w:t xml:space="preserve">the </w:t>
            </w:r>
            <w:r w:rsidRPr="004A0AE7">
              <w:t>Northern Territory by</w:t>
            </w:r>
          </w:p>
          <w:p w14:paraId="230C57BE" w14:textId="77777777" w:rsidR="00C0547D" w:rsidRPr="00A50751" w:rsidRDefault="00C0547D" w:rsidP="00C0547D">
            <w:pPr>
              <w:pStyle w:val="LineForSignature"/>
            </w:pPr>
            <w:r w:rsidRPr="00A50751">
              <w:tab/>
            </w:r>
          </w:p>
          <w:p w14:paraId="2B8EE313" w14:textId="77777777" w:rsidR="00C0547D" w:rsidRDefault="00C0547D" w:rsidP="00C0547D">
            <w:pPr>
              <w:pStyle w:val="SingleParagraph"/>
              <w:rPr>
                <w:rStyle w:val="Bold"/>
              </w:rPr>
            </w:pPr>
            <w:r>
              <w:rPr>
                <w:rStyle w:val="Bold"/>
              </w:rPr>
              <w:t xml:space="preserve">The Honourable Selena </w:t>
            </w:r>
            <w:proofErr w:type="spellStart"/>
            <w:r>
              <w:rPr>
                <w:rStyle w:val="Bold"/>
              </w:rPr>
              <w:t>Uibo</w:t>
            </w:r>
            <w:proofErr w:type="spellEnd"/>
            <w:r>
              <w:rPr>
                <w:rStyle w:val="Bold"/>
              </w:rPr>
              <w:t xml:space="preserve"> MLA</w:t>
            </w:r>
          </w:p>
          <w:p w14:paraId="23AA1B95" w14:textId="77777777" w:rsidR="00C0547D" w:rsidRDefault="00C0547D" w:rsidP="00C0547D">
            <w:pPr>
              <w:pStyle w:val="Position"/>
              <w:rPr>
                <w:lang w:val="en-GB"/>
              </w:rPr>
            </w:pPr>
            <w:r>
              <w:rPr>
                <w:lang w:val="en-GB"/>
              </w:rPr>
              <w:t>Minister for Health</w:t>
            </w:r>
          </w:p>
          <w:p w14:paraId="4FF0E823" w14:textId="77777777" w:rsidR="00C0547D" w:rsidRPr="00A50751" w:rsidRDefault="00C0547D" w:rsidP="00C0547D">
            <w:pPr>
              <w:pStyle w:val="SingleParagraph"/>
              <w:tabs>
                <w:tab w:val="num" w:pos="1134"/>
              </w:tabs>
              <w:spacing w:after="240"/>
              <w:ind w:left="1134" w:hanging="567"/>
              <w:rPr>
                <w:lang w:val="en-GB"/>
              </w:rPr>
            </w:pPr>
            <w:r w:rsidRPr="00B12190" w:rsidDel="00542A8C">
              <w:rPr>
                <w:bCs/>
                <w:lang w:val="en-GB"/>
              </w:rPr>
              <w:t xml:space="preserve"> </w:t>
            </w:r>
            <w:r>
              <w:rPr>
                <w:lang w:val="en-GB"/>
              </w:rPr>
              <w:t>July 2024</w:t>
            </w:r>
          </w:p>
        </w:tc>
      </w:tr>
    </w:tbl>
    <w:p w14:paraId="5268DD31" w14:textId="5D9AB2CA" w:rsidR="00884E8F" w:rsidRDefault="00884E8F" w:rsidP="006548E5">
      <w:pPr>
        <w:spacing w:line="360" w:lineRule="auto"/>
        <w:rPr>
          <w:lang w:val="en-GB"/>
        </w:rPr>
      </w:pPr>
      <w:r w:rsidRPr="00F00A18">
        <w:rPr>
          <w:lang w:val="en-GB"/>
        </w:rPr>
        <w:t xml:space="preserve">The </w:t>
      </w:r>
      <w:r w:rsidRPr="00F00A18">
        <w:rPr>
          <w:sz w:val="24"/>
          <w:szCs w:val="24"/>
        </w:rPr>
        <w:t>Parties</w:t>
      </w:r>
      <w:r w:rsidRPr="00F00A18">
        <w:rPr>
          <w:lang w:val="en-GB"/>
        </w:rPr>
        <w:t xml:space="preserve"> have conf</w:t>
      </w:r>
      <w:r w:rsidR="001520AE">
        <w:rPr>
          <w:lang w:val="en-GB"/>
        </w:rPr>
        <w:t>irmed their commitment to this S</w:t>
      </w:r>
      <w:r w:rsidRPr="00F00A18">
        <w:rPr>
          <w:lang w:val="en-GB"/>
        </w:rPr>
        <w:t>chedule as follows:</w:t>
      </w:r>
    </w:p>
    <w:p w14:paraId="673500F4" w14:textId="77777777" w:rsidR="00C91B5F" w:rsidRDefault="00C91B5F" w:rsidP="006548E5"/>
    <w:sectPr w:rsidR="00C91B5F" w:rsidSect="00884E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FA453" w14:textId="77777777" w:rsidR="002F0BED" w:rsidRDefault="002F0BED">
      <w:r>
        <w:separator/>
      </w:r>
    </w:p>
  </w:endnote>
  <w:endnote w:type="continuationSeparator" w:id="0">
    <w:p w14:paraId="3C08C66B" w14:textId="77777777" w:rsidR="002F0BED" w:rsidRDefault="002F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6331" w14:textId="77777777" w:rsidR="004F17D5" w:rsidRDefault="004F17D5">
    <w:pPr>
      <w:pStyle w:val="FooterEven"/>
    </w:pPr>
    <w:r>
      <w:t>Page D-2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E401" w14:textId="77777777" w:rsidR="004F17D5" w:rsidRDefault="004F17D5" w:rsidP="00EA63B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F7E4" w14:textId="77777777" w:rsidR="004F17D5" w:rsidRPr="00CA24B0" w:rsidRDefault="004F17D5" w:rsidP="00EA63B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7083" w14:textId="77777777" w:rsidR="002F0BED" w:rsidRDefault="002F0BED">
      <w:r>
        <w:separator/>
      </w:r>
    </w:p>
  </w:footnote>
  <w:footnote w:type="continuationSeparator" w:id="0">
    <w:p w14:paraId="062D171D" w14:textId="77777777" w:rsidR="002F0BED" w:rsidRDefault="002F0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3E06" w14:textId="3BB47568" w:rsidR="004F17D5" w:rsidRDefault="004F17D5" w:rsidP="00EA63BE">
    <w:pPr>
      <w:pStyle w:val="HeaderOdd"/>
      <w:tabs>
        <w:tab w:val="num" w:pos="1134"/>
      </w:tabs>
      <w:rPr>
        <w:color w:val="800000"/>
        <w:sz w:val="30"/>
        <w:szCs w:val="30"/>
      </w:rPr>
    </w:pPr>
  </w:p>
  <w:p w14:paraId="3621292C" w14:textId="77777777" w:rsidR="004F17D5" w:rsidRDefault="004F1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DB65" w14:textId="77777777" w:rsidR="004F17D5" w:rsidRDefault="004F1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0810" w14:textId="77777777" w:rsidR="004F17D5" w:rsidRDefault="004F17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F2C9" w14:textId="77777777" w:rsidR="004F17D5" w:rsidRDefault="004F1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9D9"/>
    <w:multiLevelType w:val="hybridMultilevel"/>
    <w:tmpl w:val="99DAC38A"/>
    <w:lvl w:ilvl="0" w:tplc="3CC849F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957E4"/>
    <w:multiLevelType w:val="multilevel"/>
    <w:tmpl w:val="B9988342"/>
    <w:lvl w:ilvl="0">
      <w:start w:val="1"/>
      <w:numFmt w:val="upperLetter"/>
      <w:suff w:val="nothing"/>
      <w:lvlText w:val="%1"/>
      <w:lvlJc w:val="left"/>
      <w:rPr>
        <w:rFonts w:cs="Times New Roman" w:hint="default"/>
      </w:rPr>
    </w:lvl>
    <w:lvl w:ilvl="1">
      <w:start w:val="1"/>
      <w:numFmt w:val="lowerLetter"/>
      <w:lvlText w:val="(%2)"/>
      <w:lvlJc w:val="left"/>
      <w:pPr>
        <w:tabs>
          <w:tab w:val="num" w:pos="567"/>
        </w:tabs>
        <w:ind w:left="567" w:hanging="567"/>
      </w:pPr>
      <w:rPr>
        <w:rFonts w:hint="default"/>
      </w:rPr>
    </w:lvl>
    <w:lvl w:ilvl="2">
      <w:start w:val="1"/>
      <w:numFmt w:val="lowerRoman"/>
      <w:lvlText w:val="%3."/>
      <w:lvlJc w:val="right"/>
      <w:pPr>
        <w:tabs>
          <w:tab w:val="num" w:pos="1593"/>
        </w:tabs>
        <w:ind w:left="1593" w:hanging="180"/>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lowerRoman"/>
      <w:lvlText w:val="%9."/>
      <w:lvlJc w:val="right"/>
      <w:pPr>
        <w:tabs>
          <w:tab w:val="num" w:pos="5913"/>
        </w:tabs>
        <w:ind w:left="5913" w:hanging="180"/>
      </w:pPr>
      <w:rPr>
        <w:rFonts w:cs="Times New Roman" w:hint="default"/>
      </w:rPr>
    </w:lvl>
  </w:abstractNum>
  <w:abstractNum w:abstractNumId="2" w15:restartNumberingAfterBreak="0">
    <w:nsid w:val="04F136E8"/>
    <w:multiLevelType w:val="hybridMultilevel"/>
    <w:tmpl w:val="9600F7C6"/>
    <w:lvl w:ilvl="0" w:tplc="30BAE06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5263D12"/>
    <w:multiLevelType w:val="hybridMultilevel"/>
    <w:tmpl w:val="39221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F7869"/>
    <w:multiLevelType w:val="hybridMultilevel"/>
    <w:tmpl w:val="C324B466"/>
    <w:lvl w:ilvl="0" w:tplc="E0502076">
      <w:numFmt w:val="bullet"/>
      <w:lvlText w:val="-"/>
      <w:lvlJc w:val="left"/>
      <w:pPr>
        <w:ind w:left="720" w:hanging="360"/>
      </w:pPr>
      <w:rPr>
        <w:rFonts w:ascii="Corbel" w:eastAsia="Times New Roman" w:hAnsi="Corbe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6A1D8B"/>
    <w:multiLevelType w:val="hybridMultilevel"/>
    <w:tmpl w:val="06F8C3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2A4E24"/>
    <w:multiLevelType w:val="hybridMultilevel"/>
    <w:tmpl w:val="C3F2C144"/>
    <w:lvl w:ilvl="0" w:tplc="D16800B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606FE9"/>
    <w:multiLevelType w:val="hybridMultilevel"/>
    <w:tmpl w:val="3BA6D04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734383"/>
    <w:multiLevelType w:val="hybridMultilevel"/>
    <w:tmpl w:val="9A88F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4F1022"/>
    <w:multiLevelType w:val="hybridMultilevel"/>
    <w:tmpl w:val="646618E0"/>
    <w:lvl w:ilvl="0" w:tplc="D16800B4">
      <w:start w:val="1"/>
      <w:numFmt w:val="bullet"/>
      <w:lvlText w:val=""/>
      <w:lvlJc w:val="left"/>
      <w:pPr>
        <w:ind w:left="720" w:hanging="360"/>
      </w:pPr>
      <w:rPr>
        <w:rFonts w:ascii="Symbol" w:hAnsi="Symbol" w:hint="default"/>
        <w:color w:val="auto"/>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0F207BFE"/>
    <w:multiLevelType w:val="hybridMultilevel"/>
    <w:tmpl w:val="405C595A"/>
    <w:lvl w:ilvl="0" w:tplc="30BAE06E">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10F36E54"/>
    <w:multiLevelType w:val="hybridMultilevel"/>
    <w:tmpl w:val="C36A593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2" w15:restartNumberingAfterBreak="0">
    <w:nsid w:val="12C70CEE"/>
    <w:multiLevelType w:val="hybridMultilevel"/>
    <w:tmpl w:val="5400E0E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4E237A"/>
    <w:multiLevelType w:val="hybridMultilevel"/>
    <w:tmpl w:val="7C4872A4"/>
    <w:lvl w:ilvl="0" w:tplc="D5BC4416">
      <w:start w:val="1"/>
      <w:numFmt w:val="lowerRoman"/>
      <w:lvlText w:val="(%1)"/>
      <w:lvlJc w:val="left"/>
      <w:pPr>
        <w:ind w:left="1854" w:hanging="720"/>
      </w:pPr>
      <w:rPr>
        <w:rFonts w:cs="Times New Roman" w:hint="default"/>
      </w:rPr>
    </w:lvl>
    <w:lvl w:ilvl="1" w:tplc="0C090019" w:tentative="1">
      <w:start w:val="1"/>
      <w:numFmt w:val="lowerLetter"/>
      <w:lvlText w:val="%2."/>
      <w:lvlJc w:val="left"/>
      <w:pPr>
        <w:ind w:left="2214" w:hanging="360"/>
      </w:pPr>
      <w:rPr>
        <w:rFonts w:cs="Times New Roman"/>
      </w:rPr>
    </w:lvl>
    <w:lvl w:ilvl="2" w:tplc="0C09001B" w:tentative="1">
      <w:start w:val="1"/>
      <w:numFmt w:val="lowerRoman"/>
      <w:lvlText w:val="%3."/>
      <w:lvlJc w:val="right"/>
      <w:pPr>
        <w:ind w:left="2934" w:hanging="180"/>
      </w:pPr>
      <w:rPr>
        <w:rFonts w:cs="Times New Roman"/>
      </w:rPr>
    </w:lvl>
    <w:lvl w:ilvl="3" w:tplc="0C09000F" w:tentative="1">
      <w:start w:val="1"/>
      <w:numFmt w:val="decimal"/>
      <w:lvlText w:val="%4."/>
      <w:lvlJc w:val="left"/>
      <w:pPr>
        <w:ind w:left="3654" w:hanging="360"/>
      </w:pPr>
      <w:rPr>
        <w:rFonts w:cs="Times New Roman"/>
      </w:rPr>
    </w:lvl>
    <w:lvl w:ilvl="4" w:tplc="0C090019" w:tentative="1">
      <w:start w:val="1"/>
      <w:numFmt w:val="lowerLetter"/>
      <w:lvlText w:val="%5."/>
      <w:lvlJc w:val="left"/>
      <w:pPr>
        <w:ind w:left="4374" w:hanging="360"/>
      </w:pPr>
      <w:rPr>
        <w:rFonts w:cs="Times New Roman"/>
      </w:rPr>
    </w:lvl>
    <w:lvl w:ilvl="5" w:tplc="0C09001B" w:tentative="1">
      <w:start w:val="1"/>
      <w:numFmt w:val="lowerRoman"/>
      <w:lvlText w:val="%6."/>
      <w:lvlJc w:val="right"/>
      <w:pPr>
        <w:ind w:left="5094" w:hanging="180"/>
      </w:pPr>
      <w:rPr>
        <w:rFonts w:cs="Times New Roman"/>
      </w:rPr>
    </w:lvl>
    <w:lvl w:ilvl="6" w:tplc="0C09000F" w:tentative="1">
      <w:start w:val="1"/>
      <w:numFmt w:val="decimal"/>
      <w:lvlText w:val="%7."/>
      <w:lvlJc w:val="left"/>
      <w:pPr>
        <w:ind w:left="5814" w:hanging="360"/>
      </w:pPr>
      <w:rPr>
        <w:rFonts w:cs="Times New Roman"/>
      </w:rPr>
    </w:lvl>
    <w:lvl w:ilvl="7" w:tplc="0C090019" w:tentative="1">
      <w:start w:val="1"/>
      <w:numFmt w:val="lowerLetter"/>
      <w:lvlText w:val="%8."/>
      <w:lvlJc w:val="left"/>
      <w:pPr>
        <w:ind w:left="6534" w:hanging="360"/>
      </w:pPr>
      <w:rPr>
        <w:rFonts w:cs="Times New Roman"/>
      </w:rPr>
    </w:lvl>
    <w:lvl w:ilvl="8" w:tplc="0C09001B" w:tentative="1">
      <w:start w:val="1"/>
      <w:numFmt w:val="lowerRoman"/>
      <w:lvlText w:val="%9."/>
      <w:lvlJc w:val="right"/>
      <w:pPr>
        <w:ind w:left="7254" w:hanging="180"/>
      </w:pPr>
      <w:rPr>
        <w:rFonts w:cs="Times New Roman"/>
      </w:rPr>
    </w:lvl>
  </w:abstractNum>
  <w:abstractNum w:abstractNumId="14" w15:restartNumberingAfterBreak="0">
    <w:nsid w:val="15895FBB"/>
    <w:multiLevelType w:val="hybridMultilevel"/>
    <w:tmpl w:val="AD10E63A"/>
    <w:lvl w:ilvl="0" w:tplc="D16800B4">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A64FA5"/>
    <w:multiLevelType w:val="hybridMultilevel"/>
    <w:tmpl w:val="9600F7C6"/>
    <w:lvl w:ilvl="0" w:tplc="30BAE06E">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209E0379"/>
    <w:multiLevelType w:val="hybridMultilevel"/>
    <w:tmpl w:val="B8D68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A854D5"/>
    <w:multiLevelType w:val="hybridMultilevel"/>
    <w:tmpl w:val="7AAA69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D97E99"/>
    <w:multiLevelType w:val="hybridMultilevel"/>
    <w:tmpl w:val="018C92FA"/>
    <w:lvl w:ilvl="0" w:tplc="0C090017">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9" w15:restartNumberingAfterBreak="0">
    <w:nsid w:val="2B5A6901"/>
    <w:multiLevelType w:val="hybridMultilevel"/>
    <w:tmpl w:val="32403E5A"/>
    <w:lvl w:ilvl="0" w:tplc="660EB736">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32720E6C"/>
    <w:multiLevelType w:val="multilevel"/>
    <w:tmpl w:val="8EFE4D64"/>
    <w:lvl w:ilvl="0">
      <w:start w:val="1"/>
      <w:numFmt w:val="lowerLetter"/>
      <w:lvlRestart w:val="0"/>
      <w:lvlText w:val="(%1)"/>
      <w:lvlJc w:val="left"/>
      <w:pPr>
        <w:tabs>
          <w:tab w:val="num" w:pos="1701"/>
        </w:tabs>
        <w:ind w:left="1134"/>
      </w:pPr>
      <w:rPr>
        <w:rFonts w:cs="Times New Roman" w:hint="default"/>
        <w:b w:val="0"/>
        <w:i w:val="0"/>
        <w:color w:val="000000"/>
        <w:sz w:val="23"/>
        <w:szCs w:val="23"/>
      </w:rPr>
    </w:lvl>
    <w:lvl w:ilvl="1">
      <w:start w:val="1"/>
      <w:numFmt w:val="decimal"/>
      <w:lvlText w:val="%2"/>
      <w:lvlJc w:val="left"/>
      <w:pPr>
        <w:tabs>
          <w:tab w:val="num" w:pos="1701"/>
        </w:tabs>
        <w:ind w:left="1701" w:hanging="567"/>
      </w:pPr>
      <w:rPr>
        <w:rFonts w:cs="Times New Roman"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21" w15:restartNumberingAfterBreak="0">
    <w:nsid w:val="34665E02"/>
    <w:multiLevelType w:val="hybridMultilevel"/>
    <w:tmpl w:val="99D4E62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4852B5"/>
    <w:multiLevelType w:val="hybridMultilevel"/>
    <w:tmpl w:val="55342E9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678520F"/>
    <w:multiLevelType w:val="hybridMultilevel"/>
    <w:tmpl w:val="B914AE08"/>
    <w:lvl w:ilvl="0" w:tplc="30BAE06E">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367D08DE"/>
    <w:multiLevelType w:val="hybridMultilevel"/>
    <w:tmpl w:val="36A6E4FC"/>
    <w:lvl w:ilvl="0" w:tplc="1A601FEA">
      <w:start w:val="1"/>
      <w:numFmt w:val="lowerRoman"/>
      <w:lvlText w:val="(%1)"/>
      <w:lvlJc w:val="left"/>
      <w:pPr>
        <w:ind w:left="1854" w:hanging="720"/>
      </w:pPr>
      <w:rPr>
        <w:rFonts w:cs="Times New Roman" w:hint="default"/>
        <w:sz w:val="23"/>
        <w:szCs w:val="23"/>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392A44CA"/>
    <w:multiLevelType w:val="hybridMultilevel"/>
    <w:tmpl w:val="65FAB5A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D1E7472"/>
    <w:multiLevelType w:val="hybridMultilevel"/>
    <w:tmpl w:val="E0BC2E86"/>
    <w:lvl w:ilvl="0" w:tplc="0C6005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7958A1"/>
    <w:multiLevelType w:val="multilevel"/>
    <w:tmpl w:val="72A488BE"/>
    <w:lvl w:ilvl="0">
      <w:start w:val="1"/>
      <w:numFmt w:val="upperLetter"/>
      <w:suff w:val="nothing"/>
      <w:lvlText w:val="%1"/>
      <w:lvlJc w:val="left"/>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lowerRoman"/>
      <w:lvlText w:val="%3."/>
      <w:lvlJc w:val="right"/>
      <w:pPr>
        <w:tabs>
          <w:tab w:val="num" w:pos="1593"/>
        </w:tabs>
        <w:ind w:left="1593" w:hanging="180"/>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lowerRoman"/>
      <w:lvlText w:val="%9."/>
      <w:lvlJc w:val="right"/>
      <w:pPr>
        <w:tabs>
          <w:tab w:val="num" w:pos="5913"/>
        </w:tabs>
        <w:ind w:left="5913" w:hanging="180"/>
      </w:pPr>
      <w:rPr>
        <w:rFonts w:cs="Times New Roman" w:hint="default"/>
      </w:rPr>
    </w:lvl>
  </w:abstractNum>
  <w:abstractNum w:abstractNumId="28" w15:restartNumberingAfterBreak="0">
    <w:nsid w:val="4A032C09"/>
    <w:multiLevelType w:val="hybridMultilevel"/>
    <w:tmpl w:val="651663C6"/>
    <w:lvl w:ilvl="0" w:tplc="3FE6C9F4">
      <w:start w:val="1"/>
      <w:numFmt w:val="lowerRoman"/>
      <w:lvlText w:val="(%1)"/>
      <w:lvlJc w:val="left"/>
      <w:pPr>
        <w:ind w:left="1854" w:hanging="720"/>
      </w:pPr>
      <w:rPr>
        <w:rFonts w:cs="Times New Roman" w:hint="default"/>
        <w:sz w:val="23"/>
        <w:szCs w:val="23"/>
      </w:rPr>
    </w:lvl>
    <w:lvl w:ilvl="1" w:tplc="0C090019" w:tentative="1">
      <w:start w:val="1"/>
      <w:numFmt w:val="lowerLetter"/>
      <w:lvlText w:val="%2."/>
      <w:lvlJc w:val="left"/>
      <w:pPr>
        <w:ind w:left="2214" w:hanging="360"/>
      </w:pPr>
      <w:rPr>
        <w:rFonts w:cs="Times New Roman"/>
      </w:rPr>
    </w:lvl>
    <w:lvl w:ilvl="2" w:tplc="0C09001B" w:tentative="1">
      <w:start w:val="1"/>
      <w:numFmt w:val="lowerRoman"/>
      <w:lvlText w:val="%3."/>
      <w:lvlJc w:val="right"/>
      <w:pPr>
        <w:ind w:left="2934" w:hanging="180"/>
      </w:pPr>
      <w:rPr>
        <w:rFonts w:cs="Times New Roman"/>
      </w:rPr>
    </w:lvl>
    <w:lvl w:ilvl="3" w:tplc="0C09000F" w:tentative="1">
      <w:start w:val="1"/>
      <w:numFmt w:val="decimal"/>
      <w:lvlText w:val="%4."/>
      <w:lvlJc w:val="left"/>
      <w:pPr>
        <w:ind w:left="3654" w:hanging="360"/>
      </w:pPr>
      <w:rPr>
        <w:rFonts w:cs="Times New Roman"/>
      </w:rPr>
    </w:lvl>
    <w:lvl w:ilvl="4" w:tplc="0C090019" w:tentative="1">
      <w:start w:val="1"/>
      <w:numFmt w:val="lowerLetter"/>
      <w:lvlText w:val="%5."/>
      <w:lvlJc w:val="left"/>
      <w:pPr>
        <w:ind w:left="4374" w:hanging="360"/>
      </w:pPr>
      <w:rPr>
        <w:rFonts w:cs="Times New Roman"/>
      </w:rPr>
    </w:lvl>
    <w:lvl w:ilvl="5" w:tplc="0C09001B" w:tentative="1">
      <w:start w:val="1"/>
      <w:numFmt w:val="lowerRoman"/>
      <w:lvlText w:val="%6."/>
      <w:lvlJc w:val="right"/>
      <w:pPr>
        <w:ind w:left="5094" w:hanging="180"/>
      </w:pPr>
      <w:rPr>
        <w:rFonts w:cs="Times New Roman"/>
      </w:rPr>
    </w:lvl>
    <w:lvl w:ilvl="6" w:tplc="0C09000F" w:tentative="1">
      <w:start w:val="1"/>
      <w:numFmt w:val="decimal"/>
      <w:lvlText w:val="%7."/>
      <w:lvlJc w:val="left"/>
      <w:pPr>
        <w:ind w:left="5814" w:hanging="360"/>
      </w:pPr>
      <w:rPr>
        <w:rFonts w:cs="Times New Roman"/>
      </w:rPr>
    </w:lvl>
    <w:lvl w:ilvl="7" w:tplc="0C090019" w:tentative="1">
      <w:start w:val="1"/>
      <w:numFmt w:val="lowerLetter"/>
      <w:lvlText w:val="%8."/>
      <w:lvlJc w:val="left"/>
      <w:pPr>
        <w:ind w:left="6534" w:hanging="360"/>
      </w:pPr>
      <w:rPr>
        <w:rFonts w:cs="Times New Roman"/>
      </w:rPr>
    </w:lvl>
    <w:lvl w:ilvl="8" w:tplc="0C09001B" w:tentative="1">
      <w:start w:val="1"/>
      <w:numFmt w:val="lowerRoman"/>
      <w:lvlText w:val="%9."/>
      <w:lvlJc w:val="right"/>
      <w:pPr>
        <w:ind w:left="7254" w:hanging="180"/>
      </w:pPr>
      <w:rPr>
        <w:rFonts w:cs="Times New Roman"/>
      </w:rPr>
    </w:lvl>
  </w:abstractNum>
  <w:abstractNum w:abstractNumId="29" w15:restartNumberingAfterBreak="0">
    <w:nsid w:val="4C790CBC"/>
    <w:multiLevelType w:val="hybridMultilevel"/>
    <w:tmpl w:val="96ACF2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931428"/>
    <w:multiLevelType w:val="hybridMultilevel"/>
    <w:tmpl w:val="6C22E3B8"/>
    <w:lvl w:ilvl="0" w:tplc="2862A34E">
      <w:numFmt w:val="bullet"/>
      <w:lvlText w:val="-"/>
      <w:lvlJc w:val="left"/>
      <w:pPr>
        <w:ind w:left="720" w:hanging="360"/>
      </w:pPr>
      <w:rPr>
        <w:rFonts w:ascii="Corbel" w:eastAsia="Times New Roman" w:hAnsi="Corbe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3922E4"/>
    <w:multiLevelType w:val="hybridMultilevel"/>
    <w:tmpl w:val="76A077EA"/>
    <w:lvl w:ilvl="0" w:tplc="5A7C9C54">
      <w:start w:val="1"/>
      <w:numFmt w:val="lowerRoman"/>
      <w:lvlText w:val="%1."/>
      <w:lvlJc w:val="right"/>
      <w:pPr>
        <w:ind w:left="1800" w:hanging="360"/>
      </w:pPr>
      <w:rPr>
        <w:rFonts w:cs="Times New Roman"/>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32" w15:restartNumberingAfterBreak="0">
    <w:nsid w:val="59B70749"/>
    <w:multiLevelType w:val="multilevel"/>
    <w:tmpl w:val="03786CE8"/>
    <w:lvl w:ilvl="0">
      <w:start w:val="1"/>
      <w:numFmt w:val="lowerLetter"/>
      <w:lvlRestart w:val="0"/>
      <w:lvlText w:val="(%1)"/>
      <w:lvlJc w:val="left"/>
      <w:pPr>
        <w:tabs>
          <w:tab w:val="num" w:pos="1134"/>
        </w:tabs>
        <w:ind w:left="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33" w15:restartNumberingAfterBreak="0">
    <w:nsid w:val="61C51A55"/>
    <w:multiLevelType w:val="hybridMultilevel"/>
    <w:tmpl w:val="B914AE08"/>
    <w:lvl w:ilvl="0" w:tplc="30BAE06E">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65751226"/>
    <w:multiLevelType w:val="hybridMultilevel"/>
    <w:tmpl w:val="B914AE08"/>
    <w:lvl w:ilvl="0" w:tplc="30BAE06E">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6A15666B"/>
    <w:multiLevelType w:val="hybridMultilevel"/>
    <w:tmpl w:val="472E1EA6"/>
    <w:lvl w:ilvl="0" w:tplc="192646DE">
      <w:start w:val="3"/>
      <w:numFmt w:val="bullet"/>
      <w:lvlText w:val="-"/>
      <w:lvlJc w:val="left"/>
      <w:pPr>
        <w:ind w:left="249" w:hanging="360"/>
      </w:pPr>
      <w:rPr>
        <w:rFonts w:ascii="Corbel" w:eastAsia="Times New Roman" w:hAnsi="Corbel" w:cs="Times New Roman" w:hint="default"/>
      </w:rPr>
    </w:lvl>
    <w:lvl w:ilvl="1" w:tplc="0C090003" w:tentative="1">
      <w:start w:val="1"/>
      <w:numFmt w:val="bullet"/>
      <w:lvlText w:val="o"/>
      <w:lvlJc w:val="left"/>
      <w:pPr>
        <w:ind w:left="969" w:hanging="360"/>
      </w:pPr>
      <w:rPr>
        <w:rFonts w:ascii="Courier New" w:hAnsi="Courier New" w:cs="Courier New" w:hint="default"/>
      </w:rPr>
    </w:lvl>
    <w:lvl w:ilvl="2" w:tplc="0C090005" w:tentative="1">
      <w:start w:val="1"/>
      <w:numFmt w:val="bullet"/>
      <w:lvlText w:val=""/>
      <w:lvlJc w:val="left"/>
      <w:pPr>
        <w:ind w:left="1689" w:hanging="360"/>
      </w:pPr>
      <w:rPr>
        <w:rFonts w:ascii="Wingdings" w:hAnsi="Wingdings" w:hint="default"/>
      </w:rPr>
    </w:lvl>
    <w:lvl w:ilvl="3" w:tplc="0C090001" w:tentative="1">
      <w:start w:val="1"/>
      <w:numFmt w:val="bullet"/>
      <w:lvlText w:val=""/>
      <w:lvlJc w:val="left"/>
      <w:pPr>
        <w:ind w:left="2409" w:hanging="360"/>
      </w:pPr>
      <w:rPr>
        <w:rFonts w:ascii="Symbol" w:hAnsi="Symbol" w:hint="default"/>
      </w:rPr>
    </w:lvl>
    <w:lvl w:ilvl="4" w:tplc="0C090003" w:tentative="1">
      <w:start w:val="1"/>
      <w:numFmt w:val="bullet"/>
      <w:lvlText w:val="o"/>
      <w:lvlJc w:val="left"/>
      <w:pPr>
        <w:ind w:left="3129" w:hanging="360"/>
      </w:pPr>
      <w:rPr>
        <w:rFonts w:ascii="Courier New" w:hAnsi="Courier New" w:cs="Courier New" w:hint="default"/>
      </w:rPr>
    </w:lvl>
    <w:lvl w:ilvl="5" w:tplc="0C090005" w:tentative="1">
      <w:start w:val="1"/>
      <w:numFmt w:val="bullet"/>
      <w:lvlText w:val=""/>
      <w:lvlJc w:val="left"/>
      <w:pPr>
        <w:ind w:left="3849" w:hanging="360"/>
      </w:pPr>
      <w:rPr>
        <w:rFonts w:ascii="Wingdings" w:hAnsi="Wingdings" w:hint="default"/>
      </w:rPr>
    </w:lvl>
    <w:lvl w:ilvl="6" w:tplc="0C090001" w:tentative="1">
      <w:start w:val="1"/>
      <w:numFmt w:val="bullet"/>
      <w:lvlText w:val=""/>
      <w:lvlJc w:val="left"/>
      <w:pPr>
        <w:ind w:left="4569" w:hanging="360"/>
      </w:pPr>
      <w:rPr>
        <w:rFonts w:ascii="Symbol" w:hAnsi="Symbol" w:hint="default"/>
      </w:rPr>
    </w:lvl>
    <w:lvl w:ilvl="7" w:tplc="0C090003" w:tentative="1">
      <w:start w:val="1"/>
      <w:numFmt w:val="bullet"/>
      <w:lvlText w:val="o"/>
      <w:lvlJc w:val="left"/>
      <w:pPr>
        <w:ind w:left="5289" w:hanging="360"/>
      </w:pPr>
      <w:rPr>
        <w:rFonts w:ascii="Courier New" w:hAnsi="Courier New" w:cs="Courier New" w:hint="default"/>
      </w:rPr>
    </w:lvl>
    <w:lvl w:ilvl="8" w:tplc="0C090005" w:tentative="1">
      <w:start w:val="1"/>
      <w:numFmt w:val="bullet"/>
      <w:lvlText w:val=""/>
      <w:lvlJc w:val="left"/>
      <w:pPr>
        <w:ind w:left="6009" w:hanging="360"/>
      </w:pPr>
      <w:rPr>
        <w:rFonts w:ascii="Wingdings" w:hAnsi="Wingdings" w:hint="default"/>
      </w:rPr>
    </w:lvl>
  </w:abstractNum>
  <w:abstractNum w:abstractNumId="36" w15:restartNumberingAfterBreak="0">
    <w:nsid w:val="6E590D5B"/>
    <w:multiLevelType w:val="hybridMultilevel"/>
    <w:tmpl w:val="B914AE08"/>
    <w:lvl w:ilvl="0" w:tplc="30BAE06E">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7" w15:restartNumberingAfterBreak="0">
    <w:nsid w:val="6F9E51FF"/>
    <w:multiLevelType w:val="hybridMultilevel"/>
    <w:tmpl w:val="6BAAF84E"/>
    <w:lvl w:ilvl="0" w:tplc="5094C41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F003FE"/>
    <w:multiLevelType w:val="hybridMultilevel"/>
    <w:tmpl w:val="B43E61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5311D8D"/>
    <w:multiLevelType w:val="hybridMultilevel"/>
    <w:tmpl w:val="D0083AD0"/>
    <w:lvl w:ilvl="0" w:tplc="C4C43AD4">
      <w:start w:val="1"/>
      <w:numFmt w:val="lowerLetter"/>
      <w:lvlText w:val="%1)"/>
      <w:lvlJc w:val="left"/>
      <w:pPr>
        <w:ind w:left="720" w:hanging="360"/>
      </w:pPr>
      <w:rPr>
        <w:rFonts w:hint="default"/>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552285D"/>
    <w:multiLevelType w:val="multilevel"/>
    <w:tmpl w:val="E68E8A20"/>
    <w:lvl w:ilvl="0">
      <w:start w:val="1"/>
      <w:numFmt w:val="lowerLetter"/>
      <w:lvlRestart w:val="0"/>
      <w:lvlText w:val="(%1)"/>
      <w:lvlJc w:val="left"/>
      <w:pPr>
        <w:tabs>
          <w:tab w:val="num" w:pos="1701"/>
        </w:tabs>
        <w:ind w:left="1134"/>
      </w:pPr>
      <w:rPr>
        <w:rFonts w:cs="Times New Roman" w:hint="default"/>
        <w:b w:val="0"/>
        <w:i w:val="0"/>
        <w:color w:val="000000"/>
        <w:sz w:val="23"/>
        <w:szCs w:val="23"/>
      </w:rPr>
    </w:lvl>
    <w:lvl w:ilvl="1">
      <w:start w:val="1"/>
      <w:numFmt w:val="decimal"/>
      <w:lvlText w:val="%2"/>
      <w:lvlJc w:val="left"/>
      <w:pPr>
        <w:tabs>
          <w:tab w:val="num" w:pos="1701"/>
        </w:tabs>
        <w:ind w:left="1701" w:hanging="567"/>
      </w:pPr>
      <w:rPr>
        <w:rFonts w:cs="Times New Roman"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41" w15:restartNumberingAfterBreak="0">
    <w:nsid w:val="77F82599"/>
    <w:multiLevelType w:val="hybridMultilevel"/>
    <w:tmpl w:val="F35E20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79F03F4F"/>
    <w:multiLevelType w:val="hybridMultilevel"/>
    <w:tmpl w:val="F4921D8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66163376">
    <w:abstractNumId w:val="42"/>
  </w:num>
  <w:num w:numId="2" w16cid:durableId="1666936206">
    <w:abstractNumId w:val="35"/>
  </w:num>
  <w:num w:numId="3" w16cid:durableId="358164104">
    <w:abstractNumId w:val="30"/>
  </w:num>
  <w:num w:numId="4" w16cid:durableId="1681392207">
    <w:abstractNumId w:val="41"/>
  </w:num>
  <w:num w:numId="5" w16cid:durableId="752778948">
    <w:abstractNumId w:val="21"/>
  </w:num>
  <w:num w:numId="6" w16cid:durableId="1384987191">
    <w:abstractNumId w:val="6"/>
  </w:num>
  <w:num w:numId="7" w16cid:durableId="697126858">
    <w:abstractNumId w:val="5"/>
  </w:num>
  <w:num w:numId="8" w16cid:durableId="667681760">
    <w:abstractNumId w:val="37"/>
  </w:num>
  <w:num w:numId="9" w16cid:durableId="1444300595">
    <w:abstractNumId w:val="32"/>
  </w:num>
  <w:num w:numId="10" w16cid:durableId="1960332786">
    <w:abstractNumId w:val="39"/>
  </w:num>
  <w:num w:numId="11" w16cid:durableId="1951934761">
    <w:abstractNumId w:val="20"/>
  </w:num>
  <w:num w:numId="12" w16cid:durableId="1314329872">
    <w:abstractNumId w:val="13"/>
  </w:num>
  <w:num w:numId="13" w16cid:durableId="798644344">
    <w:abstractNumId w:val="28"/>
  </w:num>
  <w:num w:numId="14" w16cid:durableId="1170221600">
    <w:abstractNumId w:val="24"/>
  </w:num>
  <w:num w:numId="15" w16cid:durableId="661666417">
    <w:abstractNumId w:val="40"/>
  </w:num>
  <w:num w:numId="16" w16cid:durableId="472716812">
    <w:abstractNumId w:val="22"/>
  </w:num>
  <w:num w:numId="17" w16cid:durableId="1524125397">
    <w:abstractNumId w:val="43"/>
  </w:num>
  <w:num w:numId="18" w16cid:durableId="1858736716">
    <w:abstractNumId w:val="7"/>
  </w:num>
  <w:num w:numId="19" w16cid:durableId="1363550052">
    <w:abstractNumId w:val="25"/>
  </w:num>
  <w:num w:numId="20" w16cid:durableId="1286502001">
    <w:abstractNumId w:val="8"/>
  </w:num>
  <w:num w:numId="21" w16cid:durableId="1337659365">
    <w:abstractNumId w:val="17"/>
  </w:num>
  <w:num w:numId="22" w16cid:durableId="1397363569">
    <w:abstractNumId w:val="29"/>
  </w:num>
  <w:num w:numId="23" w16cid:durableId="232396908">
    <w:abstractNumId w:val="26"/>
  </w:num>
  <w:num w:numId="24" w16cid:durableId="1980840547">
    <w:abstractNumId w:val="18"/>
  </w:num>
  <w:num w:numId="25" w16cid:durableId="1096635731">
    <w:abstractNumId w:val="11"/>
  </w:num>
  <w:num w:numId="26" w16cid:durableId="629365035">
    <w:abstractNumId w:val="27"/>
  </w:num>
  <w:num w:numId="27" w16cid:durableId="643319132">
    <w:abstractNumId w:val="2"/>
  </w:num>
  <w:num w:numId="28" w16cid:durableId="383913930">
    <w:abstractNumId w:val="15"/>
  </w:num>
  <w:num w:numId="29" w16cid:durableId="977339655">
    <w:abstractNumId w:val="10"/>
  </w:num>
  <w:num w:numId="30" w16cid:durableId="8913737">
    <w:abstractNumId w:val="36"/>
  </w:num>
  <w:num w:numId="31" w16cid:durableId="1575117687">
    <w:abstractNumId w:val="34"/>
  </w:num>
  <w:num w:numId="32" w16cid:durableId="871308745">
    <w:abstractNumId w:val="33"/>
  </w:num>
  <w:num w:numId="33" w16cid:durableId="2085642745">
    <w:abstractNumId w:val="23"/>
  </w:num>
  <w:num w:numId="34" w16cid:durableId="1247953775">
    <w:abstractNumId w:val="9"/>
  </w:num>
  <w:num w:numId="35" w16cid:durableId="1830779676">
    <w:abstractNumId w:val="1"/>
  </w:num>
  <w:num w:numId="36" w16cid:durableId="1951354515">
    <w:abstractNumId w:val="31"/>
  </w:num>
  <w:num w:numId="37" w16cid:durableId="1450081281">
    <w:abstractNumId w:val="19"/>
  </w:num>
  <w:num w:numId="38" w16cid:durableId="1101416510">
    <w:abstractNumId w:val="16"/>
  </w:num>
  <w:num w:numId="39" w16cid:durableId="250697298">
    <w:abstractNumId w:val="3"/>
  </w:num>
  <w:num w:numId="40" w16cid:durableId="1441536170">
    <w:abstractNumId w:val="0"/>
  </w:num>
  <w:num w:numId="41" w16cid:durableId="328605925">
    <w:abstractNumId w:val="4"/>
  </w:num>
  <w:num w:numId="42" w16cid:durableId="1944916646">
    <w:abstractNumId w:val="12"/>
  </w:num>
  <w:num w:numId="43" w16cid:durableId="906841758">
    <w:abstractNumId w:val="14"/>
  </w:num>
  <w:num w:numId="44" w16cid:durableId="577038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B5F"/>
    <w:rsid w:val="000040BF"/>
    <w:rsid w:val="00005F81"/>
    <w:rsid w:val="00007270"/>
    <w:rsid w:val="00014AAA"/>
    <w:rsid w:val="0002594D"/>
    <w:rsid w:val="00030588"/>
    <w:rsid w:val="00031219"/>
    <w:rsid w:val="00085061"/>
    <w:rsid w:val="00092259"/>
    <w:rsid w:val="00096EBC"/>
    <w:rsid w:val="000A3B21"/>
    <w:rsid w:val="000B173A"/>
    <w:rsid w:val="000C3C3A"/>
    <w:rsid w:val="000D0D3C"/>
    <w:rsid w:val="000E1800"/>
    <w:rsid w:val="000F71CD"/>
    <w:rsid w:val="00110A2A"/>
    <w:rsid w:val="00112834"/>
    <w:rsid w:val="00115297"/>
    <w:rsid w:val="00123022"/>
    <w:rsid w:val="00135C3E"/>
    <w:rsid w:val="001520AE"/>
    <w:rsid w:val="00153AD1"/>
    <w:rsid w:val="001601BB"/>
    <w:rsid w:val="00165B7E"/>
    <w:rsid w:val="0017018A"/>
    <w:rsid w:val="001919A1"/>
    <w:rsid w:val="00193C14"/>
    <w:rsid w:val="00197B75"/>
    <w:rsid w:val="001A57B9"/>
    <w:rsid w:val="001A722C"/>
    <w:rsid w:val="001B0461"/>
    <w:rsid w:val="001B4802"/>
    <w:rsid w:val="001B66DE"/>
    <w:rsid w:val="001C0795"/>
    <w:rsid w:val="001C1378"/>
    <w:rsid w:val="001D3129"/>
    <w:rsid w:val="001E33F9"/>
    <w:rsid w:val="002153C5"/>
    <w:rsid w:val="002208E1"/>
    <w:rsid w:val="00234831"/>
    <w:rsid w:val="00253BF2"/>
    <w:rsid w:val="00262559"/>
    <w:rsid w:val="002A3A0D"/>
    <w:rsid w:val="002C41C0"/>
    <w:rsid w:val="002C47FA"/>
    <w:rsid w:val="002D3092"/>
    <w:rsid w:val="002D7502"/>
    <w:rsid w:val="002E498D"/>
    <w:rsid w:val="002F0BED"/>
    <w:rsid w:val="002F0CCA"/>
    <w:rsid w:val="00306F43"/>
    <w:rsid w:val="0031349E"/>
    <w:rsid w:val="00317FB3"/>
    <w:rsid w:val="003219AC"/>
    <w:rsid w:val="00323487"/>
    <w:rsid w:val="003248DF"/>
    <w:rsid w:val="00337346"/>
    <w:rsid w:val="00347663"/>
    <w:rsid w:val="003543B8"/>
    <w:rsid w:val="00361678"/>
    <w:rsid w:val="00365144"/>
    <w:rsid w:val="003843E1"/>
    <w:rsid w:val="003D59EF"/>
    <w:rsid w:val="003E1830"/>
    <w:rsid w:val="003E7EA9"/>
    <w:rsid w:val="003F1567"/>
    <w:rsid w:val="003F3A76"/>
    <w:rsid w:val="003F41BF"/>
    <w:rsid w:val="00411E39"/>
    <w:rsid w:val="0041571E"/>
    <w:rsid w:val="004338E6"/>
    <w:rsid w:val="00456A30"/>
    <w:rsid w:val="004655B8"/>
    <w:rsid w:val="00484923"/>
    <w:rsid w:val="004903BA"/>
    <w:rsid w:val="004C64B7"/>
    <w:rsid w:val="004C6E60"/>
    <w:rsid w:val="004D36E3"/>
    <w:rsid w:val="004D3865"/>
    <w:rsid w:val="004D3A72"/>
    <w:rsid w:val="004E0C94"/>
    <w:rsid w:val="004E5223"/>
    <w:rsid w:val="004F17D5"/>
    <w:rsid w:val="004F1ED5"/>
    <w:rsid w:val="00501F8C"/>
    <w:rsid w:val="00505676"/>
    <w:rsid w:val="00515AE2"/>
    <w:rsid w:val="00516ED3"/>
    <w:rsid w:val="005214FD"/>
    <w:rsid w:val="00537F1C"/>
    <w:rsid w:val="00543CC9"/>
    <w:rsid w:val="005479AF"/>
    <w:rsid w:val="00552480"/>
    <w:rsid w:val="00556B77"/>
    <w:rsid w:val="0056302F"/>
    <w:rsid w:val="005652A2"/>
    <w:rsid w:val="005712E6"/>
    <w:rsid w:val="00573262"/>
    <w:rsid w:val="00582645"/>
    <w:rsid w:val="00586E97"/>
    <w:rsid w:val="005B5EFD"/>
    <w:rsid w:val="005C3846"/>
    <w:rsid w:val="005C4D00"/>
    <w:rsid w:val="005C5CA9"/>
    <w:rsid w:val="005C74DE"/>
    <w:rsid w:val="005C78A3"/>
    <w:rsid w:val="005E4CC4"/>
    <w:rsid w:val="00604828"/>
    <w:rsid w:val="006163AD"/>
    <w:rsid w:val="006205E6"/>
    <w:rsid w:val="00624E87"/>
    <w:rsid w:val="00625F25"/>
    <w:rsid w:val="006268E7"/>
    <w:rsid w:val="006314A2"/>
    <w:rsid w:val="006548E5"/>
    <w:rsid w:val="006557F6"/>
    <w:rsid w:val="00662732"/>
    <w:rsid w:val="00667FB6"/>
    <w:rsid w:val="00672DEC"/>
    <w:rsid w:val="00685932"/>
    <w:rsid w:val="00696467"/>
    <w:rsid w:val="0069789C"/>
    <w:rsid w:val="006A159A"/>
    <w:rsid w:val="006B58EB"/>
    <w:rsid w:val="006B633A"/>
    <w:rsid w:val="006B6E73"/>
    <w:rsid w:val="006C3FE9"/>
    <w:rsid w:val="006C4DC0"/>
    <w:rsid w:val="006D7A41"/>
    <w:rsid w:val="006E3284"/>
    <w:rsid w:val="006E6A21"/>
    <w:rsid w:val="006F0FDD"/>
    <w:rsid w:val="006F5414"/>
    <w:rsid w:val="006F5606"/>
    <w:rsid w:val="0070304B"/>
    <w:rsid w:val="00703B44"/>
    <w:rsid w:val="00704270"/>
    <w:rsid w:val="00710D35"/>
    <w:rsid w:val="007125E2"/>
    <w:rsid w:val="00713FC3"/>
    <w:rsid w:val="0072007C"/>
    <w:rsid w:val="0073247D"/>
    <w:rsid w:val="00737BD6"/>
    <w:rsid w:val="0074134E"/>
    <w:rsid w:val="00744B2E"/>
    <w:rsid w:val="00767196"/>
    <w:rsid w:val="007710F8"/>
    <w:rsid w:val="007805D7"/>
    <w:rsid w:val="00792CE6"/>
    <w:rsid w:val="007A1387"/>
    <w:rsid w:val="007A4A6B"/>
    <w:rsid w:val="007A7460"/>
    <w:rsid w:val="007B0AE1"/>
    <w:rsid w:val="007C0BC9"/>
    <w:rsid w:val="007C1724"/>
    <w:rsid w:val="007C1CAF"/>
    <w:rsid w:val="007C4A44"/>
    <w:rsid w:val="007C56BD"/>
    <w:rsid w:val="007D0D22"/>
    <w:rsid w:val="007D5A95"/>
    <w:rsid w:val="007D6268"/>
    <w:rsid w:val="007D7CA0"/>
    <w:rsid w:val="007E41BF"/>
    <w:rsid w:val="007F4B22"/>
    <w:rsid w:val="00803149"/>
    <w:rsid w:val="00807D4D"/>
    <w:rsid w:val="00807FF8"/>
    <w:rsid w:val="00810817"/>
    <w:rsid w:val="00813356"/>
    <w:rsid w:val="00817D57"/>
    <w:rsid w:val="00827C57"/>
    <w:rsid w:val="008332DC"/>
    <w:rsid w:val="00836AF1"/>
    <w:rsid w:val="00836AFA"/>
    <w:rsid w:val="008427B2"/>
    <w:rsid w:val="00843DED"/>
    <w:rsid w:val="00845733"/>
    <w:rsid w:val="00875E23"/>
    <w:rsid w:val="008800CB"/>
    <w:rsid w:val="00883820"/>
    <w:rsid w:val="00884D6A"/>
    <w:rsid w:val="00884E8F"/>
    <w:rsid w:val="00886C08"/>
    <w:rsid w:val="00897C7F"/>
    <w:rsid w:val="008A3ECB"/>
    <w:rsid w:val="008A53C4"/>
    <w:rsid w:val="008B32F0"/>
    <w:rsid w:val="008C121A"/>
    <w:rsid w:val="008C72E6"/>
    <w:rsid w:val="008D53DB"/>
    <w:rsid w:val="008D7152"/>
    <w:rsid w:val="008E3795"/>
    <w:rsid w:val="008E41C6"/>
    <w:rsid w:val="008E4A7B"/>
    <w:rsid w:val="008E4B14"/>
    <w:rsid w:val="008E62E2"/>
    <w:rsid w:val="008F4076"/>
    <w:rsid w:val="008F713E"/>
    <w:rsid w:val="008F7183"/>
    <w:rsid w:val="00900116"/>
    <w:rsid w:val="00913DEF"/>
    <w:rsid w:val="00913E0D"/>
    <w:rsid w:val="0092613C"/>
    <w:rsid w:val="00932389"/>
    <w:rsid w:val="0094124D"/>
    <w:rsid w:val="00941FD2"/>
    <w:rsid w:val="00954CF3"/>
    <w:rsid w:val="0096313E"/>
    <w:rsid w:val="009834A0"/>
    <w:rsid w:val="00993C11"/>
    <w:rsid w:val="009C2953"/>
    <w:rsid w:val="009C3443"/>
    <w:rsid w:val="009D22BC"/>
    <w:rsid w:val="009D33DD"/>
    <w:rsid w:val="009D4AD6"/>
    <w:rsid w:val="009E7725"/>
    <w:rsid w:val="009F39B3"/>
    <w:rsid w:val="009F4447"/>
    <w:rsid w:val="00A0081D"/>
    <w:rsid w:val="00A020B2"/>
    <w:rsid w:val="00A066A9"/>
    <w:rsid w:val="00A25422"/>
    <w:rsid w:val="00A37934"/>
    <w:rsid w:val="00A4759D"/>
    <w:rsid w:val="00A51372"/>
    <w:rsid w:val="00A5340A"/>
    <w:rsid w:val="00A7101C"/>
    <w:rsid w:val="00A738FC"/>
    <w:rsid w:val="00A7731E"/>
    <w:rsid w:val="00A8067D"/>
    <w:rsid w:val="00A85B46"/>
    <w:rsid w:val="00AA1B49"/>
    <w:rsid w:val="00AA6FD4"/>
    <w:rsid w:val="00AB43E8"/>
    <w:rsid w:val="00AD4B55"/>
    <w:rsid w:val="00AE229E"/>
    <w:rsid w:val="00AE273E"/>
    <w:rsid w:val="00AE46EF"/>
    <w:rsid w:val="00B00F67"/>
    <w:rsid w:val="00B25C0A"/>
    <w:rsid w:val="00B62569"/>
    <w:rsid w:val="00B77307"/>
    <w:rsid w:val="00B805AB"/>
    <w:rsid w:val="00B833D9"/>
    <w:rsid w:val="00B977AE"/>
    <w:rsid w:val="00BC7268"/>
    <w:rsid w:val="00BD02DB"/>
    <w:rsid w:val="00BD04C3"/>
    <w:rsid w:val="00BD54E8"/>
    <w:rsid w:val="00BD6E01"/>
    <w:rsid w:val="00BE17F5"/>
    <w:rsid w:val="00BF21FD"/>
    <w:rsid w:val="00C0547D"/>
    <w:rsid w:val="00C11B31"/>
    <w:rsid w:val="00C240A2"/>
    <w:rsid w:val="00C24D1A"/>
    <w:rsid w:val="00C479B1"/>
    <w:rsid w:val="00C82329"/>
    <w:rsid w:val="00C82813"/>
    <w:rsid w:val="00C916A8"/>
    <w:rsid w:val="00C91B5F"/>
    <w:rsid w:val="00CF0B25"/>
    <w:rsid w:val="00CF175E"/>
    <w:rsid w:val="00CF527F"/>
    <w:rsid w:val="00CF56BD"/>
    <w:rsid w:val="00D022F4"/>
    <w:rsid w:val="00D05557"/>
    <w:rsid w:val="00D14C3F"/>
    <w:rsid w:val="00D20EAB"/>
    <w:rsid w:val="00D277A0"/>
    <w:rsid w:val="00D54783"/>
    <w:rsid w:val="00D607CF"/>
    <w:rsid w:val="00D62EB8"/>
    <w:rsid w:val="00D72056"/>
    <w:rsid w:val="00D72A49"/>
    <w:rsid w:val="00D823FC"/>
    <w:rsid w:val="00D86885"/>
    <w:rsid w:val="00DA4EE1"/>
    <w:rsid w:val="00DB5F6A"/>
    <w:rsid w:val="00DF71A4"/>
    <w:rsid w:val="00E00EA0"/>
    <w:rsid w:val="00E178C0"/>
    <w:rsid w:val="00E20647"/>
    <w:rsid w:val="00E34EAC"/>
    <w:rsid w:val="00E373D9"/>
    <w:rsid w:val="00E53ED6"/>
    <w:rsid w:val="00E61B3A"/>
    <w:rsid w:val="00E622B8"/>
    <w:rsid w:val="00E85E22"/>
    <w:rsid w:val="00E90532"/>
    <w:rsid w:val="00EA18E1"/>
    <w:rsid w:val="00EA63BE"/>
    <w:rsid w:val="00EB5C77"/>
    <w:rsid w:val="00EF452F"/>
    <w:rsid w:val="00F07347"/>
    <w:rsid w:val="00F075B9"/>
    <w:rsid w:val="00F12E98"/>
    <w:rsid w:val="00F144F8"/>
    <w:rsid w:val="00F165C3"/>
    <w:rsid w:val="00F25319"/>
    <w:rsid w:val="00F2703E"/>
    <w:rsid w:val="00F5319C"/>
    <w:rsid w:val="00F666AD"/>
    <w:rsid w:val="00F7422D"/>
    <w:rsid w:val="00F75C09"/>
    <w:rsid w:val="00F75EA6"/>
    <w:rsid w:val="00F7743F"/>
    <w:rsid w:val="00F77A92"/>
    <w:rsid w:val="00F80564"/>
    <w:rsid w:val="00F80E50"/>
    <w:rsid w:val="00F87E61"/>
    <w:rsid w:val="00F95D41"/>
    <w:rsid w:val="00FA13C6"/>
    <w:rsid w:val="00FA7DAD"/>
    <w:rsid w:val="00FC443D"/>
    <w:rsid w:val="00FD7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156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1B5F"/>
    <w:pPr>
      <w:widowControl w:val="0"/>
      <w:spacing w:after="0" w:line="240" w:lineRule="auto"/>
    </w:pPr>
    <w:rPr>
      <w:lang w:val="en-US"/>
    </w:rPr>
  </w:style>
  <w:style w:type="paragraph" w:styleId="Heading1">
    <w:name w:val="heading 1"/>
    <w:basedOn w:val="Normal"/>
    <w:next w:val="Normal"/>
    <w:link w:val="Heading1Char"/>
    <w:uiPriority w:val="9"/>
    <w:qFormat/>
    <w:rsid w:val="000259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91B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C91B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C91B5F"/>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C91B5F"/>
  </w:style>
  <w:style w:type="paragraph" w:styleId="Header">
    <w:name w:val="header"/>
    <w:basedOn w:val="Normal"/>
    <w:link w:val="HeaderChar"/>
    <w:uiPriority w:val="99"/>
    <w:unhideWhenUsed/>
    <w:rsid w:val="00C91B5F"/>
    <w:pPr>
      <w:tabs>
        <w:tab w:val="center" w:pos="4513"/>
        <w:tab w:val="right" w:pos="9026"/>
      </w:tabs>
    </w:pPr>
  </w:style>
  <w:style w:type="character" w:customStyle="1" w:styleId="HeaderChar">
    <w:name w:val="Header Char"/>
    <w:basedOn w:val="DefaultParagraphFont"/>
    <w:link w:val="Header"/>
    <w:uiPriority w:val="99"/>
    <w:rsid w:val="00C91B5F"/>
    <w:rPr>
      <w:lang w:val="en-US"/>
    </w:rPr>
  </w:style>
  <w:style w:type="paragraph" w:styleId="Footer">
    <w:name w:val="footer"/>
    <w:basedOn w:val="Normal"/>
    <w:link w:val="FooterChar"/>
    <w:uiPriority w:val="99"/>
    <w:unhideWhenUsed/>
    <w:rsid w:val="00C91B5F"/>
    <w:pPr>
      <w:tabs>
        <w:tab w:val="center" w:pos="4513"/>
        <w:tab w:val="right" w:pos="9026"/>
      </w:tabs>
    </w:pPr>
  </w:style>
  <w:style w:type="character" w:customStyle="1" w:styleId="FooterChar">
    <w:name w:val="Footer Char"/>
    <w:basedOn w:val="DefaultParagraphFont"/>
    <w:link w:val="Footer"/>
    <w:uiPriority w:val="99"/>
    <w:rsid w:val="00C91B5F"/>
    <w:rPr>
      <w:lang w:val="en-US"/>
    </w:rPr>
  </w:style>
  <w:style w:type="paragraph" w:customStyle="1" w:styleId="SingleParagraph">
    <w:name w:val="Single Paragraph"/>
    <w:basedOn w:val="Normal"/>
    <w:rsid w:val="00C91B5F"/>
    <w:pPr>
      <w:widowControl/>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C91B5F"/>
    <w:rPr>
      <w:b/>
    </w:rPr>
  </w:style>
  <w:style w:type="paragraph" w:customStyle="1" w:styleId="FooterEven">
    <w:name w:val="Footer Even"/>
    <w:basedOn w:val="Footer"/>
    <w:rsid w:val="00C91B5F"/>
    <w:pPr>
      <w:widowControl/>
      <w:tabs>
        <w:tab w:val="clear" w:pos="4513"/>
        <w:tab w:val="clear" w:pos="9026"/>
      </w:tabs>
    </w:pPr>
    <w:rPr>
      <w:rFonts w:ascii="Corbel" w:eastAsia="Times New Roman" w:hAnsi="Corbel" w:cs="Times New Roman"/>
      <w:color w:val="3D4B67"/>
      <w:sz w:val="18"/>
      <w:szCs w:val="20"/>
      <w:lang w:val="en-AU" w:eastAsia="en-AU"/>
    </w:rPr>
  </w:style>
  <w:style w:type="paragraph" w:customStyle="1" w:styleId="HeaderOdd">
    <w:name w:val="Header Odd"/>
    <w:basedOn w:val="Header"/>
    <w:rsid w:val="00C91B5F"/>
    <w:pPr>
      <w:keepNext/>
      <w:widowControl/>
      <w:tabs>
        <w:tab w:val="clear" w:pos="4513"/>
        <w:tab w:val="clear" w:pos="9026"/>
      </w:tabs>
      <w:jc w:val="right"/>
    </w:pPr>
    <w:rPr>
      <w:rFonts w:ascii="Corbel" w:eastAsia="Times New Roman" w:hAnsi="Corbel" w:cs="Times New Roman"/>
      <w:color w:val="3D4B67"/>
      <w:sz w:val="18"/>
      <w:szCs w:val="20"/>
      <w:lang w:val="en-AU" w:eastAsia="en-AU"/>
    </w:rPr>
  </w:style>
  <w:style w:type="paragraph" w:styleId="Subtitle">
    <w:name w:val="Subtitle"/>
    <w:basedOn w:val="Normal"/>
    <w:link w:val="SubtitleChar"/>
    <w:uiPriority w:val="11"/>
    <w:qFormat/>
    <w:rsid w:val="00C91B5F"/>
    <w:pPr>
      <w:widowControl/>
      <w:spacing w:after="300"/>
    </w:pPr>
    <w:rPr>
      <w:rFonts w:ascii="Consolas" w:eastAsia="Times New Roman" w:hAnsi="Consolas" w:cs="Times New Roman"/>
      <w:b/>
      <w:caps/>
      <w:color w:val="C7823E"/>
      <w:spacing w:val="50"/>
      <w:sz w:val="24"/>
      <w:lang w:val="en-AU" w:eastAsia="ja-JP"/>
    </w:rPr>
  </w:style>
  <w:style w:type="character" w:customStyle="1" w:styleId="SubtitleChar">
    <w:name w:val="Subtitle Char"/>
    <w:basedOn w:val="DefaultParagraphFont"/>
    <w:link w:val="Subtitle"/>
    <w:uiPriority w:val="11"/>
    <w:rsid w:val="00C91B5F"/>
    <w:rPr>
      <w:rFonts w:ascii="Consolas" w:eastAsia="Times New Roman" w:hAnsi="Consolas" w:cs="Times New Roman"/>
      <w:b/>
      <w:caps/>
      <w:color w:val="C7823E"/>
      <w:spacing w:val="50"/>
      <w:sz w:val="24"/>
      <w:lang w:eastAsia="ja-JP"/>
    </w:rPr>
  </w:style>
  <w:style w:type="paragraph" w:styleId="Title">
    <w:name w:val="Title"/>
    <w:basedOn w:val="Normal"/>
    <w:next w:val="Subtitle"/>
    <w:link w:val="TitleChar"/>
    <w:uiPriority w:val="10"/>
    <w:qFormat/>
    <w:rsid w:val="00C91B5F"/>
    <w:pPr>
      <w:widowControl/>
    </w:pPr>
    <w:rPr>
      <w:rFonts w:ascii="Corbel" w:eastAsia="Times New Roman" w:hAnsi="Corbel" w:cs="Times New Roman"/>
      <w:color w:val="3D4B67"/>
      <w:sz w:val="40"/>
      <w:szCs w:val="40"/>
      <w:lang w:val="en-AU" w:eastAsia="ja-JP"/>
    </w:rPr>
  </w:style>
  <w:style w:type="character" w:customStyle="1" w:styleId="TitleChar">
    <w:name w:val="Title Char"/>
    <w:basedOn w:val="DefaultParagraphFont"/>
    <w:link w:val="Title"/>
    <w:uiPriority w:val="10"/>
    <w:rsid w:val="00C91B5F"/>
    <w:rPr>
      <w:rFonts w:ascii="Corbel" w:eastAsia="Times New Roman" w:hAnsi="Corbel" w:cs="Times New Roman"/>
      <w:color w:val="3D4B67"/>
      <w:sz w:val="40"/>
      <w:szCs w:val="40"/>
      <w:lang w:eastAsia="ja-JP"/>
    </w:rPr>
  </w:style>
  <w:style w:type="paragraph" w:customStyle="1" w:styleId="Signed">
    <w:name w:val="Signed"/>
    <w:basedOn w:val="Normal"/>
    <w:rsid w:val="00C91B5F"/>
    <w:pPr>
      <w:widowControl/>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C91B5F"/>
    <w:pPr>
      <w:widowControl/>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C91B5F"/>
    <w:rPr>
      <w:b/>
      <w:i/>
    </w:rPr>
  </w:style>
  <w:style w:type="paragraph" w:customStyle="1" w:styleId="LineForSignature">
    <w:name w:val="LineForSignature"/>
    <w:basedOn w:val="Normal"/>
    <w:rsid w:val="00C91B5F"/>
    <w:pPr>
      <w:widowControl/>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aragraphnumbering">
    <w:name w:val="Paragraph numbering"/>
    <w:basedOn w:val="Normal"/>
    <w:link w:val="ParagraphnumberingChar"/>
    <w:qFormat/>
    <w:rsid w:val="00C91B5F"/>
    <w:pPr>
      <w:widowControl/>
      <w:numPr>
        <w:numId w:val="1"/>
      </w:numPr>
      <w:spacing w:after="240" w:line="260" w:lineRule="exact"/>
      <w:jc w:val="both"/>
    </w:pPr>
    <w:rPr>
      <w:rFonts w:ascii="Corbel" w:eastAsia="Times New Roman" w:hAnsi="Corbel" w:cs="Times New Roman"/>
      <w:color w:val="000000"/>
      <w:sz w:val="23"/>
      <w:szCs w:val="20"/>
      <w:lang w:val="en-AU" w:eastAsia="en-AU"/>
    </w:rPr>
  </w:style>
  <w:style w:type="character" w:customStyle="1" w:styleId="ParagraphnumberingChar">
    <w:name w:val="Paragraph numbering Char"/>
    <w:basedOn w:val="DefaultParagraphFont"/>
    <w:link w:val="Paragraphnumbering"/>
    <w:rsid w:val="00C91B5F"/>
    <w:rPr>
      <w:rFonts w:ascii="Corbel" w:eastAsia="Times New Roman" w:hAnsi="Corbel" w:cs="Times New Roman"/>
      <w:color w:val="000000"/>
      <w:sz w:val="23"/>
      <w:szCs w:val="20"/>
      <w:lang w:eastAsia="en-AU"/>
    </w:rPr>
  </w:style>
  <w:style w:type="paragraph" w:customStyle="1" w:styleId="Tableformat">
    <w:name w:val="Table format"/>
    <w:basedOn w:val="Heading2"/>
    <w:link w:val="TableformatChar"/>
    <w:qFormat/>
    <w:rsid w:val="00C91B5F"/>
    <w:pPr>
      <w:keepNext w:val="0"/>
      <w:keepLines w:val="0"/>
      <w:widowControl/>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C91B5F"/>
    <w:rPr>
      <w:rFonts w:ascii="Corbel" w:eastAsia="Times New Roman" w:hAnsi="Corbel" w:cs="Arial"/>
      <w:iCs/>
      <w:color w:val="2E74B5" w:themeColor="accent1" w:themeShade="BF"/>
      <w:sz w:val="26"/>
      <w:szCs w:val="26"/>
      <w:lang w:val="en-US" w:eastAsia="en-AU"/>
    </w:rPr>
  </w:style>
  <w:style w:type="paragraph" w:customStyle="1" w:styleId="Milestonetable">
    <w:name w:val="Milestone table"/>
    <w:basedOn w:val="Tableformat"/>
    <w:link w:val="MilestonetableChar"/>
    <w:qFormat/>
    <w:rsid w:val="00C91B5F"/>
    <w:pPr>
      <w:spacing w:before="60" w:after="60"/>
    </w:pPr>
    <w:rPr>
      <w:sz w:val="20"/>
      <w:szCs w:val="20"/>
    </w:rPr>
  </w:style>
  <w:style w:type="character" w:customStyle="1" w:styleId="MilestonetableChar">
    <w:name w:val="Milestone table Char"/>
    <w:basedOn w:val="TableformatChar"/>
    <w:link w:val="Milestonetable"/>
    <w:rsid w:val="00C91B5F"/>
    <w:rPr>
      <w:rFonts w:ascii="Corbel" w:eastAsia="Times New Roman" w:hAnsi="Corbel" w:cs="Arial"/>
      <w:iCs/>
      <w:color w:val="2E74B5" w:themeColor="accent1" w:themeShade="BF"/>
      <w:sz w:val="20"/>
      <w:szCs w:val="20"/>
      <w:lang w:val="en-US" w:eastAsia="en-AU"/>
    </w:rPr>
  </w:style>
  <w:style w:type="character" w:customStyle="1" w:styleId="Heading2Char">
    <w:name w:val="Heading 2 Char"/>
    <w:basedOn w:val="DefaultParagraphFont"/>
    <w:link w:val="Heading2"/>
    <w:uiPriority w:val="9"/>
    <w:semiHidden/>
    <w:rsid w:val="00C91B5F"/>
    <w:rPr>
      <w:rFonts w:asciiTheme="majorHAnsi" w:eastAsiaTheme="majorEastAsia" w:hAnsiTheme="majorHAnsi" w:cstheme="majorBidi"/>
      <w:color w:val="2E74B5" w:themeColor="accent1" w:themeShade="BF"/>
      <w:sz w:val="26"/>
      <w:szCs w:val="26"/>
      <w:lang w:val="en-US"/>
    </w:rPr>
  </w:style>
  <w:style w:type="paragraph" w:customStyle="1" w:styleId="AlphaParagraph">
    <w:name w:val="Alpha Paragraph"/>
    <w:basedOn w:val="Normal"/>
    <w:link w:val="AlphaParagraphCharChar"/>
    <w:rsid w:val="00AE229E"/>
    <w:pPr>
      <w:widowControl/>
      <w:tabs>
        <w:tab w:val="num" w:pos="0"/>
        <w:tab w:val="num" w:pos="567"/>
        <w:tab w:val="num" w:pos="1134"/>
      </w:tabs>
      <w:spacing w:after="240" w:line="260" w:lineRule="exact"/>
      <w:ind w:left="567" w:hanging="567"/>
      <w:jc w:val="both"/>
    </w:pPr>
    <w:rPr>
      <w:rFonts w:ascii="Corbel" w:eastAsia="Times New Roman" w:hAnsi="Corbel" w:cs="Times New Roman"/>
      <w:color w:val="000000"/>
      <w:sz w:val="23"/>
      <w:szCs w:val="20"/>
      <w:lang w:val="en-AU" w:eastAsia="en-AU"/>
    </w:rPr>
  </w:style>
  <w:style w:type="paragraph" w:customStyle="1" w:styleId="Normalnumbered">
    <w:name w:val="Normal numbered"/>
    <w:basedOn w:val="Normal"/>
    <w:link w:val="NormalnumberedChar"/>
    <w:rsid w:val="00AE229E"/>
    <w:pPr>
      <w:widowControl/>
      <w:tabs>
        <w:tab w:val="num" w:pos="360"/>
      </w:tabs>
      <w:spacing w:after="240" w:line="260" w:lineRule="exact"/>
      <w:ind w:left="360" w:hanging="360"/>
      <w:jc w:val="both"/>
    </w:pPr>
    <w:rPr>
      <w:rFonts w:ascii="Corbel" w:eastAsia="Times New Roman" w:hAnsi="Corbel" w:cs="Times New Roman"/>
      <w:color w:val="000000"/>
      <w:sz w:val="23"/>
      <w:szCs w:val="20"/>
      <w:lang w:val="en-AU" w:eastAsia="en-AU"/>
    </w:rPr>
  </w:style>
  <w:style w:type="character" w:customStyle="1" w:styleId="NormalnumberedChar">
    <w:name w:val="Normal numbered Char"/>
    <w:link w:val="Normalnumbered"/>
    <w:locked/>
    <w:rsid w:val="00AE229E"/>
    <w:rPr>
      <w:rFonts w:ascii="Corbel" w:eastAsia="Times New Roman" w:hAnsi="Corbel" w:cs="Times New Roman"/>
      <w:color w:val="000000"/>
      <w:sz w:val="23"/>
      <w:szCs w:val="20"/>
      <w:lang w:eastAsia="en-AU"/>
    </w:rPr>
  </w:style>
  <w:style w:type="character" w:customStyle="1" w:styleId="AlphaParagraphCharChar">
    <w:name w:val="Alpha Paragraph Char Char"/>
    <w:link w:val="AlphaParagraph"/>
    <w:locked/>
    <w:rsid w:val="00AE229E"/>
    <w:rPr>
      <w:rFonts w:ascii="Corbel" w:eastAsia="Times New Roman" w:hAnsi="Corbel" w:cs="Times New Roman"/>
      <w:color w:val="000000"/>
      <w:sz w:val="23"/>
      <w:szCs w:val="20"/>
      <w:lang w:eastAsia="en-AU"/>
    </w:rPr>
  </w:style>
  <w:style w:type="character" w:styleId="IntenseReference">
    <w:name w:val="Intense Reference"/>
    <w:basedOn w:val="DefaultParagraphFont"/>
    <w:uiPriority w:val="32"/>
    <w:qFormat/>
    <w:rsid w:val="001E33F9"/>
    <w:rPr>
      <w:rFonts w:cs="Times New Roman"/>
      <w:b/>
      <w:bCs/>
      <w:i/>
      <w:smallCaps/>
      <w:color w:val="ED7D31" w:themeColor="accent2"/>
      <w:spacing w:val="5"/>
      <w:u w:val="none"/>
    </w:rPr>
  </w:style>
  <w:style w:type="paragraph" w:styleId="BalloonText">
    <w:name w:val="Balloon Text"/>
    <w:basedOn w:val="Normal"/>
    <w:link w:val="BalloonTextChar"/>
    <w:uiPriority w:val="99"/>
    <w:semiHidden/>
    <w:unhideWhenUsed/>
    <w:rsid w:val="00F75E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EA6"/>
    <w:rPr>
      <w:rFonts w:ascii="Segoe UI" w:hAnsi="Segoe UI" w:cs="Segoe UI"/>
      <w:sz w:val="18"/>
      <w:szCs w:val="18"/>
      <w:lang w:val="en-US"/>
    </w:rPr>
  </w:style>
  <w:style w:type="character" w:styleId="CommentReference">
    <w:name w:val="annotation reference"/>
    <w:basedOn w:val="DefaultParagraphFont"/>
    <w:uiPriority w:val="99"/>
    <w:semiHidden/>
    <w:unhideWhenUsed/>
    <w:rsid w:val="007C1724"/>
    <w:rPr>
      <w:sz w:val="16"/>
      <w:szCs w:val="16"/>
    </w:rPr>
  </w:style>
  <w:style w:type="paragraph" w:styleId="CommentText">
    <w:name w:val="annotation text"/>
    <w:basedOn w:val="Normal"/>
    <w:link w:val="CommentTextChar"/>
    <w:uiPriority w:val="99"/>
    <w:unhideWhenUsed/>
    <w:rsid w:val="007C1724"/>
    <w:rPr>
      <w:sz w:val="20"/>
      <w:szCs w:val="20"/>
    </w:rPr>
  </w:style>
  <w:style w:type="character" w:customStyle="1" w:styleId="CommentTextChar">
    <w:name w:val="Comment Text Char"/>
    <w:basedOn w:val="DefaultParagraphFont"/>
    <w:link w:val="CommentText"/>
    <w:uiPriority w:val="99"/>
    <w:rsid w:val="007C1724"/>
    <w:rPr>
      <w:sz w:val="20"/>
      <w:szCs w:val="20"/>
      <w:lang w:val="en-US"/>
    </w:rPr>
  </w:style>
  <w:style w:type="paragraph" w:styleId="CommentSubject">
    <w:name w:val="annotation subject"/>
    <w:basedOn w:val="CommentText"/>
    <w:next w:val="CommentText"/>
    <w:link w:val="CommentSubjectChar"/>
    <w:uiPriority w:val="99"/>
    <w:semiHidden/>
    <w:unhideWhenUsed/>
    <w:rsid w:val="007C1724"/>
    <w:rPr>
      <w:b/>
      <w:bCs/>
    </w:rPr>
  </w:style>
  <w:style w:type="character" w:customStyle="1" w:styleId="CommentSubjectChar">
    <w:name w:val="Comment Subject Char"/>
    <w:basedOn w:val="CommentTextChar"/>
    <w:link w:val="CommentSubject"/>
    <w:uiPriority w:val="99"/>
    <w:semiHidden/>
    <w:rsid w:val="007C1724"/>
    <w:rPr>
      <w:b/>
      <w:bCs/>
      <w:sz w:val="20"/>
      <w:szCs w:val="20"/>
      <w:lang w:val="en-US"/>
    </w:rPr>
  </w:style>
  <w:style w:type="character" w:customStyle="1" w:styleId="Heading1Char">
    <w:name w:val="Heading 1 Char"/>
    <w:basedOn w:val="DefaultParagraphFont"/>
    <w:link w:val="Heading1"/>
    <w:uiPriority w:val="9"/>
    <w:rsid w:val="0002594D"/>
    <w:rPr>
      <w:rFonts w:asciiTheme="majorHAnsi" w:eastAsiaTheme="majorEastAsia" w:hAnsiTheme="majorHAnsi" w:cstheme="majorBidi"/>
      <w:color w:val="2E74B5" w:themeColor="accent1" w:themeShade="BF"/>
      <w:sz w:val="32"/>
      <w:szCs w:val="32"/>
      <w:lang w:val="en-US"/>
    </w:rPr>
  </w:style>
  <w:style w:type="table" w:styleId="TableGrid">
    <w:name w:val="Table Grid"/>
    <w:basedOn w:val="TableNormal"/>
    <w:uiPriority w:val="39"/>
    <w:rsid w:val="00025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 Heading"/>
    <w:basedOn w:val="Normal"/>
    <w:next w:val="BoxText"/>
    <w:rsid w:val="0002594D"/>
    <w:pPr>
      <w:keepNext/>
      <w:widowControl/>
      <w:spacing w:before="240" w:after="120"/>
    </w:pPr>
    <w:rPr>
      <w:rFonts w:ascii="Corbel" w:eastAsia="Times New Roman" w:hAnsi="Corbel" w:cs="Times New Roman"/>
      <w:b/>
      <w:color w:val="3D4B67"/>
      <w:szCs w:val="20"/>
      <w:lang w:val="en-AU" w:eastAsia="en-AU"/>
    </w:rPr>
  </w:style>
  <w:style w:type="paragraph" w:customStyle="1" w:styleId="BoxText">
    <w:name w:val="Box Text"/>
    <w:basedOn w:val="Normal"/>
    <w:link w:val="BoxTextChar"/>
    <w:rsid w:val="0002594D"/>
    <w:pPr>
      <w:widowControl/>
      <w:spacing w:after="240" w:line="260" w:lineRule="exact"/>
      <w:jc w:val="both"/>
    </w:pPr>
    <w:rPr>
      <w:rFonts w:ascii="Corbel" w:eastAsia="Times New Roman" w:hAnsi="Corbel" w:cs="Times New Roman"/>
      <w:color w:val="000000"/>
      <w:sz w:val="23"/>
      <w:szCs w:val="20"/>
      <w:lang w:val="en-AU" w:eastAsia="en-AU"/>
    </w:rPr>
  </w:style>
  <w:style w:type="paragraph" w:customStyle="1" w:styleId="ScheduleNumberedPara">
    <w:name w:val="ScheduleNumberedPara"/>
    <w:basedOn w:val="Normal"/>
    <w:link w:val="ScheduleNumberedParaChar"/>
    <w:rsid w:val="0002594D"/>
    <w:pPr>
      <w:widowControl/>
      <w:spacing w:after="240" w:line="260" w:lineRule="exact"/>
      <w:jc w:val="both"/>
    </w:pPr>
    <w:rPr>
      <w:rFonts w:ascii="Corbel" w:eastAsia="Times New Roman" w:hAnsi="Corbel" w:cs="Times New Roman"/>
      <w:color w:val="000000"/>
      <w:sz w:val="23"/>
      <w:szCs w:val="20"/>
      <w:lang w:val="en-AU" w:eastAsia="en-AU"/>
    </w:rPr>
  </w:style>
  <w:style w:type="character" w:customStyle="1" w:styleId="ScheduleNumberedParaChar">
    <w:name w:val="ScheduleNumberedPara Char"/>
    <w:link w:val="ScheduleNumberedPara"/>
    <w:locked/>
    <w:rsid w:val="0002594D"/>
    <w:rPr>
      <w:rFonts w:ascii="Corbel" w:eastAsia="Times New Roman" w:hAnsi="Corbel" w:cs="Times New Roman"/>
      <w:color w:val="000000"/>
      <w:sz w:val="23"/>
      <w:szCs w:val="20"/>
      <w:lang w:eastAsia="en-AU"/>
    </w:rPr>
  </w:style>
  <w:style w:type="character" w:customStyle="1" w:styleId="BoxTextChar">
    <w:name w:val="Box Text Char"/>
    <w:link w:val="BoxText"/>
    <w:locked/>
    <w:rsid w:val="0002594D"/>
    <w:rPr>
      <w:rFonts w:ascii="Corbel" w:eastAsia="Times New Roman" w:hAnsi="Corbel" w:cs="Times New Roman"/>
      <w:color w:val="000000"/>
      <w:sz w:val="23"/>
      <w:szCs w:val="20"/>
      <w:lang w:eastAsia="en-AU"/>
    </w:rPr>
  </w:style>
  <w:style w:type="paragraph" w:styleId="NormalWeb">
    <w:name w:val="Normal (Web)"/>
    <w:basedOn w:val="Normal"/>
    <w:uiPriority w:val="99"/>
    <w:semiHidden/>
    <w:unhideWhenUsed/>
    <w:rsid w:val="00625F25"/>
    <w:pPr>
      <w:widowControl/>
      <w:spacing w:before="100" w:beforeAutospacing="1" w:after="100" w:afterAutospacing="1"/>
    </w:pPr>
    <w:rPr>
      <w:rFonts w:ascii="Times New Roman" w:eastAsiaTheme="minorEastAsia" w:hAnsi="Times New Roman" w:cs="Times New Roman"/>
      <w:sz w:val="24"/>
      <w:szCs w:val="24"/>
      <w:lang w:val="en-AU" w:eastAsia="en-AU"/>
    </w:rPr>
  </w:style>
  <w:style w:type="paragraph" w:styleId="Revision">
    <w:name w:val="Revision"/>
    <w:hidden/>
    <w:uiPriority w:val="99"/>
    <w:semiHidden/>
    <w:rsid w:val="00813356"/>
    <w:pPr>
      <w:spacing w:after="0" w:line="240" w:lineRule="auto"/>
    </w:pPr>
    <w:rPr>
      <w:lang w:val="en-US"/>
    </w:rPr>
  </w:style>
  <w:style w:type="character" w:customStyle="1" w:styleId="null1">
    <w:name w:val="null1"/>
    <w:basedOn w:val="DefaultParagraphFont"/>
    <w:rsid w:val="003219AC"/>
  </w:style>
  <w:style w:type="paragraph" w:customStyle="1" w:styleId="null">
    <w:name w:val="null"/>
    <w:basedOn w:val="Normal"/>
    <w:rsid w:val="00EB5C77"/>
    <w:pPr>
      <w:widowControl/>
      <w:spacing w:before="100" w:beforeAutospacing="1" w:after="100" w:afterAutospacing="1"/>
    </w:pPr>
    <w:rPr>
      <w:rFonts w:ascii="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363215">
      <w:bodyDiv w:val="1"/>
      <w:marLeft w:val="0"/>
      <w:marRight w:val="0"/>
      <w:marTop w:val="0"/>
      <w:marBottom w:val="0"/>
      <w:divBdr>
        <w:top w:val="none" w:sz="0" w:space="0" w:color="auto"/>
        <w:left w:val="none" w:sz="0" w:space="0" w:color="auto"/>
        <w:bottom w:val="none" w:sz="0" w:space="0" w:color="auto"/>
        <w:right w:val="none" w:sz="0" w:space="0" w:color="auto"/>
      </w:divBdr>
    </w:div>
    <w:div w:id="213903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A927164838BD4BB90D0ABE7093D2DA" ma:contentTypeVersion="" ma:contentTypeDescription="PDMS Document Site Content Type" ma:contentTypeScope="" ma:versionID="927a290b77be030e522446f8efc68fa7">
  <xsd:schema xmlns:xsd="http://www.w3.org/2001/XMLSchema" xmlns:xs="http://www.w3.org/2001/XMLSchema" xmlns:p="http://schemas.microsoft.com/office/2006/metadata/properties" xmlns:ns2="CF9931B6-DEB0-461C-AE35-6B4AA476256B" targetNamespace="http://schemas.microsoft.com/office/2006/metadata/properties" ma:root="true" ma:fieldsID="364a7986268159645322ce628f6bf6ad" ns2:_="">
    <xsd:import namespace="CF9931B6-DEB0-461C-AE35-6B4AA47625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1B6-DEB0-461C-AE35-6B4AA47625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F9931B6-DEB0-461C-AE35-6B4AA476256B" xsi:nil="true"/>
  </documentManagement>
</p:properties>
</file>

<file path=customXml/itemProps1.xml><?xml version="1.0" encoding="utf-8"?>
<ds:datastoreItem xmlns:ds="http://schemas.openxmlformats.org/officeDocument/2006/customXml" ds:itemID="{6BCA0D46-29DB-4CE0-9E9A-1276EECC2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1B6-DEB0-461C-AE35-6B4AA4762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975799-F2A9-4380-A947-2467C22AAC79}">
  <ds:schemaRefs>
    <ds:schemaRef ds:uri="http://schemas.microsoft.com/sharepoint/v3/contenttype/forms"/>
  </ds:schemaRefs>
</ds:datastoreItem>
</file>

<file path=customXml/itemProps3.xml><?xml version="1.0" encoding="utf-8"?>
<ds:datastoreItem xmlns:ds="http://schemas.openxmlformats.org/officeDocument/2006/customXml" ds:itemID="{B3BA4D6A-7E45-457E-8ED9-F9E432A9D77C}">
  <ds:schemaRefs>
    <ds:schemaRef ds:uri="http://schemas.microsoft.com/office/2006/metadata/properties"/>
    <ds:schemaRef ds:uri="http://schemas.microsoft.com/office/infopath/2007/PartnerControls"/>
    <ds:schemaRef ds:uri="CF9931B6-DEB0-461C-AE35-6B4AA47625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5579</Words>
  <Characters>31804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2024-07-05T02:09:00Z</dcterms:created>
  <dcterms:modified xsi:type="dcterms:W3CDTF">2024-07-05T02:16:00Z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0x010100266966F133664895A6EE3632470D45F5004EA927164838BD4BB90D0ABE7093D2DA</vt:lpwstr>
  </property>
  <property fmtid="{D5CDD505-2E9C-101B-9397-08002B2CF9AE}" pid="3" name="TSYRecordClass">
    <vt:lpwstr>2;#TSY RA-8748 - Retain as national archives|243f2231-dbfc-4282-b24a-c9b768286bd0</vt:lpwstr>
  </property>
  <property fmtid="{D5CDD505-2E9C-101B-9397-08002B2CF9AE}" pid="4" name="_dlc_DocIdItemGuid">
    <vt:lpwstr>2ea0b585-50e1-4645-8938-8d60b4262ecc</vt:lpwstr>
  </property>
</Properties>
</file>