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1D6F" w14:textId="77777777" w:rsidR="008F51B0" w:rsidRDefault="00767328">
      <w:pPr>
        <w:spacing w:before="34" w:line="393" w:lineRule="exact"/>
        <w:ind w:right="36"/>
        <w:textAlignment w:val="baseline"/>
        <w:rPr>
          <w:rFonts w:ascii="Corbel" w:eastAsia="Corbel" w:hAnsi="Corbel"/>
          <w:color w:val="3C4A67"/>
          <w:sz w:val="36"/>
        </w:rPr>
      </w:pPr>
      <w:r>
        <w:rPr>
          <w:rFonts w:ascii="Corbel" w:eastAsia="Corbel" w:hAnsi="Corbel"/>
          <w:color w:val="3C4A67"/>
          <w:sz w:val="36"/>
        </w:rPr>
        <w:t>Appendix A: Bilateral Implementation Plan –</w:t>
      </w:r>
    </w:p>
    <w:p w14:paraId="71581D70" w14:textId="77777777" w:rsidR="008F51B0" w:rsidRDefault="00767328">
      <w:pPr>
        <w:spacing w:before="77" w:line="398" w:lineRule="exact"/>
        <w:ind w:right="36"/>
        <w:textAlignment w:val="baseline"/>
        <w:rPr>
          <w:rFonts w:ascii="Corbel" w:eastAsia="Corbel" w:hAnsi="Corbel"/>
          <w:color w:val="3C4A67"/>
          <w:sz w:val="36"/>
        </w:rPr>
      </w:pPr>
      <w:r>
        <w:rPr>
          <w:rFonts w:ascii="Corbel" w:eastAsia="Corbel" w:hAnsi="Corbel"/>
          <w:color w:val="3C4A67"/>
          <w:sz w:val="36"/>
        </w:rPr>
        <w:t>National Skills Agreement Policy Initiatives</w:t>
      </w:r>
    </w:p>
    <w:p w14:paraId="71581D71" w14:textId="77777777" w:rsidR="008F51B0" w:rsidRDefault="00767328">
      <w:pPr>
        <w:spacing w:before="304" w:line="238" w:lineRule="exact"/>
        <w:ind w:right="36"/>
        <w:textAlignment w:val="baseline"/>
        <w:rPr>
          <w:rFonts w:ascii="Corbel" w:eastAsia="Corbel" w:hAnsi="Corbel"/>
          <w:b/>
          <w:color w:val="970033"/>
          <w:spacing w:val="-1"/>
        </w:rPr>
      </w:pPr>
      <w:r>
        <w:rPr>
          <w:rFonts w:ascii="Corbel" w:eastAsia="Corbel" w:hAnsi="Corbel"/>
          <w:b/>
          <w:color w:val="970033"/>
          <w:spacing w:val="-1"/>
        </w:rPr>
        <w:t>PRELIMINARIES</w:t>
      </w:r>
    </w:p>
    <w:p w14:paraId="71581D72" w14:textId="77777777" w:rsidR="008F51B0" w:rsidRDefault="00767328">
      <w:pPr>
        <w:numPr>
          <w:ilvl w:val="0"/>
          <w:numId w:val="1"/>
        </w:numPr>
        <w:tabs>
          <w:tab w:val="clear" w:pos="288"/>
          <w:tab w:val="left" w:pos="648"/>
        </w:tabs>
        <w:spacing w:before="250" w:line="259"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This implementation plan is made between the Commonwealth of Australia (Commonwealth) and Tasmania under the 2024–2028 National Skills Agreement (the NSA) and should be read in conjunction with the NSA and the NSA Bilateral Implementation Plan Guidance.</w:t>
      </w:r>
    </w:p>
    <w:p w14:paraId="71581D73" w14:textId="77777777" w:rsidR="008F51B0" w:rsidRDefault="00767328">
      <w:pPr>
        <w:numPr>
          <w:ilvl w:val="0"/>
          <w:numId w:val="1"/>
        </w:numPr>
        <w:tabs>
          <w:tab w:val="clear" w:pos="288"/>
          <w:tab w:val="left" w:pos="648"/>
        </w:tabs>
        <w:spacing w:before="235" w:line="262"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Once executed, this implementation plan and any updates agreed with the Commonwealth, will be appended to the NSA and will be published on the Commonwealth’s Federal Financial Relations website</w:t>
      </w:r>
      <w:r>
        <w:rPr>
          <w:rFonts w:ascii="Corbel" w:eastAsia="Corbel" w:hAnsi="Corbel"/>
          <w:color w:val="0462C1"/>
          <w:sz w:val="21"/>
        </w:rPr>
        <w:t xml:space="preserve"> </w:t>
      </w:r>
      <w:hyperlink r:id="rId10">
        <w:r w:rsidR="008F51B0">
          <w:rPr>
            <w:rFonts w:ascii="Corbel" w:eastAsia="Corbel" w:hAnsi="Corbel"/>
            <w:color w:val="0000FF"/>
            <w:sz w:val="21"/>
            <w:u w:val="single"/>
          </w:rPr>
          <w:t>(</w:t>
        </w:r>
      </w:hyperlink>
      <w:hyperlink r:id="rId11">
        <w:r w:rsidR="008F51B0">
          <w:rPr>
            <w:rFonts w:ascii="Corbel" w:eastAsia="Corbel" w:hAnsi="Corbel"/>
            <w:color w:val="0000FF"/>
            <w:sz w:val="21"/>
            <w:u w:val="single"/>
          </w:rPr>
          <w:t>https://federalfinancialrelations.gov.au</w:t>
        </w:r>
      </w:hyperlink>
      <w:hyperlink r:id="rId12">
        <w:r w:rsidR="008F51B0">
          <w:rPr>
            <w:rFonts w:ascii="Corbel" w:eastAsia="Corbel" w:hAnsi="Corbel"/>
            <w:color w:val="0000FF"/>
            <w:sz w:val="21"/>
            <w:u w:val="single"/>
          </w:rPr>
          <w:t>)</w:t>
        </w:r>
      </w:hyperlink>
      <w:r>
        <w:rPr>
          <w:rFonts w:ascii="Corbel" w:eastAsia="Corbel" w:hAnsi="Corbel"/>
          <w:color w:val="0462C1"/>
          <w:sz w:val="21"/>
        </w:rPr>
        <w:t>.</w:t>
      </w:r>
    </w:p>
    <w:p w14:paraId="71581D74" w14:textId="77777777" w:rsidR="008F51B0" w:rsidRDefault="00767328">
      <w:pPr>
        <w:numPr>
          <w:ilvl w:val="0"/>
          <w:numId w:val="1"/>
        </w:numPr>
        <w:tabs>
          <w:tab w:val="clear" w:pos="288"/>
          <w:tab w:val="left" w:pos="648"/>
        </w:tabs>
        <w:spacing w:before="242" w:line="259" w:lineRule="exact"/>
        <w:ind w:left="648" w:right="36" w:hanging="288"/>
        <w:jc w:val="both"/>
        <w:textAlignment w:val="baseline"/>
        <w:rPr>
          <w:rFonts w:ascii="Corbel" w:eastAsia="Corbel" w:hAnsi="Corbel"/>
          <w:color w:val="000000"/>
          <w:sz w:val="24"/>
        </w:rPr>
      </w:pPr>
      <w:r>
        <w:rPr>
          <w:rFonts w:ascii="Corbel" w:eastAsia="Corbel" w:hAnsi="Corbel"/>
          <w:color w:val="000000"/>
          <w:sz w:val="24"/>
        </w:rPr>
        <w:t>T</w:t>
      </w:r>
      <w:r>
        <w:rPr>
          <w:rFonts w:ascii="Corbel" w:eastAsia="Corbel" w:hAnsi="Corbel"/>
          <w:color w:val="000000"/>
          <w:sz w:val="21"/>
        </w:rPr>
        <w:t>his implementation plan is expected to expire on 31 December 2028 (in line with the NSA), or on completion of the initiative, including final performance reporting and processing of final payments against milestones.</w:t>
      </w:r>
    </w:p>
    <w:p w14:paraId="71581D75" w14:textId="77777777" w:rsidR="008F51B0" w:rsidRDefault="00767328">
      <w:pPr>
        <w:numPr>
          <w:ilvl w:val="0"/>
          <w:numId w:val="1"/>
        </w:numPr>
        <w:tabs>
          <w:tab w:val="clear" w:pos="288"/>
          <w:tab w:val="left" w:pos="648"/>
        </w:tabs>
        <w:spacing w:before="237" w:line="262"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 xml:space="preserve">In </w:t>
      </w:r>
      <w:r>
        <w:rPr>
          <w:rFonts w:ascii="Corbel" w:eastAsia="Corbel" w:hAnsi="Corbel"/>
          <w:color w:val="000000"/>
          <w:sz w:val="24"/>
        </w:rPr>
        <w:t xml:space="preserve">all </w:t>
      </w:r>
      <w:r>
        <w:rPr>
          <w:rFonts w:ascii="Corbel" w:eastAsia="Corbel" w:hAnsi="Corbel"/>
          <w:color w:val="000000"/>
          <w:sz w:val="21"/>
        </w:rPr>
        <w:t xml:space="preserve">public materials relating to the policy initiatives, Tasmania will acknowledge the Commonwealth’s contribution with the following statement: </w:t>
      </w:r>
      <w:r>
        <w:rPr>
          <w:rFonts w:ascii="Corbel" w:eastAsia="Corbel" w:hAnsi="Corbel"/>
          <w:i/>
          <w:color w:val="000000"/>
        </w:rPr>
        <w:t xml:space="preserve">Ensuring Access to Foundation Skills </w:t>
      </w:r>
      <w:r>
        <w:rPr>
          <w:rFonts w:ascii="Corbel" w:eastAsia="Corbel" w:hAnsi="Corbel"/>
          <w:color w:val="000000"/>
          <w:sz w:val="21"/>
        </w:rPr>
        <w:t>is a joint initiative between the Australian Government and the Tasmanian Government.</w:t>
      </w:r>
    </w:p>
    <w:p w14:paraId="71581D76" w14:textId="77777777" w:rsidR="008F51B0" w:rsidRDefault="00767328">
      <w:pPr>
        <w:spacing w:before="261" w:line="238" w:lineRule="exact"/>
        <w:ind w:right="36"/>
        <w:textAlignment w:val="baseline"/>
        <w:rPr>
          <w:rFonts w:ascii="Corbel" w:eastAsia="Corbel" w:hAnsi="Corbel"/>
          <w:b/>
          <w:color w:val="970033"/>
          <w:spacing w:val="-2"/>
        </w:rPr>
      </w:pPr>
      <w:r>
        <w:rPr>
          <w:rFonts w:ascii="Corbel" w:eastAsia="Corbel" w:hAnsi="Corbel"/>
          <w:b/>
          <w:color w:val="970033"/>
          <w:spacing w:val="-2"/>
        </w:rPr>
        <w:t>REPORTING AND PAYMENTS</w:t>
      </w:r>
    </w:p>
    <w:p w14:paraId="71581D77" w14:textId="77777777" w:rsidR="008F51B0" w:rsidRDefault="00767328">
      <w:pPr>
        <w:spacing w:before="271" w:line="238" w:lineRule="exact"/>
        <w:ind w:right="36"/>
        <w:textAlignment w:val="baseline"/>
        <w:rPr>
          <w:rFonts w:ascii="Corbel" w:eastAsia="Corbel" w:hAnsi="Corbel"/>
          <w:b/>
          <w:color w:val="000000"/>
          <w:spacing w:val="-3"/>
        </w:rPr>
      </w:pPr>
      <w:r>
        <w:rPr>
          <w:rFonts w:ascii="Corbel" w:eastAsia="Corbel" w:hAnsi="Corbel"/>
          <w:b/>
          <w:color w:val="000000"/>
          <w:spacing w:val="-3"/>
        </w:rPr>
        <w:t>Reporting</w:t>
      </w:r>
    </w:p>
    <w:p w14:paraId="71581D78" w14:textId="77777777" w:rsidR="008F51B0" w:rsidRDefault="00767328">
      <w:pPr>
        <w:numPr>
          <w:ilvl w:val="0"/>
          <w:numId w:val="2"/>
        </w:numPr>
        <w:tabs>
          <w:tab w:val="clear" w:pos="288"/>
          <w:tab w:val="left" w:pos="648"/>
        </w:tabs>
        <w:spacing w:before="149" w:line="259"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Performance reporting will be due by 31 March and 30 September each year until the cessation of this Agreement, or the final payment is processed.</w:t>
      </w:r>
    </w:p>
    <w:p w14:paraId="71581D79" w14:textId="77777777" w:rsidR="008F51B0" w:rsidRDefault="00767328">
      <w:pPr>
        <w:numPr>
          <w:ilvl w:val="0"/>
          <w:numId w:val="2"/>
        </w:numPr>
        <w:tabs>
          <w:tab w:val="clear" w:pos="288"/>
          <w:tab w:val="left" w:pos="648"/>
        </w:tabs>
        <w:spacing w:before="235" w:line="264"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Tasmania will provide to the Commonwealth a traffic light status and activity summary on all policy initiatives.</w:t>
      </w:r>
    </w:p>
    <w:p w14:paraId="71581D7A" w14:textId="77777777" w:rsidR="008F51B0" w:rsidRDefault="00767328">
      <w:pPr>
        <w:numPr>
          <w:ilvl w:val="0"/>
          <w:numId w:val="2"/>
        </w:numPr>
        <w:tabs>
          <w:tab w:val="clear" w:pos="288"/>
          <w:tab w:val="left" w:pos="648"/>
        </w:tabs>
        <w:spacing w:before="263" w:line="236" w:lineRule="exact"/>
        <w:ind w:left="648" w:right="36" w:hanging="288"/>
        <w:jc w:val="both"/>
        <w:textAlignment w:val="baseline"/>
        <w:rPr>
          <w:rFonts w:ascii="Corbel" w:eastAsia="Corbel" w:hAnsi="Corbel"/>
          <w:color w:val="000000"/>
          <w:spacing w:val="4"/>
          <w:sz w:val="21"/>
        </w:rPr>
      </w:pPr>
      <w:r>
        <w:rPr>
          <w:rFonts w:ascii="Corbel" w:eastAsia="Corbel" w:hAnsi="Corbel"/>
          <w:color w:val="000000"/>
          <w:spacing w:val="4"/>
          <w:sz w:val="21"/>
        </w:rPr>
        <w:t>The Commonwealth will provide templates for the purposes of reporting.</w:t>
      </w:r>
    </w:p>
    <w:p w14:paraId="71581D7B" w14:textId="77777777" w:rsidR="008F51B0" w:rsidRDefault="00767328">
      <w:pPr>
        <w:spacing w:before="261" w:line="238" w:lineRule="exact"/>
        <w:ind w:right="36"/>
        <w:textAlignment w:val="baseline"/>
        <w:rPr>
          <w:rFonts w:ascii="Corbel" w:eastAsia="Corbel" w:hAnsi="Corbel"/>
          <w:b/>
          <w:color w:val="000000"/>
          <w:spacing w:val="-2"/>
        </w:rPr>
      </w:pPr>
      <w:r>
        <w:rPr>
          <w:rFonts w:ascii="Corbel" w:eastAsia="Corbel" w:hAnsi="Corbel"/>
          <w:b/>
          <w:color w:val="000000"/>
          <w:spacing w:val="-2"/>
        </w:rPr>
        <w:t>Payments</w:t>
      </w:r>
    </w:p>
    <w:p w14:paraId="71581D7C" w14:textId="77777777" w:rsidR="008F51B0" w:rsidRDefault="00767328">
      <w:pPr>
        <w:numPr>
          <w:ilvl w:val="0"/>
          <w:numId w:val="3"/>
        </w:numPr>
        <w:tabs>
          <w:tab w:val="clear" w:pos="288"/>
          <w:tab w:val="left" w:pos="648"/>
        </w:tabs>
        <w:spacing w:before="146" w:line="260"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The Commonwealth will make payment subject to performance reporting demonstrating the relevant milestone has been met.</w:t>
      </w:r>
    </w:p>
    <w:p w14:paraId="71581D7D" w14:textId="77777777" w:rsidR="008F51B0" w:rsidRDefault="00767328">
      <w:pPr>
        <w:numPr>
          <w:ilvl w:val="0"/>
          <w:numId w:val="3"/>
        </w:numPr>
        <w:tabs>
          <w:tab w:val="clear" w:pos="288"/>
          <w:tab w:val="left" w:pos="648"/>
        </w:tabs>
        <w:spacing w:before="247" w:line="259"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As part of the performance reporting, Tasmania will provide evidence of what has been delivered in the reporting period. Payments will be processed once performance reports have been assessed and accepted.</w:t>
      </w:r>
    </w:p>
    <w:p w14:paraId="71581D7E" w14:textId="77777777" w:rsidR="008F51B0" w:rsidRDefault="00767328">
      <w:pPr>
        <w:numPr>
          <w:ilvl w:val="0"/>
          <w:numId w:val="3"/>
        </w:numPr>
        <w:tabs>
          <w:tab w:val="clear" w:pos="288"/>
          <w:tab w:val="left" w:pos="648"/>
        </w:tabs>
        <w:spacing w:before="241" w:line="259"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Where a payment is due at a reporting period (31 March and/or 30 September), Tasmania will complete the relevant section of the reporting template and provide the evidence required as agreed in the Milestones and Payments associated with this Implementation Plan.</w:t>
      </w:r>
    </w:p>
    <w:p w14:paraId="71581D7F" w14:textId="77777777" w:rsidR="008F51B0" w:rsidRDefault="00767328">
      <w:pPr>
        <w:numPr>
          <w:ilvl w:val="0"/>
          <w:numId w:val="3"/>
        </w:numPr>
        <w:tabs>
          <w:tab w:val="clear" w:pos="288"/>
          <w:tab w:val="left" w:pos="648"/>
        </w:tabs>
        <w:spacing w:before="245" w:after="1632" w:line="259" w:lineRule="exact"/>
        <w:ind w:left="648" w:right="36" w:hanging="288"/>
        <w:jc w:val="both"/>
        <w:textAlignment w:val="baseline"/>
        <w:rPr>
          <w:rFonts w:ascii="Corbel" w:eastAsia="Corbel" w:hAnsi="Corbel"/>
          <w:color w:val="000000"/>
          <w:sz w:val="21"/>
        </w:rPr>
      </w:pPr>
      <w:r>
        <w:rPr>
          <w:rFonts w:ascii="Corbel" w:eastAsia="Corbel" w:hAnsi="Corbel"/>
          <w:color w:val="000000"/>
          <w:sz w:val="21"/>
        </w:rPr>
        <w:t>Under A92 of the NSA, if a State is unable to expend any Commonwealth funding provided for policy initiative milestone payments, the Commonwealth may reduce a future payment by an amount equivalent to the unspent funds</w:t>
      </w:r>
    </w:p>
    <w:p w14:paraId="71581D80" w14:textId="77777777" w:rsidR="008F51B0" w:rsidRDefault="006565DD">
      <w:pPr>
        <w:spacing w:before="61" w:line="221" w:lineRule="exact"/>
        <w:ind w:right="36"/>
        <w:jc w:val="right"/>
        <w:textAlignment w:val="baseline"/>
        <w:rPr>
          <w:rFonts w:ascii="Calibri" w:eastAsia="Calibri" w:hAnsi="Calibri"/>
          <w:color w:val="000000"/>
          <w:spacing w:val="16"/>
        </w:rPr>
      </w:pPr>
      <w:r>
        <w:pict w14:anchorId="71581E4F">
          <v:line id="_x0000_s1050" style="position:absolute;left:0;text-align:left;z-index:251644928;mso-position-horizontal-relative:page;mso-position-vertical-relative:page" from="70.55pt,778.3pt" to="525.6pt,778.3pt" strokecolor="#d9d9d9" strokeweight=".7pt">
            <w10:wrap anchorx="page" anchory="page"/>
          </v:line>
        </w:pict>
      </w:r>
      <w:r w:rsidR="00767328">
        <w:rPr>
          <w:rFonts w:ascii="Calibri" w:eastAsia="Calibri" w:hAnsi="Calibri"/>
          <w:color w:val="000000"/>
          <w:spacing w:val="16"/>
        </w:rPr>
        <w:t>1 |</w:t>
      </w:r>
      <w:r w:rsidR="00767328">
        <w:rPr>
          <w:rFonts w:ascii="Calibri" w:eastAsia="Calibri" w:hAnsi="Calibri"/>
          <w:color w:val="7E7E7E"/>
          <w:spacing w:val="16"/>
        </w:rPr>
        <w:t xml:space="preserve"> Page</w:t>
      </w:r>
    </w:p>
    <w:p w14:paraId="71581D81" w14:textId="77777777" w:rsidR="008F51B0" w:rsidRDefault="00767328">
      <w:pPr>
        <w:spacing w:before="42" w:line="236" w:lineRule="exact"/>
        <w:ind w:right="36"/>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p w14:paraId="71581D82" w14:textId="77777777" w:rsidR="008F51B0" w:rsidRDefault="008F51B0">
      <w:pPr>
        <w:sectPr w:rsidR="008F51B0">
          <w:pgSz w:w="11909" w:h="16838"/>
          <w:pgMar w:top="1220" w:right="1398" w:bottom="302" w:left="1411" w:header="720" w:footer="720" w:gutter="0"/>
          <w:cols w:space="720"/>
        </w:sectPr>
      </w:pPr>
    </w:p>
    <w:p w14:paraId="71581D83" w14:textId="77777777" w:rsidR="008F51B0" w:rsidRDefault="00767328">
      <w:pPr>
        <w:spacing w:before="19" w:line="231" w:lineRule="exact"/>
        <w:ind w:left="144" w:right="36"/>
        <w:textAlignment w:val="baseline"/>
        <w:rPr>
          <w:rFonts w:ascii="Corbel" w:eastAsia="Corbel" w:hAnsi="Corbel"/>
          <w:b/>
          <w:color w:val="970033"/>
          <w:spacing w:val="3"/>
          <w:sz w:val="21"/>
        </w:rPr>
      </w:pPr>
      <w:r>
        <w:rPr>
          <w:rFonts w:ascii="Corbel" w:eastAsia="Corbel" w:hAnsi="Corbel"/>
          <w:b/>
          <w:color w:val="970033"/>
          <w:spacing w:val="3"/>
          <w:sz w:val="21"/>
        </w:rPr>
        <w:lastRenderedPageBreak/>
        <w:t>ENSURING ACCESS TO FOUNDATION SKILLS TRAINING (Clause A104 to A111 of the NSA)</w:t>
      </w:r>
    </w:p>
    <w:p w14:paraId="71581D84" w14:textId="77777777" w:rsidR="008F51B0" w:rsidRDefault="00767328">
      <w:pPr>
        <w:spacing w:before="248" w:line="268" w:lineRule="exact"/>
        <w:ind w:left="144" w:right="216"/>
        <w:textAlignment w:val="baseline"/>
        <w:rPr>
          <w:rFonts w:ascii="Corbel" w:eastAsia="Corbel" w:hAnsi="Corbel"/>
          <w:color w:val="000000"/>
          <w:sz w:val="21"/>
        </w:rPr>
      </w:pPr>
      <w:r>
        <w:rPr>
          <w:rFonts w:ascii="Corbel" w:eastAsia="Corbel" w:hAnsi="Corbel"/>
          <w:color w:val="000000"/>
          <w:sz w:val="21"/>
        </w:rPr>
        <w:t>As noted in the</w:t>
      </w:r>
      <w:hyperlink r:id="rId13" w:anchor=":~:text=The%20National%20Foundation%20Skills%20Strategy,skills%20levels%20among%20Australian%20adults.">
        <w:r w:rsidR="008F51B0">
          <w:rPr>
            <w:rFonts w:ascii="Corbel" w:eastAsia="Corbel" w:hAnsi="Corbel"/>
            <w:i/>
            <w:color w:val="0000FF"/>
            <w:u w:val="single"/>
          </w:rPr>
          <w:t xml:space="preserve"> National Foundation Skills Strategy 2025-35</w:t>
        </w:r>
      </w:hyperlink>
      <w:hyperlink r:id="rId14" w:anchor=":~:text=The%20National%20Foundation%20Skills%20Strategy,skills%20levels%20among%20Australian%20adults.">
        <w:r w:rsidR="008F51B0">
          <w:rPr>
            <w:rFonts w:ascii="Corbel" w:eastAsia="Corbel" w:hAnsi="Corbel"/>
            <w:color w:val="0000FF"/>
            <w:sz w:val="21"/>
            <w:u w:val="single"/>
          </w:rPr>
          <w:t>,</w:t>
        </w:r>
      </w:hyperlink>
      <w:r>
        <w:rPr>
          <w:rFonts w:ascii="Corbel" w:eastAsia="Corbel" w:hAnsi="Corbel"/>
          <w:color w:val="000000"/>
          <w:sz w:val="21"/>
        </w:rPr>
        <w:t xml:space="preserve"> Tasmania’s work towards increasing foundation skills for adults at a community level is progressing through </w:t>
      </w:r>
      <w:r>
        <w:rPr>
          <w:rFonts w:ascii="Corbel" w:eastAsia="Corbel" w:hAnsi="Corbel"/>
          <w:i/>
          <w:color w:val="000000"/>
        </w:rPr>
        <w:t xml:space="preserve">26Ten Tasmania </w:t>
      </w:r>
      <w:r>
        <w:rPr>
          <w:rFonts w:ascii="Corbel" w:eastAsia="Corbel" w:hAnsi="Corbel"/>
          <w:color w:val="000000"/>
          <w:sz w:val="21"/>
        </w:rPr>
        <w:t xml:space="preserve">and the </w:t>
      </w:r>
      <w:r>
        <w:rPr>
          <w:rFonts w:ascii="Corbel" w:eastAsia="Corbel" w:hAnsi="Corbel"/>
          <w:i/>
          <w:color w:val="000000"/>
        </w:rPr>
        <w:t>Lifting Literacy Community Framework</w:t>
      </w:r>
      <w:r>
        <w:rPr>
          <w:rFonts w:ascii="Corbel" w:eastAsia="Corbel" w:hAnsi="Corbel"/>
          <w:color w:val="000000"/>
          <w:sz w:val="21"/>
        </w:rPr>
        <w:t>. These are key government policy initiatives intended to lift literacy across the state.</w:t>
      </w:r>
    </w:p>
    <w:p w14:paraId="71581D85" w14:textId="77777777" w:rsidR="008F51B0" w:rsidRDefault="00767328">
      <w:pPr>
        <w:spacing w:before="245" w:line="267" w:lineRule="exact"/>
        <w:ind w:left="144" w:right="36"/>
        <w:textAlignment w:val="baseline"/>
        <w:rPr>
          <w:rFonts w:ascii="Corbel" w:eastAsia="Corbel" w:hAnsi="Corbel"/>
          <w:color w:val="000000"/>
          <w:spacing w:val="2"/>
          <w:sz w:val="21"/>
        </w:rPr>
      </w:pPr>
      <w:r>
        <w:rPr>
          <w:rFonts w:ascii="Corbel" w:eastAsia="Corbel" w:hAnsi="Corbel"/>
          <w:color w:val="000000"/>
          <w:spacing w:val="2"/>
          <w:sz w:val="21"/>
        </w:rPr>
        <w:t>Given the high level of investment in 26Ten and Lifting Literacy, and the upcoming review of the 26Ten Strategy in 2025, in its first iteration, Tasmania’s implementation plan draws from this work rather than developing new programs. If any gaps in the ‘no wrong door’ approach or low-fee access requirement are identified in this initial period, these can be reconsidered in future iterations of this plan.</w:t>
      </w:r>
    </w:p>
    <w:p w14:paraId="71581D86" w14:textId="77777777" w:rsidR="008F51B0" w:rsidRDefault="00767328">
      <w:pPr>
        <w:spacing w:before="239" w:line="269" w:lineRule="exact"/>
        <w:ind w:left="144" w:right="36"/>
        <w:textAlignment w:val="baseline"/>
        <w:rPr>
          <w:rFonts w:ascii="Corbel" w:eastAsia="Corbel" w:hAnsi="Corbel"/>
          <w:color w:val="000000"/>
          <w:spacing w:val="4"/>
          <w:sz w:val="21"/>
        </w:rPr>
      </w:pPr>
      <w:r>
        <w:rPr>
          <w:rFonts w:ascii="Corbel" w:eastAsia="Corbel" w:hAnsi="Corbel"/>
          <w:color w:val="000000"/>
          <w:spacing w:val="4"/>
          <w:sz w:val="21"/>
        </w:rPr>
        <w:t>Tasmania is also committed to working with the Australian Government and states and territories to deliver on the nationally agreed priorities under the National Foundation Skills Strategy (clause A109 (c) refers, along with supporting actions from the VET Workforce Blueprint and the Qualifications Reform Design Group that are relevant to foundation skills.</w:t>
      </w:r>
    </w:p>
    <w:p w14:paraId="71581D87" w14:textId="77777777" w:rsidR="008F51B0" w:rsidRDefault="00767328">
      <w:pPr>
        <w:spacing w:before="213" w:after="258" w:line="292" w:lineRule="exact"/>
        <w:ind w:left="360" w:right="504" w:hanging="288"/>
        <w:textAlignment w:val="baseline"/>
        <w:rPr>
          <w:rFonts w:ascii="Corbel" w:eastAsia="Corbel" w:hAnsi="Corbel"/>
          <w:b/>
          <w:color w:val="000000"/>
          <w:sz w:val="21"/>
        </w:rPr>
      </w:pPr>
      <w:r>
        <w:rPr>
          <w:rFonts w:ascii="Corbel" w:eastAsia="Corbel" w:hAnsi="Corbel"/>
          <w:b/>
          <w:color w:val="000000"/>
          <w:sz w:val="21"/>
        </w:rPr>
        <w:t>1) Foundation skills assessment and referral that delivers a ‘no-wrong door’ experience for foundation skills learners (clause A107 refers).</w:t>
      </w:r>
    </w:p>
    <w:tbl>
      <w:tblPr>
        <w:tblW w:w="0" w:type="auto"/>
        <w:tblLayout w:type="fixed"/>
        <w:tblCellMar>
          <w:left w:w="0" w:type="dxa"/>
          <w:right w:w="0" w:type="dxa"/>
        </w:tblCellMar>
        <w:tblLook w:val="04A0" w:firstRow="1" w:lastRow="0" w:firstColumn="1" w:lastColumn="0" w:noHBand="0" w:noVBand="1"/>
      </w:tblPr>
      <w:tblGrid>
        <w:gridCol w:w="9140"/>
      </w:tblGrid>
      <w:tr w:rsidR="008F51B0" w14:paraId="71581D99" w14:textId="77777777">
        <w:trPr>
          <w:trHeight w:hRule="exact" w:val="8947"/>
        </w:trPr>
        <w:tc>
          <w:tcPr>
            <w:tcW w:w="9140" w:type="dxa"/>
            <w:tcBorders>
              <w:top w:val="single" w:sz="5" w:space="0" w:color="000000"/>
              <w:left w:val="single" w:sz="5" w:space="0" w:color="000000"/>
              <w:bottom w:val="double" w:sz="8" w:space="0" w:color="000000"/>
              <w:right w:val="single" w:sz="5" w:space="0" w:color="000000"/>
            </w:tcBorders>
          </w:tcPr>
          <w:p w14:paraId="71581D88" w14:textId="77777777" w:rsidR="008F51B0" w:rsidRDefault="00767328">
            <w:pPr>
              <w:spacing w:before="19" w:line="227" w:lineRule="exact"/>
              <w:ind w:left="144" w:right="36"/>
              <w:textAlignment w:val="baseline"/>
              <w:rPr>
                <w:rFonts w:ascii="Corbel" w:eastAsia="Corbel" w:hAnsi="Corbel"/>
                <w:b/>
                <w:color w:val="000000"/>
                <w:sz w:val="21"/>
              </w:rPr>
            </w:pPr>
            <w:r>
              <w:rPr>
                <w:rFonts w:ascii="Corbel" w:eastAsia="Corbel" w:hAnsi="Corbel"/>
                <w:b/>
                <w:color w:val="000000"/>
                <w:sz w:val="21"/>
              </w:rPr>
              <w:t>Context</w:t>
            </w:r>
          </w:p>
          <w:p w14:paraId="71581D89" w14:textId="77777777" w:rsidR="008F51B0" w:rsidRDefault="00767328">
            <w:pPr>
              <w:spacing w:before="66" w:line="269" w:lineRule="exact"/>
              <w:ind w:left="144" w:right="216"/>
              <w:textAlignment w:val="baseline"/>
              <w:rPr>
                <w:rFonts w:ascii="Corbel" w:eastAsia="Corbel" w:hAnsi="Corbel"/>
                <w:color w:val="000000"/>
                <w:sz w:val="21"/>
              </w:rPr>
            </w:pPr>
            <w:r>
              <w:rPr>
                <w:rFonts w:ascii="Corbel" w:eastAsia="Corbel" w:hAnsi="Corbel"/>
                <w:color w:val="000000"/>
                <w:sz w:val="21"/>
              </w:rPr>
              <w:t xml:space="preserve">Within the VET sector, </w:t>
            </w:r>
            <w:proofErr w:type="spellStart"/>
            <w:r>
              <w:rPr>
                <w:rFonts w:ascii="Corbel" w:eastAsia="Corbel" w:hAnsi="Corbel"/>
                <w:color w:val="000000"/>
                <w:sz w:val="21"/>
              </w:rPr>
              <w:t>TasTAFE</w:t>
            </w:r>
            <w:proofErr w:type="spellEnd"/>
            <w:r>
              <w:rPr>
                <w:rFonts w:ascii="Corbel" w:eastAsia="Corbel" w:hAnsi="Corbel"/>
                <w:color w:val="000000"/>
                <w:sz w:val="21"/>
              </w:rPr>
              <w:t xml:space="preserve">, as Tasmania’s only public provider of VET delivers a significant amount of foundation skills development for adult learners across all levels. </w:t>
            </w:r>
            <w:proofErr w:type="spellStart"/>
            <w:r>
              <w:rPr>
                <w:rFonts w:ascii="Corbel" w:eastAsia="Corbel" w:hAnsi="Corbel"/>
                <w:color w:val="000000"/>
                <w:sz w:val="21"/>
              </w:rPr>
              <w:t>TasTAFE’s</w:t>
            </w:r>
            <w:proofErr w:type="spellEnd"/>
            <w:r>
              <w:rPr>
                <w:rFonts w:ascii="Corbel" w:eastAsia="Corbel" w:hAnsi="Corbel"/>
                <w:color w:val="000000"/>
                <w:sz w:val="21"/>
              </w:rPr>
              <w:t xml:space="preserve"> new approach to Foundation Skills Services, which takes an </w:t>
            </w:r>
            <w:proofErr w:type="spellStart"/>
            <w:r>
              <w:rPr>
                <w:rFonts w:ascii="Corbel" w:eastAsia="Corbel" w:hAnsi="Corbel"/>
                <w:color w:val="000000"/>
                <w:sz w:val="21"/>
              </w:rPr>
              <w:t>organisation</w:t>
            </w:r>
            <w:proofErr w:type="spellEnd"/>
            <w:r>
              <w:rPr>
                <w:rFonts w:ascii="Corbel" w:eastAsia="Corbel" w:hAnsi="Corbel"/>
                <w:color w:val="000000"/>
                <w:sz w:val="21"/>
              </w:rPr>
              <w:t>-wide approach to promoting foundation skills, is proven, nationally recognised and award winning.</w:t>
            </w:r>
          </w:p>
          <w:p w14:paraId="71581D8A" w14:textId="77777777" w:rsidR="008F51B0" w:rsidRDefault="00767328">
            <w:pPr>
              <w:spacing w:before="63" w:line="268" w:lineRule="exact"/>
              <w:ind w:left="144" w:right="216"/>
              <w:jc w:val="both"/>
              <w:textAlignment w:val="baseline"/>
              <w:rPr>
                <w:rFonts w:ascii="Corbel" w:eastAsia="Corbel" w:hAnsi="Corbel"/>
                <w:color w:val="000000"/>
                <w:sz w:val="21"/>
              </w:rPr>
            </w:pPr>
            <w:r>
              <w:rPr>
                <w:rFonts w:ascii="Corbel" w:eastAsia="Corbel" w:hAnsi="Corbel"/>
                <w:color w:val="000000"/>
                <w:sz w:val="21"/>
              </w:rPr>
              <w:t xml:space="preserve">More broadly, the Tasmanian Government established a Literacy Advisory Panel in 2021 to create a community-wide framework to achieve a literate Tasmania. The panel delivered its final report, </w:t>
            </w:r>
            <w:r>
              <w:rPr>
                <w:rFonts w:ascii="Corbel" w:eastAsia="Corbel" w:hAnsi="Corbel"/>
                <w:i/>
                <w:color w:val="000000"/>
              </w:rPr>
              <w:t>Lifting Literacy</w:t>
            </w:r>
            <w:r>
              <w:rPr>
                <w:rFonts w:ascii="Corbel" w:eastAsia="Corbel" w:hAnsi="Corbel"/>
                <w:color w:val="000000"/>
                <w:sz w:val="21"/>
              </w:rPr>
              <w:t>, in May 2023. The</w:t>
            </w:r>
            <w:hyperlink r:id="rId15">
              <w:r w:rsidR="008F51B0">
                <w:rPr>
                  <w:rFonts w:ascii="Corbel" w:eastAsia="Corbel" w:hAnsi="Corbel"/>
                  <w:color w:val="0000FF"/>
                  <w:sz w:val="21"/>
                  <w:u w:val="single"/>
                </w:rPr>
                <w:t xml:space="preserve"> implementation plan</w:t>
              </w:r>
            </w:hyperlink>
            <w:hyperlink r:id="rId16">
              <w:r w:rsidR="008F51B0">
                <w:rPr>
                  <w:rFonts w:ascii="Corbel" w:eastAsia="Corbel" w:hAnsi="Corbel"/>
                  <w:color w:val="0000FF"/>
                  <w:sz w:val="21"/>
                  <w:u w:val="single"/>
                </w:rPr>
                <w:t xml:space="preserve"> </w:t>
              </w:r>
            </w:hyperlink>
            <w:r>
              <w:rPr>
                <w:rFonts w:ascii="Corbel" w:eastAsia="Corbel" w:hAnsi="Corbel"/>
                <w:color w:val="000000"/>
                <w:sz w:val="21"/>
              </w:rPr>
              <w:t>is a three-year plan for implementing the recommendations (2024-2026).</w:t>
            </w:r>
          </w:p>
          <w:p w14:paraId="71581D8B" w14:textId="77777777" w:rsidR="008F51B0" w:rsidRDefault="00767328">
            <w:pPr>
              <w:spacing w:before="64" w:line="268" w:lineRule="exact"/>
              <w:ind w:left="144" w:right="288"/>
              <w:textAlignment w:val="baseline"/>
              <w:rPr>
                <w:rFonts w:ascii="Corbel" w:eastAsia="Corbel" w:hAnsi="Corbel"/>
                <w:color w:val="000000"/>
                <w:sz w:val="21"/>
              </w:rPr>
            </w:pPr>
            <w:r>
              <w:rPr>
                <w:rFonts w:ascii="Corbel" w:eastAsia="Corbel" w:hAnsi="Corbel"/>
                <w:color w:val="000000"/>
                <w:sz w:val="21"/>
              </w:rPr>
              <w:t xml:space="preserve">Outside of </w:t>
            </w:r>
            <w:proofErr w:type="spellStart"/>
            <w:r>
              <w:rPr>
                <w:rFonts w:ascii="Corbel" w:eastAsia="Corbel" w:hAnsi="Corbel"/>
                <w:color w:val="000000"/>
                <w:sz w:val="21"/>
              </w:rPr>
              <w:t>TasTAFE</w:t>
            </w:r>
            <w:proofErr w:type="spellEnd"/>
            <w:r>
              <w:rPr>
                <w:rFonts w:ascii="Corbel" w:eastAsia="Corbel" w:hAnsi="Corbel"/>
                <w:color w:val="000000"/>
                <w:sz w:val="21"/>
              </w:rPr>
              <w:t>, significant work in relation to adult learners is also being done through Libraries Tasmania, in particular the</w:t>
            </w:r>
            <w:hyperlink r:id="rId17">
              <w:r w:rsidR="008F51B0">
                <w:rPr>
                  <w:rFonts w:ascii="Corbel" w:eastAsia="Corbel" w:hAnsi="Corbel"/>
                  <w:color w:val="0000FF"/>
                  <w:sz w:val="21"/>
                  <w:u w:val="single"/>
                </w:rPr>
                <w:t xml:space="preserve"> Adult Literacy Service</w:t>
              </w:r>
            </w:hyperlink>
            <w:hyperlink r:id="rId18">
              <w:r w:rsidR="008F51B0">
                <w:rPr>
                  <w:rFonts w:ascii="Corbel" w:eastAsia="Corbel" w:hAnsi="Corbel"/>
                  <w:color w:val="0000FF"/>
                  <w:sz w:val="21"/>
                  <w:u w:val="single"/>
                </w:rPr>
                <w:t>,</w:t>
              </w:r>
            </w:hyperlink>
            <w:r>
              <w:rPr>
                <w:rFonts w:ascii="Corbel" w:eastAsia="Corbel" w:hAnsi="Corbel"/>
                <w:color w:val="000000"/>
                <w:sz w:val="21"/>
              </w:rPr>
              <w:t xml:space="preserve"> and</w:t>
            </w:r>
            <w:hyperlink r:id="rId19">
              <w:r w:rsidR="008F51B0">
                <w:rPr>
                  <w:rFonts w:ascii="Corbel" w:eastAsia="Corbel" w:hAnsi="Corbel"/>
                  <w:color w:val="0000FF"/>
                  <w:sz w:val="21"/>
                  <w:u w:val="single"/>
                </w:rPr>
                <w:t xml:space="preserve"> 26Ten</w:t>
              </w:r>
            </w:hyperlink>
            <w:hyperlink r:id="rId20">
              <w:r w:rsidR="008F51B0">
                <w:rPr>
                  <w:rFonts w:ascii="Corbel" w:eastAsia="Corbel" w:hAnsi="Corbel"/>
                  <w:i/>
                  <w:color w:val="0000FF"/>
                  <w:u w:val="single"/>
                </w:rPr>
                <w:t>,</w:t>
              </w:r>
            </w:hyperlink>
            <w:r>
              <w:rPr>
                <w:rFonts w:ascii="Corbel" w:eastAsia="Corbel" w:hAnsi="Corbel"/>
                <w:i/>
                <w:color w:val="000000"/>
              </w:rPr>
              <w:t xml:space="preserve"> Tasmania’s Strategy for Adult Literacy and Numeracy 2016-2025</w:t>
            </w:r>
            <w:r>
              <w:rPr>
                <w:rFonts w:ascii="Corbel" w:eastAsia="Corbel" w:hAnsi="Corbel"/>
                <w:color w:val="000000"/>
                <w:sz w:val="21"/>
              </w:rPr>
              <w:t xml:space="preserve">. Adult literacy tutors are supported by </w:t>
            </w:r>
            <w:proofErr w:type="spellStart"/>
            <w:r>
              <w:rPr>
                <w:rFonts w:ascii="Corbel" w:eastAsia="Corbel" w:hAnsi="Corbel"/>
                <w:color w:val="000000"/>
                <w:sz w:val="21"/>
              </w:rPr>
              <w:t>TasTAFE</w:t>
            </w:r>
            <w:proofErr w:type="spellEnd"/>
            <w:r>
              <w:rPr>
                <w:rFonts w:ascii="Corbel" w:eastAsia="Corbel" w:hAnsi="Corbel"/>
                <w:color w:val="000000"/>
                <w:sz w:val="21"/>
              </w:rPr>
              <w:t xml:space="preserve">, which is the only Registered Training </w:t>
            </w:r>
            <w:proofErr w:type="spellStart"/>
            <w:r>
              <w:rPr>
                <w:rFonts w:ascii="Corbel" w:eastAsia="Corbel" w:hAnsi="Corbel"/>
                <w:color w:val="000000"/>
                <w:sz w:val="21"/>
              </w:rPr>
              <w:t>Organisation</w:t>
            </w:r>
            <w:proofErr w:type="spellEnd"/>
            <w:r>
              <w:rPr>
                <w:rFonts w:ascii="Corbel" w:eastAsia="Corbel" w:hAnsi="Corbel"/>
                <w:color w:val="000000"/>
                <w:sz w:val="21"/>
              </w:rPr>
              <w:t xml:space="preserve"> (RTO) in Australia delivering the Adult Language Literacy &amp; Numeracy (LLN) Tutor Skill Set.</w:t>
            </w:r>
          </w:p>
          <w:p w14:paraId="71581D8C" w14:textId="77777777" w:rsidR="008F51B0" w:rsidRDefault="00767328">
            <w:pPr>
              <w:spacing w:before="55" w:line="269" w:lineRule="exact"/>
              <w:ind w:left="144" w:right="432"/>
              <w:textAlignment w:val="baseline"/>
              <w:rPr>
                <w:rFonts w:ascii="Corbel" w:eastAsia="Corbel" w:hAnsi="Corbel"/>
                <w:color w:val="000000"/>
                <w:sz w:val="21"/>
              </w:rPr>
            </w:pPr>
            <w:r>
              <w:rPr>
                <w:rFonts w:ascii="Corbel" w:eastAsia="Corbel" w:hAnsi="Corbel"/>
                <w:color w:val="000000"/>
                <w:sz w:val="21"/>
              </w:rPr>
              <w:t xml:space="preserve">Tasmania’s approach to literacy and numeracy delivers in-principle a ‘no wrong door’ approach through which commonly accessed service providers </w:t>
            </w:r>
            <w:proofErr w:type="gramStart"/>
            <w:r>
              <w:rPr>
                <w:rFonts w:ascii="Corbel" w:eastAsia="Corbel" w:hAnsi="Corbel"/>
                <w:color w:val="000000"/>
                <w:sz w:val="21"/>
              </w:rPr>
              <w:t>are able to</w:t>
            </w:r>
            <w:proofErr w:type="gramEnd"/>
            <w:r>
              <w:rPr>
                <w:rFonts w:ascii="Corbel" w:eastAsia="Corbel" w:hAnsi="Corbel"/>
                <w:color w:val="000000"/>
                <w:sz w:val="21"/>
              </w:rPr>
              <w:t xml:space="preserve"> support and refer potential foundation skills learners.</w:t>
            </w:r>
          </w:p>
          <w:p w14:paraId="71581D8D" w14:textId="77777777" w:rsidR="008F51B0" w:rsidRDefault="00767328">
            <w:pPr>
              <w:spacing w:before="64" w:line="269" w:lineRule="exact"/>
              <w:ind w:left="144" w:right="504"/>
              <w:textAlignment w:val="baseline"/>
              <w:rPr>
                <w:rFonts w:ascii="Corbel" w:eastAsia="Corbel" w:hAnsi="Corbel"/>
                <w:color w:val="000000"/>
                <w:sz w:val="21"/>
              </w:rPr>
            </w:pPr>
            <w:r>
              <w:rPr>
                <w:rFonts w:ascii="Corbel" w:eastAsia="Corbel" w:hAnsi="Corbel"/>
                <w:color w:val="000000"/>
                <w:sz w:val="21"/>
              </w:rPr>
              <w:t>Touch points where any adult may seek, or be identified as needing, support and assistance to improve their foundation skills, in particular literacy and numeracy, include:</w:t>
            </w:r>
          </w:p>
          <w:p w14:paraId="71581D8E" w14:textId="77777777" w:rsidR="008F51B0" w:rsidRDefault="00767328">
            <w:pPr>
              <w:numPr>
                <w:ilvl w:val="0"/>
                <w:numId w:val="4"/>
              </w:numPr>
              <w:tabs>
                <w:tab w:val="clear" w:pos="360"/>
                <w:tab w:val="left" w:pos="1296"/>
              </w:tabs>
              <w:spacing w:before="89" w:line="247" w:lineRule="exact"/>
              <w:ind w:left="936" w:right="36"/>
              <w:textAlignment w:val="baseline"/>
              <w:rPr>
                <w:rFonts w:ascii="Corbel" w:eastAsia="Corbel" w:hAnsi="Corbel"/>
                <w:color w:val="000000"/>
                <w:sz w:val="21"/>
              </w:rPr>
            </w:pPr>
            <w:r>
              <w:rPr>
                <w:rFonts w:ascii="Corbel" w:eastAsia="Corbel" w:hAnsi="Corbel"/>
                <w:color w:val="000000"/>
                <w:sz w:val="21"/>
              </w:rPr>
              <w:t>Community service providers</w:t>
            </w:r>
          </w:p>
          <w:p w14:paraId="71581D8F" w14:textId="77777777" w:rsidR="008F51B0" w:rsidRDefault="00767328">
            <w:pPr>
              <w:numPr>
                <w:ilvl w:val="0"/>
                <w:numId w:val="4"/>
              </w:numPr>
              <w:tabs>
                <w:tab w:val="clear" w:pos="360"/>
                <w:tab w:val="left" w:pos="1296"/>
              </w:tabs>
              <w:spacing w:before="36" w:line="247" w:lineRule="exact"/>
              <w:ind w:left="936" w:right="36"/>
              <w:textAlignment w:val="baseline"/>
              <w:rPr>
                <w:rFonts w:ascii="Corbel" w:eastAsia="Corbel" w:hAnsi="Corbel"/>
                <w:color w:val="000000"/>
                <w:spacing w:val="3"/>
                <w:sz w:val="21"/>
              </w:rPr>
            </w:pPr>
            <w:r>
              <w:rPr>
                <w:rFonts w:ascii="Corbel" w:eastAsia="Corbel" w:hAnsi="Corbel"/>
                <w:color w:val="000000"/>
                <w:spacing w:val="3"/>
                <w:sz w:val="21"/>
              </w:rPr>
              <w:t xml:space="preserve">Educational facilities such as schools and child and family learning </w:t>
            </w:r>
            <w:proofErr w:type="spellStart"/>
            <w:r>
              <w:rPr>
                <w:rFonts w:ascii="Corbel" w:eastAsia="Corbel" w:hAnsi="Corbel"/>
                <w:color w:val="000000"/>
                <w:spacing w:val="3"/>
                <w:sz w:val="21"/>
              </w:rPr>
              <w:t>centres</w:t>
            </w:r>
            <w:proofErr w:type="spellEnd"/>
            <w:r>
              <w:rPr>
                <w:rFonts w:ascii="Corbel" w:eastAsia="Corbel" w:hAnsi="Corbel"/>
                <w:color w:val="000000"/>
                <w:spacing w:val="3"/>
                <w:sz w:val="21"/>
              </w:rPr>
              <w:t>.</w:t>
            </w:r>
          </w:p>
          <w:p w14:paraId="71581D90" w14:textId="77777777" w:rsidR="008F51B0" w:rsidRDefault="00767328">
            <w:pPr>
              <w:numPr>
                <w:ilvl w:val="0"/>
                <w:numId w:val="4"/>
              </w:numPr>
              <w:tabs>
                <w:tab w:val="clear" w:pos="360"/>
                <w:tab w:val="left" w:pos="1296"/>
              </w:tabs>
              <w:spacing w:before="32" w:line="247" w:lineRule="exact"/>
              <w:ind w:left="936" w:right="36"/>
              <w:textAlignment w:val="baseline"/>
              <w:rPr>
                <w:rFonts w:ascii="Corbel" w:eastAsia="Corbel" w:hAnsi="Corbel"/>
                <w:color w:val="000000"/>
                <w:sz w:val="21"/>
              </w:rPr>
            </w:pPr>
            <w:r>
              <w:rPr>
                <w:rFonts w:ascii="Corbel" w:eastAsia="Corbel" w:hAnsi="Corbel"/>
                <w:color w:val="000000"/>
                <w:sz w:val="21"/>
              </w:rPr>
              <w:t>Employment service providers</w:t>
            </w:r>
          </w:p>
          <w:p w14:paraId="71581D91" w14:textId="77777777" w:rsidR="008F51B0" w:rsidRDefault="00767328">
            <w:pPr>
              <w:numPr>
                <w:ilvl w:val="0"/>
                <w:numId w:val="4"/>
              </w:numPr>
              <w:tabs>
                <w:tab w:val="clear" w:pos="360"/>
                <w:tab w:val="left" w:pos="1296"/>
              </w:tabs>
              <w:spacing w:before="36" w:line="247" w:lineRule="exact"/>
              <w:ind w:left="936" w:right="36"/>
              <w:textAlignment w:val="baseline"/>
              <w:rPr>
                <w:rFonts w:ascii="Corbel" w:eastAsia="Corbel" w:hAnsi="Corbel"/>
                <w:color w:val="000000"/>
                <w:sz w:val="21"/>
              </w:rPr>
            </w:pPr>
            <w:r>
              <w:rPr>
                <w:rFonts w:ascii="Corbel" w:eastAsia="Corbel" w:hAnsi="Corbel"/>
                <w:color w:val="000000"/>
                <w:sz w:val="21"/>
              </w:rPr>
              <w:t>Government service providers</w:t>
            </w:r>
          </w:p>
          <w:p w14:paraId="71581D92" w14:textId="77777777" w:rsidR="008F51B0" w:rsidRDefault="00767328">
            <w:pPr>
              <w:numPr>
                <w:ilvl w:val="0"/>
                <w:numId w:val="4"/>
              </w:numPr>
              <w:tabs>
                <w:tab w:val="clear" w:pos="360"/>
                <w:tab w:val="left" w:pos="1296"/>
              </w:tabs>
              <w:spacing w:before="31" w:line="245" w:lineRule="exact"/>
              <w:ind w:left="936" w:right="36"/>
              <w:textAlignment w:val="baseline"/>
              <w:rPr>
                <w:rFonts w:ascii="Corbel" w:eastAsia="Corbel" w:hAnsi="Corbel"/>
                <w:color w:val="000000"/>
                <w:spacing w:val="-1"/>
                <w:sz w:val="21"/>
              </w:rPr>
            </w:pPr>
            <w:r>
              <w:rPr>
                <w:rFonts w:ascii="Corbel" w:eastAsia="Corbel" w:hAnsi="Corbel"/>
                <w:color w:val="000000"/>
                <w:spacing w:val="-1"/>
                <w:sz w:val="21"/>
              </w:rPr>
              <w:t>Libraries</w:t>
            </w:r>
          </w:p>
          <w:p w14:paraId="71581D93" w14:textId="77777777" w:rsidR="008F51B0" w:rsidRDefault="00767328">
            <w:pPr>
              <w:numPr>
                <w:ilvl w:val="0"/>
                <w:numId w:val="4"/>
              </w:numPr>
              <w:tabs>
                <w:tab w:val="clear" w:pos="360"/>
                <w:tab w:val="left" w:pos="1296"/>
              </w:tabs>
              <w:spacing w:before="34" w:line="247" w:lineRule="exact"/>
              <w:ind w:left="936" w:right="36"/>
              <w:textAlignment w:val="baseline"/>
              <w:rPr>
                <w:rFonts w:ascii="Corbel" w:eastAsia="Corbel" w:hAnsi="Corbel"/>
                <w:color w:val="000000"/>
                <w:spacing w:val="3"/>
                <w:sz w:val="21"/>
              </w:rPr>
            </w:pPr>
            <w:r>
              <w:rPr>
                <w:rFonts w:ascii="Corbel" w:eastAsia="Corbel" w:hAnsi="Corbel"/>
                <w:color w:val="000000"/>
                <w:spacing w:val="3"/>
                <w:sz w:val="21"/>
              </w:rPr>
              <w:t>Medical services and health practitioners</w:t>
            </w:r>
          </w:p>
          <w:p w14:paraId="71581D94" w14:textId="77777777" w:rsidR="008F51B0" w:rsidRDefault="00767328">
            <w:pPr>
              <w:numPr>
                <w:ilvl w:val="0"/>
                <w:numId w:val="4"/>
              </w:numPr>
              <w:tabs>
                <w:tab w:val="clear" w:pos="360"/>
                <w:tab w:val="left" w:pos="1296"/>
              </w:tabs>
              <w:spacing w:before="36" w:line="247" w:lineRule="exact"/>
              <w:ind w:left="936" w:right="36"/>
              <w:textAlignment w:val="baseline"/>
              <w:rPr>
                <w:rFonts w:ascii="Corbel" w:eastAsia="Corbel" w:hAnsi="Corbel"/>
                <w:color w:val="000000"/>
                <w:sz w:val="21"/>
              </w:rPr>
            </w:pPr>
            <w:r>
              <w:rPr>
                <w:rFonts w:ascii="Corbel" w:eastAsia="Corbel" w:hAnsi="Corbel"/>
                <w:color w:val="000000"/>
                <w:sz w:val="21"/>
              </w:rPr>
              <w:t>Regional jobs hubs</w:t>
            </w:r>
          </w:p>
          <w:p w14:paraId="71581D95" w14:textId="77777777" w:rsidR="008F51B0" w:rsidRDefault="00767328">
            <w:pPr>
              <w:numPr>
                <w:ilvl w:val="0"/>
                <w:numId w:val="4"/>
              </w:numPr>
              <w:tabs>
                <w:tab w:val="clear" w:pos="360"/>
                <w:tab w:val="left" w:pos="1296"/>
              </w:tabs>
              <w:spacing w:before="31" w:line="247" w:lineRule="exact"/>
              <w:ind w:left="936" w:right="36"/>
              <w:textAlignment w:val="baseline"/>
              <w:rPr>
                <w:rFonts w:ascii="Corbel" w:eastAsia="Corbel" w:hAnsi="Corbel"/>
                <w:color w:val="000000"/>
                <w:sz w:val="21"/>
              </w:rPr>
            </w:pPr>
            <w:r>
              <w:rPr>
                <w:rFonts w:ascii="Corbel" w:eastAsia="Corbel" w:hAnsi="Corbel"/>
                <w:color w:val="000000"/>
                <w:sz w:val="21"/>
              </w:rPr>
              <w:t>Registered Training Organisations (RTOs)</w:t>
            </w:r>
          </w:p>
          <w:p w14:paraId="71581D96" w14:textId="77777777" w:rsidR="008F51B0" w:rsidRDefault="00767328">
            <w:pPr>
              <w:numPr>
                <w:ilvl w:val="0"/>
                <w:numId w:val="4"/>
              </w:numPr>
              <w:tabs>
                <w:tab w:val="clear" w:pos="360"/>
                <w:tab w:val="left" w:pos="1296"/>
              </w:tabs>
              <w:spacing w:before="36" w:line="247" w:lineRule="exact"/>
              <w:ind w:left="936" w:right="36"/>
              <w:textAlignment w:val="baseline"/>
              <w:rPr>
                <w:rFonts w:ascii="Corbel" w:eastAsia="Corbel" w:hAnsi="Corbel"/>
                <w:color w:val="000000"/>
                <w:spacing w:val="3"/>
                <w:sz w:val="21"/>
              </w:rPr>
            </w:pPr>
            <w:r>
              <w:rPr>
                <w:rFonts w:ascii="Corbel" w:eastAsia="Corbel" w:hAnsi="Corbel"/>
                <w:color w:val="000000"/>
                <w:spacing w:val="3"/>
                <w:sz w:val="21"/>
              </w:rPr>
              <w:t>Skills for Education and Employment (including SEE providers)</w:t>
            </w:r>
          </w:p>
          <w:p w14:paraId="71581D97" w14:textId="77777777" w:rsidR="008F51B0" w:rsidRDefault="00767328">
            <w:pPr>
              <w:numPr>
                <w:ilvl w:val="0"/>
                <w:numId w:val="4"/>
              </w:numPr>
              <w:tabs>
                <w:tab w:val="clear" w:pos="360"/>
                <w:tab w:val="left" w:pos="1296"/>
              </w:tabs>
              <w:spacing w:before="32" w:line="245" w:lineRule="exact"/>
              <w:ind w:left="936" w:right="36"/>
              <w:textAlignment w:val="baseline"/>
              <w:rPr>
                <w:rFonts w:ascii="Corbel" w:eastAsia="Corbel" w:hAnsi="Corbel"/>
                <w:color w:val="000000"/>
                <w:spacing w:val="-6"/>
                <w:sz w:val="21"/>
              </w:rPr>
            </w:pPr>
            <w:proofErr w:type="spellStart"/>
            <w:r>
              <w:rPr>
                <w:rFonts w:ascii="Corbel" w:eastAsia="Corbel" w:hAnsi="Corbel"/>
                <w:color w:val="000000"/>
                <w:spacing w:val="-6"/>
                <w:sz w:val="21"/>
              </w:rPr>
              <w:t>TasTAFE</w:t>
            </w:r>
            <w:proofErr w:type="spellEnd"/>
          </w:p>
          <w:p w14:paraId="71581D98" w14:textId="77777777" w:rsidR="008F51B0" w:rsidRDefault="00767328">
            <w:pPr>
              <w:spacing w:before="59" w:after="38" w:line="269" w:lineRule="exact"/>
              <w:ind w:left="144" w:right="576"/>
              <w:textAlignment w:val="baseline"/>
              <w:rPr>
                <w:rFonts w:ascii="Corbel" w:eastAsia="Corbel" w:hAnsi="Corbel"/>
                <w:color w:val="000000"/>
                <w:sz w:val="21"/>
              </w:rPr>
            </w:pPr>
            <w:r>
              <w:rPr>
                <w:rFonts w:ascii="Corbel" w:eastAsia="Corbel" w:hAnsi="Corbel"/>
                <w:color w:val="000000"/>
                <w:sz w:val="21"/>
              </w:rPr>
              <w:t>However, this can be difficult to document as it relies on word of mouth, and as it is delivered through known networks and connections, there are likely to be gaps.</w:t>
            </w:r>
          </w:p>
        </w:tc>
      </w:tr>
    </w:tbl>
    <w:p w14:paraId="71581D9A" w14:textId="77777777" w:rsidR="008F51B0" w:rsidRDefault="006565DD">
      <w:pPr>
        <w:spacing w:before="61" w:line="221" w:lineRule="exact"/>
        <w:ind w:left="72" w:right="36"/>
        <w:jc w:val="right"/>
        <w:textAlignment w:val="baseline"/>
        <w:rPr>
          <w:rFonts w:ascii="Calibri" w:eastAsia="Calibri" w:hAnsi="Calibri"/>
          <w:color w:val="000000"/>
          <w:spacing w:val="17"/>
        </w:rPr>
      </w:pPr>
      <w:r>
        <w:pict w14:anchorId="71581E50">
          <v:line id="_x0000_s1049" style="position:absolute;left:0;text-align:left;z-index:251645952;mso-position-horizontal-relative:page;mso-position-vertical-relative:page" from="68.4pt,778.3pt" to="525.45pt,778.3pt" strokecolor="#d9d9d9" strokeweight=".7pt">
            <w10:wrap anchorx="page" anchory="page"/>
          </v:line>
        </w:pict>
      </w:r>
      <w:r w:rsidR="00767328">
        <w:rPr>
          <w:rFonts w:ascii="Calibri" w:eastAsia="Calibri" w:hAnsi="Calibri"/>
          <w:color w:val="000000"/>
          <w:spacing w:val="17"/>
        </w:rPr>
        <w:t>2 |</w:t>
      </w:r>
      <w:r w:rsidR="00767328">
        <w:rPr>
          <w:rFonts w:ascii="Calibri" w:eastAsia="Calibri" w:hAnsi="Calibri"/>
          <w:color w:val="7E7E7E"/>
          <w:spacing w:val="17"/>
        </w:rPr>
        <w:t xml:space="preserve"> Page</w:t>
      </w:r>
    </w:p>
    <w:p w14:paraId="71581D9B" w14:textId="77777777" w:rsidR="008F51B0" w:rsidRDefault="00767328">
      <w:pPr>
        <w:spacing w:before="42" w:line="236" w:lineRule="exact"/>
        <w:ind w:left="144" w:right="36"/>
        <w:textAlignment w:val="baseline"/>
        <w:rPr>
          <w:rFonts w:ascii="Corbel" w:eastAsia="Corbel" w:hAnsi="Corbel"/>
          <w:color w:val="000000"/>
          <w:spacing w:val="2"/>
          <w:sz w:val="21"/>
        </w:rPr>
      </w:pPr>
      <w:r>
        <w:rPr>
          <w:rFonts w:ascii="Corbel" w:eastAsia="Corbel" w:hAnsi="Corbel"/>
          <w:color w:val="000000"/>
          <w:spacing w:val="2"/>
          <w:sz w:val="21"/>
        </w:rPr>
        <w:t>Bilateral Implementation Plan Template NSA Policy Initiatives</w:t>
      </w:r>
    </w:p>
    <w:p w14:paraId="71581D9C" w14:textId="77777777" w:rsidR="008F51B0" w:rsidRDefault="008F51B0">
      <w:pPr>
        <w:sectPr w:rsidR="008F51B0">
          <w:pgSz w:w="11909" w:h="16838"/>
          <w:pgMar w:top="1060" w:right="1401" w:bottom="302" w:left="1368"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140"/>
      </w:tblGrid>
      <w:tr w:rsidR="008F51B0" w14:paraId="71581DA2" w14:textId="77777777">
        <w:trPr>
          <w:trHeight w:hRule="exact" w:val="7685"/>
        </w:trPr>
        <w:tc>
          <w:tcPr>
            <w:tcW w:w="9140" w:type="dxa"/>
            <w:tcBorders>
              <w:top w:val="single" w:sz="5" w:space="0" w:color="000000"/>
              <w:left w:val="single" w:sz="5" w:space="0" w:color="000000"/>
              <w:bottom w:val="single" w:sz="5" w:space="0" w:color="000000"/>
              <w:right w:val="single" w:sz="5" w:space="0" w:color="000000"/>
            </w:tcBorders>
          </w:tcPr>
          <w:p w14:paraId="71581D9D" w14:textId="77777777" w:rsidR="008F51B0" w:rsidRDefault="00767328">
            <w:pPr>
              <w:spacing w:before="96" w:line="236" w:lineRule="exact"/>
              <w:ind w:left="144"/>
              <w:textAlignment w:val="baseline"/>
              <w:rPr>
                <w:rFonts w:ascii="Corbel" w:eastAsia="Corbel" w:hAnsi="Corbel"/>
                <w:b/>
                <w:color w:val="000000"/>
                <w:sz w:val="21"/>
              </w:rPr>
            </w:pPr>
            <w:r>
              <w:rPr>
                <w:rFonts w:ascii="Corbel" w:eastAsia="Corbel" w:hAnsi="Corbel"/>
                <w:b/>
                <w:color w:val="000000"/>
                <w:sz w:val="21"/>
              </w:rPr>
              <w:lastRenderedPageBreak/>
              <w:t>Activity</w:t>
            </w:r>
          </w:p>
          <w:p w14:paraId="71581D9E" w14:textId="77777777" w:rsidR="008F51B0" w:rsidRDefault="00767328">
            <w:pPr>
              <w:spacing w:before="113" w:line="269" w:lineRule="exact"/>
              <w:ind w:left="144" w:right="576"/>
              <w:textAlignment w:val="baseline"/>
              <w:rPr>
                <w:rFonts w:ascii="Corbel" w:eastAsia="Corbel" w:hAnsi="Corbel"/>
                <w:color w:val="000000"/>
                <w:sz w:val="21"/>
              </w:rPr>
            </w:pPr>
            <w:r>
              <w:rPr>
                <w:rFonts w:ascii="Corbel" w:eastAsia="Corbel" w:hAnsi="Corbel"/>
                <w:color w:val="000000"/>
                <w:sz w:val="21"/>
              </w:rPr>
              <w:t xml:space="preserve">To start to address this, following work to map existing campaigns and touch points, a </w:t>
            </w:r>
            <w:r>
              <w:rPr>
                <w:rFonts w:ascii="Corbel" w:eastAsia="Corbel" w:hAnsi="Corbel"/>
                <w:i/>
                <w:color w:val="000000"/>
              </w:rPr>
              <w:t xml:space="preserve">Lifting Literacy </w:t>
            </w:r>
            <w:r>
              <w:rPr>
                <w:rFonts w:ascii="Corbel" w:eastAsia="Corbel" w:hAnsi="Corbel"/>
                <w:color w:val="000000"/>
                <w:sz w:val="21"/>
              </w:rPr>
              <w:t xml:space="preserve">campaign will be developed and delivered in 2025 and 2026. This will focus on using existing brand recognition and building on services that are already proven, rather than developing new programs, ensuring that resources are delivered to where they can have the greatest benefit and are not spread too thinly. It will include further awareness raising of Tasmania’s network of libraries as pivotal community </w:t>
            </w:r>
            <w:proofErr w:type="spellStart"/>
            <w:r>
              <w:rPr>
                <w:rFonts w:ascii="Corbel" w:eastAsia="Corbel" w:hAnsi="Corbel"/>
                <w:color w:val="000000"/>
                <w:sz w:val="21"/>
              </w:rPr>
              <w:t>centres</w:t>
            </w:r>
            <w:proofErr w:type="spellEnd"/>
            <w:r>
              <w:rPr>
                <w:rFonts w:ascii="Corbel" w:eastAsia="Corbel" w:hAnsi="Corbel"/>
                <w:color w:val="000000"/>
                <w:sz w:val="21"/>
              </w:rPr>
              <w:t xml:space="preserve"> for supporting literacy development for Tasmanians of all ages, including adult learners.</w:t>
            </w:r>
          </w:p>
          <w:p w14:paraId="71581D9F" w14:textId="77777777" w:rsidR="008F51B0" w:rsidRDefault="00767328">
            <w:pPr>
              <w:spacing w:before="119" w:line="269" w:lineRule="exact"/>
              <w:ind w:left="144" w:right="360"/>
              <w:textAlignment w:val="baseline"/>
              <w:rPr>
                <w:rFonts w:ascii="Corbel" w:eastAsia="Corbel" w:hAnsi="Corbel"/>
                <w:color w:val="000000"/>
                <w:sz w:val="21"/>
              </w:rPr>
            </w:pPr>
            <w:r>
              <w:rPr>
                <w:rFonts w:ascii="Corbel" w:eastAsia="Corbel" w:hAnsi="Corbel"/>
                <w:color w:val="000000"/>
                <w:sz w:val="21"/>
              </w:rPr>
              <w:t xml:space="preserve">Key elements of the </w:t>
            </w:r>
            <w:r>
              <w:rPr>
                <w:rFonts w:ascii="Corbel" w:eastAsia="Corbel" w:hAnsi="Corbel"/>
                <w:i/>
                <w:color w:val="000000"/>
              </w:rPr>
              <w:t xml:space="preserve">Lifting Literacy </w:t>
            </w:r>
            <w:r>
              <w:rPr>
                <w:rFonts w:ascii="Corbel" w:eastAsia="Corbel" w:hAnsi="Corbel"/>
                <w:color w:val="000000"/>
                <w:sz w:val="21"/>
              </w:rPr>
              <w:t>plan focus on strengthening the adult literacy service provided by Libraries Tasmania. Work will be undertaken to extend the reach of this service to additional cohorts, including delivering online tutoring to learners in remote areas. There will be continued engagement with Tasmanian Aboriginal communities to enable culturally responsive literacy programming within libraries.</w:t>
            </w:r>
          </w:p>
          <w:p w14:paraId="71581DA0" w14:textId="77777777" w:rsidR="008F51B0" w:rsidRDefault="00767328">
            <w:pPr>
              <w:spacing w:before="119" w:line="269" w:lineRule="exact"/>
              <w:ind w:left="144" w:right="144"/>
              <w:textAlignment w:val="baseline"/>
              <w:rPr>
                <w:rFonts w:ascii="Corbel" w:eastAsia="Corbel" w:hAnsi="Corbel"/>
                <w:color w:val="000000"/>
                <w:spacing w:val="4"/>
                <w:sz w:val="21"/>
              </w:rPr>
            </w:pPr>
            <w:r>
              <w:rPr>
                <w:rFonts w:ascii="Corbel" w:eastAsia="Corbel" w:hAnsi="Corbel"/>
                <w:color w:val="000000"/>
                <w:spacing w:val="4"/>
                <w:sz w:val="21"/>
              </w:rPr>
              <w:t xml:space="preserve">The 26Ten Strategy’s collective impact approach is intended to be the main vehicle through which Tasmanian communities, individuals, service providers and businesses can continue to work together to ensure that more people are aware of adult literacy and know how and where to refer others to, promoting the ‘no wrong door’ experience for learners. Work is currently underway to renew the strategy </w:t>
            </w:r>
            <w:proofErr w:type="gramStart"/>
            <w:r>
              <w:rPr>
                <w:rFonts w:ascii="Corbel" w:eastAsia="Corbel" w:hAnsi="Corbel"/>
                <w:color w:val="000000"/>
                <w:spacing w:val="4"/>
                <w:sz w:val="21"/>
              </w:rPr>
              <w:t>in order to</w:t>
            </w:r>
            <w:proofErr w:type="gramEnd"/>
            <w:r>
              <w:rPr>
                <w:rFonts w:ascii="Corbel" w:eastAsia="Corbel" w:hAnsi="Corbel"/>
                <w:color w:val="000000"/>
                <w:spacing w:val="4"/>
                <w:sz w:val="21"/>
              </w:rPr>
              <w:t xml:space="preserve"> further embed the collective impact approach that has been so successful in the past ten years. This review will consider how existing work may be best built upon in developing a new adult literacy strategy, including exploring opportunities to provide additional potential touch points.</w:t>
            </w:r>
          </w:p>
          <w:p w14:paraId="71581DA1" w14:textId="77777777" w:rsidR="008F51B0" w:rsidRDefault="00767328">
            <w:pPr>
              <w:spacing w:before="119" w:after="124" w:line="269" w:lineRule="exact"/>
              <w:ind w:left="144" w:right="360"/>
              <w:textAlignment w:val="baseline"/>
              <w:rPr>
                <w:rFonts w:ascii="Corbel" w:eastAsia="Corbel" w:hAnsi="Corbel"/>
                <w:color w:val="000000"/>
                <w:spacing w:val="3"/>
                <w:sz w:val="21"/>
              </w:rPr>
            </w:pPr>
            <w:r>
              <w:rPr>
                <w:rFonts w:ascii="Corbel" w:eastAsia="Corbel" w:hAnsi="Corbel"/>
                <w:color w:val="000000"/>
                <w:spacing w:val="3"/>
                <w:sz w:val="21"/>
              </w:rPr>
              <w:t>Tasmania will support work under the National Foundation Skills Strategy to develop nationally agreed high-level principles to guide foundation skills assessment and consider how these principles could most effectively be promoted across Tasmanian training providers throughout the life of the strategy. We will monitor work occurring across other jurisdictions to ensure new ways to enhance ‘no wrong door’ experiences are captured within our system.</w:t>
            </w:r>
          </w:p>
        </w:tc>
      </w:tr>
    </w:tbl>
    <w:p w14:paraId="71581DA3" w14:textId="77777777" w:rsidR="008F51B0" w:rsidRDefault="008F51B0">
      <w:pPr>
        <w:spacing w:after="226" w:line="20" w:lineRule="exact"/>
      </w:pPr>
    </w:p>
    <w:p w14:paraId="71581DA4" w14:textId="77777777" w:rsidR="008F51B0" w:rsidRDefault="00767328">
      <w:pPr>
        <w:tabs>
          <w:tab w:val="left" w:pos="360"/>
        </w:tabs>
        <w:spacing w:after="264" w:line="278" w:lineRule="exact"/>
        <w:ind w:left="360" w:right="360" w:hanging="360"/>
        <w:textAlignment w:val="baseline"/>
        <w:rPr>
          <w:rFonts w:ascii="Corbel" w:eastAsia="Corbel" w:hAnsi="Corbel"/>
          <w:b/>
          <w:color w:val="000000"/>
          <w:sz w:val="21"/>
        </w:rPr>
      </w:pPr>
      <w:r>
        <w:rPr>
          <w:rFonts w:ascii="Corbel" w:eastAsia="Corbel" w:hAnsi="Corbel"/>
          <w:b/>
          <w:color w:val="000000"/>
          <w:sz w:val="21"/>
        </w:rPr>
        <w:t>2)</w:t>
      </w:r>
      <w:r>
        <w:rPr>
          <w:rFonts w:ascii="Corbel" w:eastAsia="Corbel" w:hAnsi="Corbel"/>
          <w:b/>
          <w:color w:val="000000"/>
          <w:sz w:val="21"/>
        </w:rPr>
        <w:tab/>
        <w:t>Provide no-or low-fee access to foundation skills training in the State’s VET and Adult and Community Education (ACE) (or equivalent) systems, for learners who have been assessed as at or below Australian Core Skills Framework and/or Digital Literacy Skills Framework Level 3 (clause A108 refers).</w:t>
      </w:r>
    </w:p>
    <w:tbl>
      <w:tblPr>
        <w:tblW w:w="0" w:type="auto"/>
        <w:tblInd w:w="72" w:type="dxa"/>
        <w:tblLayout w:type="fixed"/>
        <w:tblCellMar>
          <w:left w:w="0" w:type="dxa"/>
          <w:right w:w="0" w:type="dxa"/>
        </w:tblCellMar>
        <w:tblLook w:val="04A0" w:firstRow="1" w:lastRow="0" w:firstColumn="1" w:lastColumn="0" w:noHBand="0" w:noVBand="1"/>
      </w:tblPr>
      <w:tblGrid>
        <w:gridCol w:w="9029"/>
      </w:tblGrid>
      <w:tr w:rsidR="008F51B0" w14:paraId="71581DAB" w14:textId="77777777">
        <w:trPr>
          <w:trHeight w:hRule="exact" w:val="5040"/>
        </w:trPr>
        <w:tc>
          <w:tcPr>
            <w:tcW w:w="9029" w:type="dxa"/>
            <w:tcBorders>
              <w:top w:val="single" w:sz="5" w:space="0" w:color="000000"/>
              <w:left w:val="single" w:sz="5" w:space="0" w:color="000000"/>
              <w:bottom w:val="single" w:sz="5" w:space="0" w:color="000000"/>
              <w:right w:val="single" w:sz="5" w:space="0" w:color="000000"/>
            </w:tcBorders>
          </w:tcPr>
          <w:p w14:paraId="71581DA5" w14:textId="77777777" w:rsidR="008F51B0" w:rsidRDefault="00767328">
            <w:pPr>
              <w:spacing w:before="139" w:line="231" w:lineRule="exact"/>
              <w:ind w:left="72"/>
              <w:textAlignment w:val="baseline"/>
              <w:rPr>
                <w:rFonts w:ascii="Corbel" w:eastAsia="Corbel" w:hAnsi="Corbel"/>
                <w:b/>
                <w:color w:val="000000"/>
                <w:sz w:val="21"/>
              </w:rPr>
            </w:pPr>
            <w:r>
              <w:rPr>
                <w:rFonts w:ascii="Corbel" w:eastAsia="Corbel" w:hAnsi="Corbel"/>
                <w:b/>
                <w:color w:val="000000"/>
                <w:sz w:val="21"/>
              </w:rPr>
              <w:t>Context</w:t>
            </w:r>
          </w:p>
          <w:p w14:paraId="71581DA6" w14:textId="77777777" w:rsidR="008F51B0" w:rsidRDefault="00767328">
            <w:pPr>
              <w:spacing w:before="123" w:line="269" w:lineRule="exact"/>
              <w:ind w:left="72" w:right="216"/>
              <w:textAlignment w:val="baseline"/>
              <w:rPr>
                <w:rFonts w:ascii="Corbel" w:eastAsia="Corbel" w:hAnsi="Corbel"/>
                <w:color w:val="000000"/>
                <w:spacing w:val="1"/>
                <w:sz w:val="21"/>
              </w:rPr>
            </w:pPr>
            <w:r>
              <w:rPr>
                <w:rFonts w:ascii="Corbel" w:eastAsia="Corbel" w:hAnsi="Corbel"/>
                <w:color w:val="000000"/>
                <w:spacing w:val="1"/>
                <w:sz w:val="21"/>
              </w:rPr>
              <w:t xml:space="preserve">The National Foundation Skills Strategy (the strategy) </w:t>
            </w:r>
            <w:proofErr w:type="spellStart"/>
            <w:r>
              <w:rPr>
                <w:rFonts w:ascii="Corbel" w:eastAsia="Corbel" w:hAnsi="Corbel"/>
                <w:color w:val="000000"/>
                <w:spacing w:val="1"/>
                <w:sz w:val="21"/>
              </w:rPr>
              <w:t>recognises</w:t>
            </w:r>
            <w:proofErr w:type="spellEnd"/>
            <w:r>
              <w:rPr>
                <w:rFonts w:ascii="Corbel" w:eastAsia="Corbel" w:hAnsi="Corbel"/>
                <w:color w:val="000000"/>
                <w:spacing w:val="1"/>
                <w:sz w:val="21"/>
              </w:rPr>
              <w:t xml:space="preserve"> that the delivery of foundation skills training is diverse, which reflects the varying needs of individuals. Accredited and non-accredited courses delivered through a range of providers offer a range of options to suit these needs.</w:t>
            </w:r>
          </w:p>
          <w:p w14:paraId="71581DA7" w14:textId="77777777" w:rsidR="008F51B0" w:rsidRDefault="00767328">
            <w:pPr>
              <w:spacing w:before="154" w:line="236" w:lineRule="exact"/>
              <w:ind w:left="72"/>
              <w:textAlignment w:val="baseline"/>
              <w:rPr>
                <w:rFonts w:ascii="Corbel" w:eastAsia="Corbel" w:hAnsi="Corbel"/>
                <w:b/>
                <w:color w:val="000000"/>
                <w:sz w:val="21"/>
              </w:rPr>
            </w:pPr>
            <w:r>
              <w:rPr>
                <w:rFonts w:ascii="Corbel" w:eastAsia="Corbel" w:hAnsi="Corbel"/>
                <w:b/>
                <w:color w:val="000000"/>
                <w:sz w:val="21"/>
              </w:rPr>
              <w:t>Foundation skills within the VET system</w:t>
            </w:r>
          </w:p>
          <w:p w14:paraId="71581DA8" w14:textId="77777777" w:rsidR="008F51B0" w:rsidRDefault="00767328">
            <w:pPr>
              <w:spacing w:before="119" w:line="269" w:lineRule="exact"/>
              <w:ind w:left="72" w:right="144"/>
              <w:textAlignment w:val="baseline"/>
              <w:rPr>
                <w:rFonts w:ascii="Corbel" w:eastAsia="Corbel" w:hAnsi="Corbel"/>
                <w:color w:val="000000"/>
                <w:sz w:val="21"/>
              </w:rPr>
            </w:pPr>
            <w:r>
              <w:rPr>
                <w:rFonts w:ascii="Corbel" w:eastAsia="Corbel" w:hAnsi="Corbel"/>
                <w:color w:val="000000"/>
                <w:sz w:val="21"/>
              </w:rPr>
              <w:t xml:space="preserve">As noted in the strategy, depending on the needs of learners, accredited foundation skills training could be purely </w:t>
            </w:r>
            <w:proofErr w:type="spellStart"/>
            <w:r>
              <w:rPr>
                <w:rFonts w:ascii="Corbel" w:eastAsia="Corbel" w:hAnsi="Corbel"/>
                <w:color w:val="000000"/>
                <w:sz w:val="21"/>
              </w:rPr>
              <w:t>focussed</w:t>
            </w:r>
            <w:proofErr w:type="spellEnd"/>
            <w:r>
              <w:rPr>
                <w:rFonts w:ascii="Corbel" w:eastAsia="Corbel" w:hAnsi="Corbel"/>
                <w:color w:val="000000"/>
                <w:sz w:val="21"/>
              </w:rPr>
              <w:t xml:space="preserve"> on building foundation skills, or foundation skills could be provided as a component of a broader course.</w:t>
            </w:r>
          </w:p>
          <w:p w14:paraId="71581DA9" w14:textId="77777777" w:rsidR="008F51B0" w:rsidRDefault="00767328">
            <w:pPr>
              <w:spacing w:before="119" w:line="269" w:lineRule="exact"/>
              <w:ind w:left="72" w:right="216"/>
              <w:textAlignment w:val="baseline"/>
              <w:rPr>
                <w:rFonts w:ascii="Corbel" w:eastAsia="Corbel" w:hAnsi="Corbel"/>
                <w:color w:val="000000"/>
                <w:sz w:val="21"/>
              </w:rPr>
            </w:pPr>
            <w:r>
              <w:rPr>
                <w:rFonts w:ascii="Corbel" w:eastAsia="Corbel" w:hAnsi="Corbel"/>
                <w:color w:val="000000"/>
                <w:sz w:val="21"/>
              </w:rPr>
              <w:t xml:space="preserve">Tasmania allocates a portion of its funding to </w:t>
            </w:r>
            <w:proofErr w:type="spellStart"/>
            <w:r>
              <w:rPr>
                <w:rFonts w:ascii="Corbel" w:eastAsia="Corbel" w:hAnsi="Corbel"/>
                <w:color w:val="000000"/>
                <w:sz w:val="21"/>
              </w:rPr>
              <w:t>TasTAFE</w:t>
            </w:r>
            <w:proofErr w:type="spellEnd"/>
            <w:r>
              <w:rPr>
                <w:rFonts w:ascii="Corbel" w:eastAsia="Corbel" w:hAnsi="Corbel"/>
                <w:color w:val="000000"/>
                <w:sz w:val="21"/>
              </w:rPr>
              <w:t xml:space="preserve"> for it to “provide foundation skills training that may lead to obtaining a qualification enabling participation in the workforce or in further education and training”.</w:t>
            </w:r>
          </w:p>
          <w:p w14:paraId="71581DAA" w14:textId="77777777" w:rsidR="008F51B0" w:rsidRDefault="00767328">
            <w:pPr>
              <w:spacing w:before="115" w:line="268" w:lineRule="exact"/>
              <w:ind w:left="72" w:right="288"/>
              <w:textAlignment w:val="baseline"/>
              <w:rPr>
                <w:rFonts w:ascii="Corbel" w:eastAsia="Corbel" w:hAnsi="Corbel"/>
                <w:color w:val="000000"/>
                <w:sz w:val="21"/>
              </w:rPr>
            </w:pPr>
            <w:r>
              <w:rPr>
                <w:rFonts w:ascii="Corbel" w:eastAsia="Corbel" w:hAnsi="Corbel"/>
                <w:color w:val="000000"/>
                <w:sz w:val="21"/>
              </w:rPr>
              <w:t xml:space="preserve">In Tasmania, foundation skills training is primarily delivered through </w:t>
            </w:r>
            <w:proofErr w:type="spellStart"/>
            <w:r>
              <w:rPr>
                <w:rFonts w:ascii="Corbel" w:eastAsia="Corbel" w:hAnsi="Corbel"/>
                <w:color w:val="000000"/>
                <w:sz w:val="21"/>
              </w:rPr>
              <w:t>TasTAFE</w:t>
            </w:r>
            <w:proofErr w:type="spellEnd"/>
            <w:r>
              <w:rPr>
                <w:rFonts w:ascii="Corbel" w:eastAsia="Corbel" w:hAnsi="Corbel"/>
                <w:color w:val="000000"/>
                <w:sz w:val="21"/>
              </w:rPr>
              <w:t xml:space="preserve">, which had 1,477 enrolments across foundation skills products in 2023. </w:t>
            </w:r>
            <w:proofErr w:type="spellStart"/>
            <w:r>
              <w:rPr>
                <w:rFonts w:ascii="Corbel" w:eastAsia="Corbel" w:hAnsi="Corbel"/>
                <w:color w:val="000000"/>
                <w:sz w:val="21"/>
              </w:rPr>
              <w:t>TasTAFE</w:t>
            </w:r>
            <w:proofErr w:type="spellEnd"/>
            <w:r>
              <w:rPr>
                <w:rFonts w:ascii="Corbel" w:eastAsia="Corbel" w:hAnsi="Corbel"/>
                <w:color w:val="000000"/>
                <w:sz w:val="21"/>
              </w:rPr>
              <w:t xml:space="preserve"> offers the suite of Certificates in General Education for Adults as accredited courses targeting foundation skills at all ACSF levels. The Certificate II in General Education for Adults is currently delivered online and/or face to face</w:t>
            </w:r>
          </w:p>
        </w:tc>
      </w:tr>
    </w:tbl>
    <w:p w14:paraId="71581DAC" w14:textId="77777777" w:rsidR="008F51B0" w:rsidRDefault="008F51B0">
      <w:pPr>
        <w:spacing w:after="242" w:line="20" w:lineRule="exact"/>
      </w:pPr>
    </w:p>
    <w:p w14:paraId="71581DAD" w14:textId="77777777" w:rsidR="008F51B0" w:rsidRDefault="006565DD">
      <w:pPr>
        <w:spacing w:before="40" w:line="221" w:lineRule="exact"/>
        <w:ind w:right="36"/>
        <w:jc w:val="right"/>
        <w:textAlignment w:val="baseline"/>
        <w:rPr>
          <w:rFonts w:ascii="Calibri" w:eastAsia="Calibri" w:hAnsi="Calibri"/>
          <w:color w:val="000000"/>
          <w:spacing w:val="17"/>
        </w:rPr>
      </w:pPr>
      <w:r>
        <w:pict w14:anchorId="71581E51">
          <v:line id="_x0000_s1048" style="position:absolute;left:0;text-align:left;z-index:251646976;mso-position-horizontal-relative:page;mso-position-vertical-relative:page" from="68.4pt,778.3pt" to="524.95pt,778.3pt" strokecolor="#d9d9d9" strokeweight=".7pt">
            <w10:wrap anchorx="page" anchory="page"/>
          </v:line>
        </w:pict>
      </w:r>
      <w:r w:rsidR="00767328">
        <w:rPr>
          <w:rFonts w:ascii="Calibri" w:eastAsia="Calibri" w:hAnsi="Calibri"/>
          <w:color w:val="000000"/>
          <w:spacing w:val="17"/>
        </w:rPr>
        <w:t>3 |</w:t>
      </w:r>
      <w:r w:rsidR="00767328">
        <w:rPr>
          <w:rFonts w:ascii="Calibri" w:eastAsia="Calibri" w:hAnsi="Calibri"/>
          <w:color w:val="7E7E7E"/>
          <w:spacing w:val="17"/>
        </w:rPr>
        <w:t xml:space="preserve"> Page</w:t>
      </w:r>
    </w:p>
    <w:p w14:paraId="71581DAE" w14:textId="77777777" w:rsidR="008F51B0" w:rsidRDefault="00767328">
      <w:pPr>
        <w:spacing w:before="42" w:line="236" w:lineRule="exact"/>
        <w:ind w:left="72" w:right="36"/>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p w14:paraId="71581DAF" w14:textId="77777777" w:rsidR="008F51B0" w:rsidRDefault="008F51B0">
      <w:pPr>
        <w:sectPr w:rsidR="008F51B0">
          <w:pgSz w:w="11909" w:h="16838"/>
          <w:pgMar w:top="960" w:right="1401" w:bottom="302" w:left="1368"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084"/>
      </w:tblGrid>
      <w:tr w:rsidR="008F51B0" w14:paraId="71581DBC" w14:textId="77777777">
        <w:trPr>
          <w:trHeight w:hRule="exact" w:val="13714"/>
        </w:trPr>
        <w:tc>
          <w:tcPr>
            <w:tcW w:w="9084" w:type="dxa"/>
            <w:tcBorders>
              <w:top w:val="single" w:sz="5" w:space="0" w:color="000000"/>
              <w:left w:val="single" w:sz="5" w:space="0" w:color="000000"/>
              <w:bottom w:val="single" w:sz="5" w:space="0" w:color="000000"/>
              <w:right w:val="single" w:sz="5" w:space="0" w:color="000000"/>
            </w:tcBorders>
          </w:tcPr>
          <w:p w14:paraId="71581DB0" w14:textId="77777777" w:rsidR="008F51B0" w:rsidRDefault="00767328">
            <w:pPr>
              <w:spacing w:line="268" w:lineRule="exact"/>
              <w:ind w:left="144" w:right="144"/>
              <w:textAlignment w:val="baseline"/>
              <w:rPr>
                <w:rFonts w:ascii="Corbel" w:eastAsia="Corbel" w:hAnsi="Corbel"/>
                <w:color w:val="000000"/>
                <w:spacing w:val="4"/>
                <w:sz w:val="21"/>
              </w:rPr>
            </w:pPr>
            <w:r>
              <w:rPr>
                <w:rFonts w:ascii="Corbel" w:eastAsia="Corbel" w:hAnsi="Corbel"/>
                <w:color w:val="000000"/>
                <w:spacing w:val="4"/>
                <w:sz w:val="21"/>
              </w:rPr>
              <w:lastRenderedPageBreak/>
              <w:t xml:space="preserve">to the Tasmanian community. </w:t>
            </w:r>
            <w:proofErr w:type="spellStart"/>
            <w:r>
              <w:rPr>
                <w:rFonts w:ascii="Corbel" w:eastAsia="Corbel" w:hAnsi="Corbel"/>
                <w:color w:val="000000"/>
                <w:spacing w:val="4"/>
                <w:sz w:val="21"/>
              </w:rPr>
              <w:t>TasTAFE</w:t>
            </w:r>
            <w:proofErr w:type="spellEnd"/>
            <w:r>
              <w:rPr>
                <w:rFonts w:ascii="Corbel" w:eastAsia="Corbel" w:hAnsi="Corbel"/>
                <w:color w:val="000000"/>
                <w:spacing w:val="4"/>
                <w:sz w:val="21"/>
              </w:rPr>
              <w:t xml:space="preserve"> also delivers skills sets from the suite at all ACSF levels face to face within the Department of Justice (Tasmania Prison Service). In addition, </w:t>
            </w:r>
            <w:proofErr w:type="spellStart"/>
            <w:r>
              <w:rPr>
                <w:rFonts w:ascii="Corbel" w:eastAsia="Corbel" w:hAnsi="Corbel"/>
                <w:color w:val="000000"/>
                <w:spacing w:val="4"/>
                <w:sz w:val="21"/>
              </w:rPr>
              <w:t>TasTAFE</w:t>
            </w:r>
            <w:proofErr w:type="spellEnd"/>
            <w:r>
              <w:rPr>
                <w:rFonts w:ascii="Corbel" w:eastAsia="Corbel" w:hAnsi="Corbel"/>
                <w:color w:val="000000"/>
                <w:spacing w:val="4"/>
                <w:sz w:val="21"/>
              </w:rPr>
              <w:t xml:space="preserve"> delivers the Certificate II in Career Preparation, which includes skills for learning, literacy, numeracy, digital and employment. </w:t>
            </w:r>
            <w:proofErr w:type="gramStart"/>
            <w:r>
              <w:rPr>
                <w:rFonts w:ascii="Corbel" w:eastAsia="Corbel" w:hAnsi="Corbel"/>
                <w:color w:val="000000"/>
                <w:spacing w:val="4"/>
                <w:sz w:val="21"/>
              </w:rPr>
              <w:t>All of</w:t>
            </w:r>
            <w:proofErr w:type="gramEnd"/>
            <w:r>
              <w:rPr>
                <w:rFonts w:ascii="Corbel" w:eastAsia="Corbel" w:hAnsi="Corbel"/>
                <w:color w:val="000000"/>
                <w:spacing w:val="4"/>
                <w:sz w:val="21"/>
              </w:rPr>
              <w:t xml:space="preserve"> these courses, along with courses such as Intro to Computing, Skills for Adult Learning, Certificate I in Work Education, and Certificate I in Transition Education for students with an intellectual disability, are delivered as no-fee opportunities by </w:t>
            </w:r>
            <w:proofErr w:type="spellStart"/>
            <w:r>
              <w:rPr>
                <w:rFonts w:ascii="Corbel" w:eastAsia="Corbel" w:hAnsi="Corbel"/>
                <w:color w:val="000000"/>
                <w:spacing w:val="4"/>
                <w:sz w:val="21"/>
              </w:rPr>
              <w:t>TasTAFE</w:t>
            </w:r>
            <w:proofErr w:type="spellEnd"/>
            <w:r>
              <w:rPr>
                <w:rFonts w:ascii="Corbel" w:eastAsia="Corbel" w:hAnsi="Corbel"/>
                <w:color w:val="000000"/>
                <w:spacing w:val="4"/>
                <w:sz w:val="21"/>
              </w:rPr>
              <w:t>.</w:t>
            </w:r>
          </w:p>
          <w:p w14:paraId="71581DB1" w14:textId="77777777" w:rsidR="008F51B0" w:rsidRDefault="00767328">
            <w:pPr>
              <w:spacing w:before="119" w:line="269" w:lineRule="exact"/>
              <w:ind w:left="144" w:right="360"/>
              <w:textAlignment w:val="baseline"/>
              <w:rPr>
                <w:rFonts w:ascii="Corbel" w:eastAsia="Corbel" w:hAnsi="Corbel"/>
                <w:color w:val="000000"/>
                <w:spacing w:val="3"/>
                <w:sz w:val="21"/>
              </w:rPr>
            </w:pPr>
            <w:r>
              <w:rPr>
                <w:rFonts w:ascii="Corbel" w:eastAsia="Corbel" w:hAnsi="Corbel"/>
                <w:color w:val="000000"/>
                <w:spacing w:val="3"/>
                <w:sz w:val="21"/>
              </w:rPr>
              <w:t>In Tasmania, qualitative evidence indicates that qualifications more closely linked to employment, where foundation skills learning is incorporated into the learner’s program, are more attractive to many potential learners than full qualifications from the foundation skills training (FSK) package. While FSK units of competency are common in other programs, the full qualifications are not typically delivered by Tasmanian RTOs other than through the Australian Government’s Skills for Education and Employment (SEE) program and through school-based RTOs. For example, in 2023</w:t>
            </w:r>
            <w:r>
              <w:rPr>
                <w:rFonts w:ascii="Corbel" w:eastAsia="Corbel" w:hAnsi="Corbel"/>
                <w:color w:val="000000"/>
                <w:spacing w:val="3"/>
                <w:sz w:val="21"/>
                <w:vertAlign w:val="superscript"/>
              </w:rPr>
              <w:t>1</w:t>
            </w:r>
            <w:r>
              <w:rPr>
                <w:rFonts w:ascii="Corbel" w:eastAsia="Corbel" w:hAnsi="Corbel"/>
                <w:color w:val="000000"/>
                <w:spacing w:val="3"/>
                <w:sz w:val="21"/>
              </w:rPr>
              <w:t xml:space="preserve"> there were only 110 program enrolments in Tasmania in FSK qualifications.</w:t>
            </w:r>
          </w:p>
          <w:p w14:paraId="71581DB2" w14:textId="77777777" w:rsidR="008F51B0" w:rsidRDefault="00767328">
            <w:pPr>
              <w:spacing w:before="113" w:line="269" w:lineRule="exact"/>
              <w:ind w:left="144" w:right="144"/>
              <w:textAlignment w:val="baseline"/>
              <w:rPr>
                <w:rFonts w:ascii="Corbel" w:eastAsia="Corbel" w:hAnsi="Corbel"/>
                <w:color w:val="000000"/>
                <w:spacing w:val="4"/>
                <w:sz w:val="21"/>
              </w:rPr>
            </w:pPr>
            <w:r>
              <w:rPr>
                <w:rFonts w:ascii="Corbel" w:eastAsia="Corbel" w:hAnsi="Corbel"/>
                <w:color w:val="000000"/>
                <w:spacing w:val="4"/>
                <w:sz w:val="21"/>
              </w:rPr>
              <w:t xml:space="preserve">Private RTOs may also apply for subsidies to deliver foundation skills courses through the Department of State Growth’s (Skills Tasmania) contestable grant funding programs. These grant programs (including the Apprentice and Trainee Training Fund and Building a Skilled Workforce) fund delivery of nationally recognised training and other supports to address the current workforce development and training priorities of the Tasmanian Government. Foundation courses currently </w:t>
            </w:r>
            <w:proofErr w:type="spellStart"/>
            <w:r>
              <w:rPr>
                <w:rFonts w:ascii="Corbel" w:eastAsia="Corbel" w:hAnsi="Corbel"/>
                <w:color w:val="000000"/>
                <w:spacing w:val="4"/>
                <w:sz w:val="21"/>
              </w:rPr>
              <w:t>subsidised</w:t>
            </w:r>
            <w:proofErr w:type="spellEnd"/>
            <w:r>
              <w:rPr>
                <w:rFonts w:ascii="Corbel" w:eastAsia="Corbel" w:hAnsi="Corbel"/>
                <w:color w:val="000000"/>
                <w:spacing w:val="4"/>
                <w:sz w:val="21"/>
              </w:rPr>
              <w:t xml:space="preserve"> for jobseekers include Certificate I in Workplace Skills and Certificate II in Workplace Skills. These courses are offered at no-fee for learners holding a government concession card.</w:t>
            </w:r>
          </w:p>
          <w:p w14:paraId="71581DB3" w14:textId="77777777" w:rsidR="008F51B0" w:rsidRDefault="00767328">
            <w:pPr>
              <w:spacing w:before="154" w:line="244" w:lineRule="exact"/>
              <w:ind w:left="144"/>
              <w:textAlignment w:val="baseline"/>
              <w:rPr>
                <w:rFonts w:ascii="Corbel" w:eastAsia="Corbel" w:hAnsi="Corbel"/>
                <w:b/>
                <w:color w:val="000000"/>
                <w:sz w:val="21"/>
              </w:rPr>
            </w:pPr>
            <w:r>
              <w:rPr>
                <w:rFonts w:ascii="Corbel" w:eastAsia="Corbel" w:hAnsi="Corbel"/>
                <w:b/>
                <w:color w:val="000000"/>
                <w:sz w:val="21"/>
              </w:rPr>
              <w:t>The ACE sector</w:t>
            </w:r>
          </w:p>
          <w:p w14:paraId="71581DB4" w14:textId="77777777" w:rsidR="008F51B0" w:rsidRDefault="00767328">
            <w:pPr>
              <w:spacing w:before="111" w:line="269" w:lineRule="exact"/>
              <w:ind w:left="144" w:right="288"/>
              <w:textAlignment w:val="baseline"/>
              <w:rPr>
                <w:rFonts w:ascii="Corbel" w:eastAsia="Corbel" w:hAnsi="Corbel"/>
                <w:color w:val="000000"/>
                <w:sz w:val="21"/>
              </w:rPr>
            </w:pPr>
            <w:r>
              <w:rPr>
                <w:rFonts w:ascii="Corbel" w:eastAsia="Corbel" w:hAnsi="Corbel"/>
                <w:color w:val="000000"/>
                <w:sz w:val="21"/>
              </w:rPr>
              <w:t>Tasmania does not have a network of community RTOs, so there is little nationally recognised foundation skills training formally delivered through the Adult and Community Education (ACE) sector as it is understood in other jurisdictions.</w:t>
            </w:r>
          </w:p>
          <w:p w14:paraId="71581DB5" w14:textId="77777777" w:rsidR="008F51B0" w:rsidRDefault="00767328">
            <w:pPr>
              <w:spacing w:before="119" w:line="269" w:lineRule="exact"/>
              <w:ind w:left="144" w:right="288"/>
              <w:textAlignment w:val="baseline"/>
              <w:rPr>
                <w:rFonts w:ascii="Corbel" w:eastAsia="Corbel" w:hAnsi="Corbel"/>
                <w:color w:val="000000"/>
                <w:sz w:val="21"/>
              </w:rPr>
            </w:pPr>
            <w:proofErr w:type="spellStart"/>
            <w:r>
              <w:rPr>
                <w:rFonts w:ascii="Corbel" w:eastAsia="Corbel" w:hAnsi="Corbel"/>
                <w:color w:val="000000"/>
                <w:sz w:val="21"/>
              </w:rPr>
              <w:t>TasTAFE</w:t>
            </w:r>
            <w:proofErr w:type="spellEnd"/>
            <w:r>
              <w:rPr>
                <w:rFonts w:ascii="Corbel" w:eastAsia="Corbel" w:hAnsi="Corbel"/>
                <w:color w:val="000000"/>
                <w:sz w:val="21"/>
              </w:rPr>
              <w:t xml:space="preserve"> delivers free accredited foundation skills programs in the community. These programs focus on building digital skills, reading, writing, numeracy and employability skills. </w:t>
            </w:r>
            <w:proofErr w:type="spellStart"/>
            <w:r>
              <w:rPr>
                <w:rFonts w:ascii="Corbel" w:eastAsia="Corbel" w:hAnsi="Corbel"/>
                <w:color w:val="000000"/>
                <w:sz w:val="21"/>
              </w:rPr>
              <w:t>TasTAFE’s</w:t>
            </w:r>
            <w:proofErr w:type="spellEnd"/>
            <w:r>
              <w:rPr>
                <w:rFonts w:ascii="Corbel" w:eastAsia="Corbel" w:hAnsi="Corbel"/>
                <w:color w:val="000000"/>
                <w:sz w:val="21"/>
              </w:rPr>
              <w:t xml:space="preserve"> community-based delivery occurs in state libraries, </w:t>
            </w:r>
            <w:proofErr w:type="spellStart"/>
            <w:r>
              <w:rPr>
                <w:rFonts w:ascii="Corbel" w:eastAsia="Corbel" w:hAnsi="Corbel"/>
                <w:color w:val="000000"/>
                <w:sz w:val="21"/>
              </w:rPr>
              <w:t>neighbourhood</w:t>
            </w:r>
            <w:proofErr w:type="spellEnd"/>
            <w:r>
              <w:rPr>
                <w:rFonts w:ascii="Corbel" w:eastAsia="Corbel" w:hAnsi="Corbel"/>
                <w:color w:val="000000"/>
                <w:sz w:val="21"/>
              </w:rPr>
              <w:t xml:space="preserve"> houses and Tasmania’s Child and Family Learning </w:t>
            </w:r>
            <w:proofErr w:type="spellStart"/>
            <w:r>
              <w:rPr>
                <w:rFonts w:ascii="Corbel" w:eastAsia="Corbel" w:hAnsi="Corbel"/>
                <w:color w:val="000000"/>
                <w:sz w:val="21"/>
              </w:rPr>
              <w:t>Centres</w:t>
            </w:r>
            <w:proofErr w:type="spellEnd"/>
            <w:r>
              <w:rPr>
                <w:rFonts w:ascii="Corbel" w:eastAsia="Corbel" w:hAnsi="Corbel"/>
                <w:color w:val="000000"/>
                <w:sz w:val="21"/>
              </w:rPr>
              <w:t>.</w:t>
            </w:r>
          </w:p>
          <w:p w14:paraId="71581DB6" w14:textId="77777777" w:rsidR="008F51B0" w:rsidRDefault="00767328">
            <w:pPr>
              <w:spacing w:before="120" w:line="269" w:lineRule="exact"/>
              <w:ind w:left="144" w:right="504"/>
              <w:textAlignment w:val="baseline"/>
              <w:rPr>
                <w:rFonts w:ascii="Corbel" w:eastAsia="Corbel" w:hAnsi="Corbel"/>
                <w:color w:val="000000"/>
                <w:sz w:val="21"/>
              </w:rPr>
            </w:pPr>
            <w:r>
              <w:rPr>
                <w:rFonts w:ascii="Corbel" w:eastAsia="Corbel" w:hAnsi="Corbel"/>
                <w:color w:val="000000"/>
                <w:sz w:val="21"/>
              </w:rPr>
              <w:t>The strategy observes that non-accredited foundation skills training may include “basic adult education programs, aimed at adults with limited formal education or language skills, drop-in sessions at libraries and volunteer tutor programs”.</w:t>
            </w:r>
          </w:p>
          <w:p w14:paraId="71581DB7" w14:textId="77777777" w:rsidR="008F51B0" w:rsidRDefault="00767328">
            <w:pPr>
              <w:spacing w:before="114" w:line="269" w:lineRule="exact"/>
              <w:ind w:left="144" w:right="288"/>
              <w:textAlignment w:val="baseline"/>
              <w:rPr>
                <w:rFonts w:ascii="Corbel" w:eastAsia="Corbel" w:hAnsi="Corbel"/>
                <w:color w:val="000000"/>
                <w:sz w:val="21"/>
              </w:rPr>
            </w:pPr>
            <w:r>
              <w:rPr>
                <w:rFonts w:ascii="Corbel" w:eastAsia="Corbel" w:hAnsi="Corbel"/>
                <w:color w:val="000000"/>
                <w:sz w:val="21"/>
              </w:rPr>
              <w:t>Alongside community, local government and private organisations that deliver basic adult education (primarily interest-based) learning, Tasmania’s ACE sector equivalent consists of government-funded programs within community settings and workplaces. With respect to non-accredited foundation skills training, significant government invested is directed towards:</w:t>
            </w:r>
          </w:p>
          <w:p w14:paraId="71581DB8" w14:textId="594D784C" w:rsidR="008F51B0" w:rsidRDefault="00767328">
            <w:pPr>
              <w:numPr>
                <w:ilvl w:val="0"/>
                <w:numId w:val="4"/>
              </w:numPr>
              <w:tabs>
                <w:tab w:val="clear" w:pos="360"/>
                <w:tab w:val="left" w:pos="936"/>
              </w:tabs>
              <w:spacing w:before="134" w:line="269" w:lineRule="exact"/>
              <w:ind w:left="936" w:right="144" w:hanging="360"/>
              <w:textAlignment w:val="baseline"/>
              <w:rPr>
                <w:rFonts w:ascii="Corbel" w:eastAsia="Corbel" w:hAnsi="Corbel"/>
                <w:color w:val="000000"/>
                <w:sz w:val="21"/>
              </w:rPr>
            </w:pPr>
            <w:r>
              <w:rPr>
                <w:rFonts w:ascii="Corbel" w:eastAsia="Corbel" w:hAnsi="Corbel"/>
                <w:color w:val="000000"/>
                <w:sz w:val="21"/>
              </w:rPr>
              <w:t xml:space="preserve">Libraries Tasmania’s lifelong learning programs, including free introductory programs for </w:t>
            </w:r>
            <w:hyperlink r:id="rId21">
              <w:r w:rsidR="008F51B0">
                <w:rPr>
                  <w:rFonts w:ascii="Corbel" w:eastAsia="Corbel" w:hAnsi="Corbel"/>
                  <w:color w:val="0000FF"/>
                  <w:sz w:val="21"/>
                  <w:u w:val="single"/>
                </w:rPr>
                <w:t>digital technology</w:t>
              </w:r>
            </w:hyperlink>
            <w:hyperlink r:id="rId22">
              <w:r w:rsidR="008F51B0">
                <w:rPr>
                  <w:rFonts w:ascii="Corbel" w:eastAsia="Corbel" w:hAnsi="Corbel"/>
                  <w:color w:val="0000FF"/>
                  <w:sz w:val="21"/>
                  <w:u w:val="single"/>
                </w:rPr>
                <w:t xml:space="preserve"> </w:t>
              </w:r>
            </w:hyperlink>
            <w:r>
              <w:rPr>
                <w:rFonts w:ascii="Corbel" w:eastAsia="Corbel" w:hAnsi="Corbel"/>
                <w:color w:val="000000"/>
                <w:sz w:val="21"/>
              </w:rPr>
              <w:t>and</w:t>
            </w:r>
            <w:hyperlink r:id="rId23">
              <w:r w:rsidR="008F51B0">
                <w:rPr>
                  <w:rFonts w:ascii="Corbel" w:eastAsia="Corbel" w:hAnsi="Corbel"/>
                  <w:color w:val="0000FF"/>
                  <w:sz w:val="21"/>
                  <w:u w:val="single"/>
                </w:rPr>
                <w:t xml:space="preserve"> English language</w:t>
              </w:r>
            </w:hyperlink>
            <w:hyperlink r:id="rId24">
              <w:r w:rsidR="008F51B0">
                <w:rPr>
                  <w:rFonts w:ascii="Corbel" w:eastAsia="Corbel" w:hAnsi="Corbel"/>
                  <w:color w:val="0000FF"/>
                  <w:sz w:val="21"/>
                  <w:u w:val="single"/>
                </w:rPr>
                <w:t xml:space="preserve"> </w:t>
              </w:r>
            </w:hyperlink>
            <w:r>
              <w:rPr>
                <w:rFonts w:ascii="Corbel" w:eastAsia="Corbel" w:hAnsi="Corbel"/>
                <w:color w:val="000000"/>
                <w:sz w:val="21"/>
              </w:rPr>
              <w:t>learners, and support for adult literacy and numeracy through the</w:t>
            </w:r>
            <w:r w:rsidR="008F51B0">
              <w:rPr>
                <w:rFonts w:ascii="Corbel" w:eastAsia="Corbel" w:hAnsi="Corbel"/>
                <w:color w:val="0000FF"/>
                <w:sz w:val="21"/>
                <w:u w:val="single"/>
              </w:rPr>
              <w:t xml:space="preserve"> Adult Literacy Service</w:t>
            </w:r>
            <w:hyperlink r:id="rId25">
              <w:r w:rsidR="008F51B0">
                <w:rPr>
                  <w:rFonts w:ascii="Corbel" w:eastAsia="Corbel" w:hAnsi="Corbel"/>
                  <w:color w:val="0000FF"/>
                  <w:sz w:val="21"/>
                  <w:u w:val="single"/>
                </w:rPr>
                <w:t>.</w:t>
              </w:r>
            </w:hyperlink>
            <w:r>
              <w:rPr>
                <w:rFonts w:ascii="Corbel" w:eastAsia="Corbel" w:hAnsi="Corbel"/>
                <w:color w:val="0462C1"/>
                <w:sz w:val="21"/>
                <w:u w:val="single"/>
              </w:rPr>
              <w:t xml:space="preserve"> </w:t>
            </w:r>
          </w:p>
          <w:p w14:paraId="71581DB9" w14:textId="41647691" w:rsidR="008F51B0" w:rsidRDefault="008F51B0">
            <w:pPr>
              <w:numPr>
                <w:ilvl w:val="0"/>
                <w:numId w:val="5"/>
              </w:numPr>
              <w:tabs>
                <w:tab w:val="clear" w:pos="360"/>
                <w:tab w:val="left" w:pos="936"/>
              </w:tabs>
              <w:spacing w:before="9" w:line="269" w:lineRule="exact"/>
              <w:ind w:left="936" w:right="576" w:hanging="360"/>
              <w:textAlignment w:val="baseline"/>
              <w:rPr>
                <w:rFonts w:ascii="Corbel" w:eastAsia="Corbel" w:hAnsi="Corbel"/>
                <w:color w:val="0462C1"/>
                <w:sz w:val="21"/>
                <w:u w:val="single"/>
              </w:rPr>
            </w:pPr>
            <w:r>
              <w:rPr>
                <w:rFonts w:ascii="Corbel" w:eastAsia="Corbel" w:hAnsi="Corbel"/>
                <w:color w:val="0000FF"/>
                <w:sz w:val="21"/>
                <w:u w:val="single"/>
              </w:rPr>
              <w:t>26Ten</w:t>
            </w:r>
            <w:hyperlink r:id="rId26">
              <w:r>
                <w:rPr>
                  <w:rFonts w:ascii="Corbel" w:eastAsia="Corbel" w:hAnsi="Corbel"/>
                  <w:color w:val="0000FF"/>
                  <w:sz w:val="21"/>
                  <w:u w:val="single"/>
                </w:rPr>
                <w:t xml:space="preserve"> </w:t>
              </w:r>
            </w:hyperlink>
            <w:r w:rsidR="00767328">
              <w:rPr>
                <w:rFonts w:ascii="Corbel" w:eastAsia="Corbel" w:hAnsi="Corbel"/>
                <w:color w:val="000000"/>
                <w:sz w:val="21"/>
              </w:rPr>
              <w:t>(</w:t>
            </w:r>
            <w:r w:rsidR="00767328">
              <w:rPr>
                <w:rFonts w:ascii="Corbel" w:eastAsia="Corbel" w:hAnsi="Corbel"/>
                <w:i/>
                <w:color w:val="000000"/>
              </w:rPr>
              <w:t>Tasmania’s strategy for adult literacy and numeracy 2016-2025</w:t>
            </w:r>
            <w:r w:rsidR="00767328">
              <w:rPr>
                <w:rFonts w:ascii="Corbel" w:eastAsia="Corbel" w:hAnsi="Corbel"/>
                <w:color w:val="000000"/>
                <w:sz w:val="21"/>
              </w:rPr>
              <w:t>) is a network of organisations and individuals working to increase the literacy and numeracy skills of Tasmanian adults. 26Ten offers free support for learners through:</w:t>
            </w:r>
          </w:p>
          <w:p w14:paraId="71581DBA" w14:textId="77777777" w:rsidR="008F51B0" w:rsidRDefault="00767328">
            <w:pPr>
              <w:numPr>
                <w:ilvl w:val="0"/>
                <w:numId w:val="6"/>
              </w:numPr>
              <w:tabs>
                <w:tab w:val="clear" w:pos="360"/>
                <w:tab w:val="left" w:pos="1656"/>
              </w:tabs>
              <w:spacing w:before="33" w:line="235" w:lineRule="exact"/>
              <w:ind w:left="1656" w:hanging="360"/>
              <w:textAlignment w:val="baseline"/>
              <w:rPr>
                <w:rFonts w:ascii="Corbel" w:eastAsia="Corbel" w:hAnsi="Corbel"/>
                <w:color w:val="000000"/>
                <w:sz w:val="21"/>
              </w:rPr>
            </w:pPr>
            <w:r>
              <w:rPr>
                <w:rFonts w:ascii="Corbel" w:eastAsia="Corbel" w:hAnsi="Corbel"/>
                <w:color w:val="000000"/>
                <w:sz w:val="21"/>
              </w:rPr>
              <w:t>26Ten Communities.</w:t>
            </w:r>
          </w:p>
          <w:p w14:paraId="71581DBB" w14:textId="77777777" w:rsidR="008F51B0" w:rsidRDefault="00767328">
            <w:pPr>
              <w:numPr>
                <w:ilvl w:val="0"/>
                <w:numId w:val="6"/>
              </w:numPr>
              <w:tabs>
                <w:tab w:val="clear" w:pos="360"/>
                <w:tab w:val="left" w:pos="1656"/>
              </w:tabs>
              <w:spacing w:before="39" w:after="52" w:line="269" w:lineRule="exact"/>
              <w:ind w:left="1656" w:right="1008" w:hanging="360"/>
              <w:textAlignment w:val="baseline"/>
              <w:rPr>
                <w:rFonts w:ascii="Corbel" w:eastAsia="Corbel" w:hAnsi="Corbel"/>
                <w:color w:val="000000"/>
                <w:sz w:val="21"/>
              </w:rPr>
            </w:pPr>
            <w:r>
              <w:rPr>
                <w:rFonts w:ascii="Corbel" w:eastAsia="Corbel" w:hAnsi="Corbel"/>
                <w:color w:val="000000"/>
                <w:sz w:val="21"/>
              </w:rPr>
              <w:t>26Ten workplace grants, which support projects to improve literacy and numeracy within workplaces.</w:t>
            </w:r>
          </w:p>
        </w:tc>
      </w:tr>
    </w:tbl>
    <w:p w14:paraId="71581DBD" w14:textId="77777777" w:rsidR="008F51B0" w:rsidRDefault="008F51B0">
      <w:pPr>
        <w:spacing w:after="398" w:line="20" w:lineRule="exact"/>
      </w:pPr>
    </w:p>
    <w:p w14:paraId="71581DBE" w14:textId="77777777" w:rsidR="008F51B0" w:rsidRDefault="006565DD">
      <w:pPr>
        <w:spacing w:before="27" w:line="209" w:lineRule="exact"/>
        <w:ind w:right="360"/>
        <w:textAlignment w:val="baseline"/>
        <w:rPr>
          <w:rFonts w:ascii="Calibri" w:eastAsia="Calibri" w:hAnsi="Calibri"/>
          <w:color w:val="000000"/>
          <w:sz w:val="13"/>
        </w:rPr>
      </w:pPr>
      <w:r>
        <w:pict w14:anchorId="71581E52">
          <v:line id="_x0000_s1047" style="position:absolute;z-index:251648000;mso-position-horizontal-relative:page;mso-position-vertical-relative:page" from="69.25pt,749.5pt" to="216.3pt,749.5pt" strokeweight=".95pt">
            <w10:wrap anchorx="page" anchory="page"/>
          </v:line>
        </w:pict>
      </w:r>
      <w:r w:rsidR="00767328">
        <w:rPr>
          <w:rFonts w:ascii="Calibri" w:eastAsia="Calibri" w:hAnsi="Calibri"/>
          <w:color w:val="000000"/>
          <w:sz w:val="13"/>
        </w:rPr>
        <w:t>1</w:t>
      </w:r>
      <w:r w:rsidR="00767328">
        <w:rPr>
          <w:rFonts w:ascii="Corbel" w:eastAsia="Corbel" w:hAnsi="Corbel"/>
          <w:color w:val="585858"/>
          <w:sz w:val="16"/>
        </w:rPr>
        <w:t xml:space="preserve"> Source: NCVER 2024, </w:t>
      </w:r>
      <w:r w:rsidR="00767328">
        <w:rPr>
          <w:rFonts w:ascii="Corbel" w:eastAsia="Corbel" w:hAnsi="Corbel"/>
          <w:i/>
          <w:color w:val="585858"/>
          <w:sz w:val="16"/>
        </w:rPr>
        <w:t xml:space="preserve">Total VET students and courses 2023: program enrolments </w:t>
      </w:r>
      <w:proofErr w:type="spellStart"/>
      <w:r w:rsidR="00767328">
        <w:rPr>
          <w:rFonts w:ascii="Corbel" w:eastAsia="Corbel" w:hAnsi="Corbel"/>
          <w:i/>
          <w:color w:val="585858"/>
          <w:sz w:val="16"/>
        </w:rPr>
        <w:t>DataBuilder</w:t>
      </w:r>
      <w:proofErr w:type="spellEnd"/>
      <w:r w:rsidR="00767328">
        <w:rPr>
          <w:rFonts w:ascii="Corbel" w:eastAsia="Corbel" w:hAnsi="Corbel"/>
          <w:color w:val="585858"/>
          <w:sz w:val="16"/>
        </w:rPr>
        <w:t>, Total, Provider type, State/territory of delivery location, Program name, Highest funding source by Year. Numbers are rounded to the nearest 5.</w:t>
      </w:r>
    </w:p>
    <w:p w14:paraId="71581DBF" w14:textId="77777777" w:rsidR="008F51B0" w:rsidRDefault="006565DD">
      <w:pPr>
        <w:spacing w:before="54" w:line="221" w:lineRule="exact"/>
        <w:ind w:right="36"/>
        <w:jc w:val="right"/>
        <w:textAlignment w:val="baseline"/>
        <w:rPr>
          <w:rFonts w:ascii="Calibri" w:eastAsia="Calibri" w:hAnsi="Calibri"/>
          <w:color w:val="000000"/>
          <w:spacing w:val="18"/>
        </w:rPr>
      </w:pPr>
      <w:r>
        <w:pict w14:anchorId="71581E53">
          <v:line id="_x0000_s1046" style="position:absolute;left:0;text-align:left;z-index:251649024;mso-position-horizontal-relative:page;mso-position-vertical-relative:page" from="69.25pt,778.55pt" to="526.3pt,778.55pt" strokecolor="#d9d9d9" strokeweight=".5pt">
            <w10:wrap anchorx="page" anchory="page"/>
          </v:line>
        </w:pict>
      </w:r>
      <w:r w:rsidR="00767328">
        <w:rPr>
          <w:rFonts w:ascii="Calibri" w:eastAsia="Calibri" w:hAnsi="Calibri"/>
          <w:color w:val="000000"/>
          <w:spacing w:val="18"/>
        </w:rPr>
        <w:t>4 |</w:t>
      </w:r>
      <w:r w:rsidR="00767328">
        <w:rPr>
          <w:rFonts w:ascii="Calibri" w:eastAsia="Calibri" w:hAnsi="Calibri"/>
          <w:color w:val="7E7E7E"/>
          <w:spacing w:val="18"/>
        </w:rPr>
        <w:t xml:space="preserve"> Page</w:t>
      </w:r>
    </w:p>
    <w:p w14:paraId="71581DC0" w14:textId="77777777" w:rsidR="008F51B0" w:rsidRDefault="00767328">
      <w:pPr>
        <w:spacing w:before="42" w:line="236" w:lineRule="exact"/>
        <w:ind w:right="36"/>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p w14:paraId="71581DC1" w14:textId="77777777" w:rsidR="008F51B0" w:rsidRDefault="008F51B0">
      <w:pPr>
        <w:sectPr w:rsidR="008F51B0">
          <w:pgSz w:w="11909" w:h="16838"/>
          <w:pgMar w:top="974" w:right="1384" w:bottom="302" w:left="1385" w:header="720" w:footer="720" w:gutter="0"/>
          <w:cols w:space="720"/>
        </w:sectPr>
      </w:pPr>
    </w:p>
    <w:p w14:paraId="71581DC2" w14:textId="77777777" w:rsidR="008F51B0" w:rsidRDefault="006565DD">
      <w:pPr>
        <w:tabs>
          <w:tab w:val="left" w:pos="1618"/>
        </w:tabs>
        <w:spacing w:line="340" w:lineRule="exact"/>
        <w:ind w:left="178" w:right="1834" w:firstLine="1080"/>
        <w:textAlignment w:val="baseline"/>
        <w:rPr>
          <w:rFonts w:ascii="Courier New" w:eastAsia="Courier New" w:hAnsi="Courier New"/>
          <w:color w:val="000000"/>
        </w:rPr>
      </w:pPr>
      <w:r>
        <w:lastRenderedPageBreak/>
        <w:pict w14:anchorId="71581E55">
          <v:shapetype id="_x0000_t202" coordsize="21600,21600" o:spt="202" path="m,l,21600r21600,l21600,xe">
            <v:stroke joinstyle="miter"/>
            <v:path gradientshapeok="t" o:connecttype="rect"/>
          </v:shapetype>
          <v:shape id="_x0000_s0" o:spid="_x0000_s1045" type="#_x0000_t202" style="position:absolute;left:0;text-align:left;margin-left:68.45pt;margin-top:48pt;width:457.9pt;height:127.45pt;z-index:-251659264;mso-wrap-distance-left:0;mso-wrap-distance-right:0;mso-wrap-distance-bottom:12.3pt;mso-position-horizontal-relative:page;mso-position-vertical-relative:page" filled="f" stroked="f">
            <v:textbox inset="0,0,0,0">
              <w:txbxContent>
                <w:p w14:paraId="71581E6E" w14:textId="77777777" w:rsidR="008F51B0" w:rsidRDefault="008F51B0">
                  <w:pPr>
                    <w:pBdr>
                      <w:top w:val="single" w:sz="5" w:space="0" w:color="000000"/>
                      <w:left w:val="single" w:sz="5" w:space="0" w:color="000000"/>
                      <w:bottom w:val="single" w:sz="5" w:space="12" w:color="000000"/>
                      <w:right w:val="single" w:sz="5" w:space="0" w:color="000000"/>
                    </w:pBdr>
                  </w:pPr>
                </w:p>
              </w:txbxContent>
            </v:textbox>
            <w10:wrap anchorx="page" anchory="page"/>
          </v:shape>
        </w:pict>
      </w:r>
      <w:r w:rsidR="00767328">
        <w:rPr>
          <w:rFonts w:ascii="Courier New" w:eastAsia="Courier New" w:hAnsi="Courier New"/>
          <w:color w:val="000000"/>
        </w:rPr>
        <w:t>o</w:t>
      </w:r>
      <w:r w:rsidR="00767328">
        <w:rPr>
          <w:rFonts w:ascii="Courier New" w:eastAsia="Courier New" w:hAnsi="Courier New"/>
          <w:color w:val="000000"/>
        </w:rPr>
        <w:tab/>
      </w:r>
      <w:r w:rsidR="00767328">
        <w:rPr>
          <w:rFonts w:ascii="Corbel" w:eastAsia="Corbel" w:hAnsi="Corbel"/>
          <w:color w:val="000000"/>
          <w:sz w:val="21"/>
        </w:rPr>
        <w:t xml:space="preserve">Promoting Plain English in workplaces and other organisations. </w:t>
      </w:r>
      <w:r w:rsidR="00767328">
        <w:rPr>
          <w:rFonts w:ascii="Corbel" w:eastAsia="Corbel" w:hAnsi="Corbel"/>
          <w:b/>
          <w:color w:val="000000"/>
          <w:sz w:val="21"/>
        </w:rPr>
        <w:t>Activity</w:t>
      </w:r>
    </w:p>
    <w:p w14:paraId="71581DC3" w14:textId="77777777" w:rsidR="008F51B0" w:rsidRDefault="00767328">
      <w:pPr>
        <w:spacing w:before="117" w:after="380" w:line="268" w:lineRule="exact"/>
        <w:ind w:left="178" w:right="466"/>
        <w:textAlignment w:val="baseline"/>
        <w:rPr>
          <w:rFonts w:ascii="Corbel" w:eastAsia="Corbel" w:hAnsi="Corbel"/>
          <w:color w:val="000000"/>
          <w:sz w:val="21"/>
        </w:rPr>
      </w:pPr>
      <w:r>
        <w:rPr>
          <w:rFonts w:ascii="Corbel" w:eastAsia="Corbel" w:hAnsi="Corbel"/>
          <w:color w:val="000000"/>
          <w:sz w:val="21"/>
        </w:rPr>
        <w:t>One of the themes of the</w:t>
      </w:r>
      <w:hyperlink r:id="rId27">
        <w:r w:rsidR="008F51B0">
          <w:rPr>
            <w:rFonts w:ascii="Corbel" w:eastAsia="Corbel" w:hAnsi="Corbel"/>
            <w:color w:val="0000FF"/>
            <w:sz w:val="21"/>
            <w:u w:val="single"/>
          </w:rPr>
          <w:t xml:space="preserve"> Tasmanian Skills Plan 2024-2028</w:t>
        </w:r>
      </w:hyperlink>
      <w:hyperlink r:id="rId28">
        <w:r w:rsidR="008F51B0">
          <w:rPr>
            <w:rFonts w:ascii="Corbel" w:eastAsia="Corbel" w:hAnsi="Corbel"/>
            <w:color w:val="0000FF"/>
            <w:sz w:val="21"/>
            <w:u w:val="single"/>
          </w:rPr>
          <w:t xml:space="preserve"> </w:t>
        </w:r>
      </w:hyperlink>
      <w:r>
        <w:rPr>
          <w:rFonts w:ascii="Corbel" w:eastAsia="Corbel" w:hAnsi="Corbel"/>
          <w:color w:val="000000"/>
          <w:sz w:val="21"/>
        </w:rPr>
        <w:t>is “supporting learners to succeed”. This theme includes actions to invest in foundation skills to support learners in building the language, literacy, numeracy and digital skills they need to complete their training. Initially the focus is on maintaining existing programs and wrap-around services, but as the plan matures, additional activities may be identified. This National Skills Agreement foundation skills implementation plan will be updated to reflect this, where necessary.</w:t>
      </w:r>
    </w:p>
    <w:p w14:paraId="71581DC4" w14:textId="77777777" w:rsidR="008F51B0" w:rsidRDefault="00767328">
      <w:pPr>
        <w:tabs>
          <w:tab w:val="left" w:pos="360"/>
        </w:tabs>
        <w:spacing w:after="265" w:line="272" w:lineRule="exact"/>
        <w:ind w:left="360" w:right="360" w:hanging="360"/>
        <w:textAlignment w:val="baseline"/>
        <w:rPr>
          <w:rFonts w:ascii="Corbel" w:eastAsia="Corbel" w:hAnsi="Corbel"/>
          <w:b/>
          <w:color w:val="000000"/>
          <w:sz w:val="21"/>
        </w:rPr>
      </w:pPr>
      <w:r>
        <w:rPr>
          <w:rFonts w:ascii="Corbel" w:eastAsia="Corbel" w:hAnsi="Corbel"/>
          <w:b/>
          <w:color w:val="000000"/>
          <w:sz w:val="21"/>
        </w:rPr>
        <w:t>3)</w:t>
      </w:r>
      <w:r>
        <w:rPr>
          <w:rFonts w:ascii="Corbel" w:eastAsia="Corbel" w:hAnsi="Corbel"/>
          <w:b/>
          <w:color w:val="000000"/>
          <w:sz w:val="21"/>
        </w:rPr>
        <w:tab/>
        <w:t>Activities that support the Adult Community Education sector or equivalent (clause A109a refers).</w:t>
      </w:r>
    </w:p>
    <w:tbl>
      <w:tblPr>
        <w:tblW w:w="0" w:type="auto"/>
        <w:tblLayout w:type="fixed"/>
        <w:tblCellMar>
          <w:left w:w="0" w:type="dxa"/>
          <w:right w:w="0" w:type="dxa"/>
        </w:tblCellMar>
        <w:tblLook w:val="04A0" w:firstRow="1" w:lastRow="0" w:firstColumn="1" w:lastColumn="0" w:noHBand="0" w:noVBand="1"/>
      </w:tblPr>
      <w:tblGrid>
        <w:gridCol w:w="9158"/>
      </w:tblGrid>
      <w:tr w:rsidR="008F51B0" w14:paraId="71581DCF" w14:textId="77777777">
        <w:trPr>
          <w:trHeight w:hRule="exact" w:val="10833"/>
        </w:trPr>
        <w:tc>
          <w:tcPr>
            <w:tcW w:w="9158" w:type="dxa"/>
            <w:tcBorders>
              <w:top w:val="single" w:sz="5" w:space="0" w:color="000000"/>
              <w:left w:val="single" w:sz="5" w:space="0" w:color="000000"/>
              <w:bottom w:val="single" w:sz="5" w:space="0" w:color="000000"/>
              <w:right w:val="single" w:sz="5" w:space="0" w:color="000000"/>
            </w:tcBorders>
          </w:tcPr>
          <w:p w14:paraId="71581DC5" w14:textId="77777777" w:rsidR="008F51B0" w:rsidRDefault="00767328">
            <w:pPr>
              <w:spacing w:before="139" w:line="244" w:lineRule="exact"/>
              <w:ind w:left="144" w:right="36"/>
              <w:textAlignment w:val="baseline"/>
              <w:rPr>
                <w:rFonts w:ascii="Corbel" w:eastAsia="Corbel" w:hAnsi="Corbel"/>
                <w:b/>
                <w:color w:val="000000"/>
                <w:spacing w:val="3"/>
                <w:sz w:val="21"/>
              </w:rPr>
            </w:pPr>
            <w:r>
              <w:rPr>
                <w:rFonts w:ascii="Corbel" w:eastAsia="Corbel" w:hAnsi="Corbel"/>
                <w:b/>
                <w:color w:val="000000"/>
                <w:spacing w:val="3"/>
                <w:sz w:val="21"/>
              </w:rPr>
              <w:t>Expansion of the 26Ten Workplace Grants Program</w:t>
            </w:r>
          </w:p>
          <w:p w14:paraId="71581DC6" w14:textId="77777777" w:rsidR="008F51B0" w:rsidRDefault="00767328">
            <w:pPr>
              <w:spacing w:before="112" w:line="268" w:lineRule="exact"/>
              <w:ind w:left="144" w:right="144"/>
              <w:textAlignment w:val="baseline"/>
              <w:rPr>
                <w:rFonts w:ascii="Corbel" w:eastAsia="Corbel" w:hAnsi="Corbel"/>
                <w:color w:val="000000"/>
                <w:spacing w:val="3"/>
                <w:sz w:val="21"/>
              </w:rPr>
            </w:pPr>
            <w:r>
              <w:rPr>
                <w:rFonts w:ascii="Corbel" w:eastAsia="Corbel" w:hAnsi="Corbel"/>
                <w:color w:val="000000"/>
                <w:spacing w:val="3"/>
                <w:sz w:val="21"/>
              </w:rPr>
              <w:t>Consistent with the National Foundation Skills Strategy’s recognition of the diversity of ways in which foundation skills may be delivered, Tasmania’s activity for ensuring access to foundation skills under the National Skills Agreement focuses on 26Ten, as a proven community driver of improved adult foundation skills in Tasmania. Tasmania proposes to use the Australian Government funding provided for the foundation skills initiative to extend the funding available to the</w:t>
            </w:r>
            <w:hyperlink r:id="rId29">
              <w:r w:rsidR="008F51B0">
                <w:rPr>
                  <w:rFonts w:ascii="Corbel" w:eastAsia="Corbel" w:hAnsi="Corbel"/>
                  <w:color w:val="0000FF"/>
                  <w:spacing w:val="3"/>
                  <w:sz w:val="21"/>
                  <w:u w:val="single"/>
                </w:rPr>
                <w:t xml:space="preserve"> 26Ten Workplace Grants Program</w:t>
              </w:r>
            </w:hyperlink>
            <w:hyperlink r:id="rId30">
              <w:r w:rsidR="008F51B0">
                <w:rPr>
                  <w:rFonts w:ascii="Corbel" w:eastAsia="Corbel" w:hAnsi="Corbel"/>
                  <w:color w:val="0000FF"/>
                  <w:spacing w:val="3"/>
                  <w:sz w:val="21"/>
                  <w:u w:val="single"/>
                </w:rPr>
                <w:t xml:space="preserve"> </w:t>
              </w:r>
            </w:hyperlink>
            <w:r>
              <w:rPr>
                <w:rFonts w:ascii="Corbel" w:eastAsia="Corbel" w:hAnsi="Corbel"/>
                <w:color w:val="000000"/>
                <w:spacing w:val="3"/>
                <w:sz w:val="21"/>
              </w:rPr>
              <w:t>and enable more workplaces to deliver tailored literacy and numeracy training at no cost to their workers.</w:t>
            </w:r>
          </w:p>
          <w:p w14:paraId="71581DC7" w14:textId="77777777" w:rsidR="008F51B0" w:rsidRDefault="00767328">
            <w:pPr>
              <w:spacing w:before="153" w:line="236" w:lineRule="exact"/>
              <w:ind w:left="144" w:right="36"/>
              <w:textAlignment w:val="baseline"/>
              <w:rPr>
                <w:rFonts w:ascii="Corbel" w:eastAsia="Corbel" w:hAnsi="Corbel"/>
                <w:b/>
                <w:i/>
                <w:color w:val="000000"/>
                <w:sz w:val="21"/>
              </w:rPr>
            </w:pPr>
            <w:r>
              <w:rPr>
                <w:rFonts w:ascii="Corbel" w:eastAsia="Corbel" w:hAnsi="Corbel"/>
                <w:b/>
                <w:i/>
                <w:color w:val="000000"/>
                <w:sz w:val="21"/>
              </w:rPr>
              <w:t>Program overview</w:t>
            </w:r>
          </w:p>
          <w:p w14:paraId="71581DC8" w14:textId="77777777" w:rsidR="008F51B0" w:rsidRDefault="00767328">
            <w:pPr>
              <w:spacing w:before="122" w:line="268" w:lineRule="exact"/>
              <w:ind w:left="144" w:right="216"/>
              <w:textAlignment w:val="baseline"/>
              <w:rPr>
                <w:rFonts w:ascii="Corbel" w:eastAsia="Corbel" w:hAnsi="Corbel"/>
                <w:color w:val="000000"/>
                <w:sz w:val="21"/>
              </w:rPr>
            </w:pPr>
            <w:r>
              <w:rPr>
                <w:rFonts w:ascii="Corbel" w:eastAsia="Corbel" w:hAnsi="Corbel"/>
                <w:color w:val="000000"/>
                <w:sz w:val="21"/>
              </w:rPr>
              <w:t xml:space="preserve">Under the expanded program, organisations may apply for grants of up to $65,000 for projects to help their workers improve their reading, writing, </w:t>
            </w:r>
            <w:proofErr w:type="spellStart"/>
            <w:r>
              <w:rPr>
                <w:rFonts w:ascii="Corbel" w:eastAsia="Corbel" w:hAnsi="Corbel"/>
                <w:color w:val="000000"/>
                <w:sz w:val="21"/>
              </w:rPr>
              <w:t>maths</w:t>
            </w:r>
            <w:proofErr w:type="spellEnd"/>
            <w:r>
              <w:rPr>
                <w:rFonts w:ascii="Corbel" w:eastAsia="Corbel" w:hAnsi="Corbel"/>
                <w:color w:val="000000"/>
                <w:sz w:val="21"/>
              </w:rPr>
              <w:t>, speaking, listening, and digital skills.</w:t>
            </w:r>
          </w:p>
          <w:p w14:paraId="71581DC9" w14:textId="77777777" w:rsidR="008F51B0" w:rsidRDefault="00767328">
            <w:pPr>
              <w:spacing w:before="121" w:line="268" w:lineRule="exact"/>
              <w:ind w:left="144" w:right="576"/>
              <w:textAlignment w:val="baseline"/>
              <w:rPr>
                <w:rFonts w:ascii="Corbel" w:eastAsia="Corbel" w:hAnsi="Corbel"/>
                <w:color w:val="000000"/>
                <w:sz w:val="21"/>
              </w:rPr>
            </w:pPr>
            <w:r>
              <w:rPr>
                <w:rFonts w:ascii="Corbel" w:eastAsia="Corbel" w:hAnsi="Corbel"/>
                <w:color w:val="000000"/>
                <w:sz w:val="21"/>
              </w:rPr>
              <w:t>There are no eligibility restrictions for workers, and there is no cost to the individual worker to participate in the training.</w:t>
            </w:r>
          </w:p>
          <w:p w14:paraId="71581DCA" w14:textId="77777777" w:rsidR="008F51B0" w:rsidRDefault="00767328">
            <w:pPr>
              <w:spacing w:before="124" w:line="268" w:lineRule="exact"/>
              <w:ind w:left="144" w:right="216"/>
              <w:textAlignment w:val="baseline"/>
              <w:rPr>
                <w:rFonts w:ascii="Corbel" w:eastAsia="Corbel" w:hAnsi="Corbel"/>
                <w:color w:val="000000"/>
                <w:sz w:val="21"/>
              </w:rPr>
            </w:pPr>
            <w:r>
              <w:rPr>
                <w:rFonts w:ascii="Corbel" w:eastAsia="Corbel" w:hAnsi="Corbel"/>
                <w:color w:val="000000"/>
                <w:sz w:val="21"/>
              </w:rPr>
              <w:t xml:space="preserve">Improving these skills helps workers do their jobs better, which provides mutual benefit to the </w:t>
            </w:r>
            <w:proofErr w:type="spellStart"/>
            <w:r>
              <w:rPr>
                <w:rFonts w:ascii="Corbel" w:eastAsia="Corbel" w:hAnsi="Corbel"/>
                <w:color w:val="000000"/>
                <w:sz w:val="21"/>
              </w:rPr>
              <w:t>organisation</w:t>
            </w:r>
            <w:proofErr w:type="spellEnd"/>
            <w:r>
              <w:rPr>
                <w:rFonts w:ascii="Corbel" w:eastAsia="Corbel" w:hAnsi="Corbel"/>
                <w:color w:val="000000"/>
                <w:sz w:val="21"/>
              </w:rPr>
              <w:t xml:space="preserve"> and individual. This includes improved workplace safety and compliance with procedures, reduced costs, and increased morale and engagement in the workplace. This training may also support employees who are already participating in accredited training or want to build their skills so they can undertake further training in the future.</w:t>
            </w:r>
          </w:p>
          <w:p w14:paraId="71581DCB" w14:textId="77777777" w:rsidR="008F51B0" w:rsidRDefault="00767328">
            <w:pPr>
              <w:spacing w:before="126" w:line="268" w:lineRule="exact"/>
              <w:ind w:left="144" w:right="216"/>
              <w:textAlignment w:val="baseline"/>
              <w:rPr>
                <w:rFonts w:ascii="Corbel" w:eastAsia="Corbel" w:hAnsi="Corbel"/>
                <w:color w:val="000000"/>
                <w:spacing w:val="3"/>
                <w:sz w:val="21"/>
              </w:rPr>
            </w:pPr>
            <w:r>
              <w:rPr>
                <w:rFonts w:ascii="Corbel" w:eastAsia="Corbel" w:hAnsi="Corbel"/>
                <w:color w:val="000000"/>
                <w:spacing w:val="3"/>
                <w:sz w:val="21"/>
              </w:rPr>
              <w:t>The workplace grants program has a community focus in that training is delivered within a workplace in work time rather than in a classroom setting. This has distinct advantages for the learners and reduces the barriers that prevent learners from attending, such as transport issues, lack of time, or discomfort within a formal learning environment. Learners are motivated because training is tailored to them and is often delivered one-on-one. These features help reduce the stigma that is prevalent among people with lower literacy skills and is motivating because the learning is relevant to the individual’s circumstances and needs.</w:t>
            </w:r>
          </w:p>
          <w:p w14:paraId="71581DCC" w14:textId="77777777" w:rsidR="008F51B0" w:rsidRDefault="00767328">
            <w:pPr>
              <w:spacing w:before="153" w:line="236" w:lineRule="exact"/>
              <w:ind w:left="144" w:right="36"/>
              <w:textAlignment w:val="baseline"/>
              <w:rPr>
                <w:rFonts w:ascii="Corbel" w:eastAsia="Corbel" w:hAnsi="Corbel"/>
                <w:b/>
                <w:i/>
                <w:color w:val="000000"/>
                <w:spacing w:val="4"/>
                <w:sz w:val="21"/>
              </w:rPr>
            </w:pPr>
            <w:r>
              <w:rPr>
                <w:rFonts w:ascii="Corbel" w:eastAsia="Corbel" w:hAnsi="Corbel"/>
                <w:b/>
                <w:i/>
                <w:color w:val="000000"/>
                <w:spacing w:val="4"/>
                <w:sz w:val="21"/>
              </w:rPr>
              <w:t>Rationale for expanding the program</w:t>
            </w:r>
          </w:p>
          <w:p w14:paraId="71581DCD" w14:textId="77777777" w:rsidR="008F51B0" w:rsidRDefault="00767328">
            <w:pPr>
              <w:numPr>
                <w:ilvl w:val="0"/>
                <w:numId w:val="7"/>
              </w:numPr>
              <w:tabs>
                <w:tab w:val="clear" w:pos="288"/>
                <w:tab w:val="left" w:pos="864"/>
              </w:tabs>
              <w:spacing w:before="121" w:line="268" w:lineRule="exact"/>
              <w:ind w:left="864" w:right="216" w:hanging="288"/>
              <w:textAlignment w:val="baseline"/>
              <w:rPr>
                <w:rFonts w:ascii="Corbel" w:eastAsia="Corbel" w:hAnsi="Corbel"/>
                <w:color w:val="000000"/>
                <w:spacing w:val="3"/>
                <w:sz w:val="21"/>
              </w:rPr>
            </w:pPr>
            <w:r>
              <w:rPr>
                <w:rFonts w:ascii="Corbel" w:eastAsia="Corbel" w:hAnsi="Corbel"/>
                <w:color w:val="000000"/>
                <w:spacing w:val="3"/>
                <w:sz w:val="21"/>
              </w:rPr>
              <w:t>An increase to the maximum grant (from $50,000 to $65,000) in 2024 to reflect the increased cost of delivering training has reduced the maximum number of projects that can be funded each year. Under this implementation plan, up to six additional organisations per year will be able to access the program. The number of employees supported through the program varies considerably across workplaces and according to the nature of the projects. Based on 2022-23 data, it would be reasonable to anticipate up to 120 additional employees could be supported.</w:t>
            </w:r>
          </w:p>
          <w:p w14:paraId="71581DCE" w14:textId="77777777" w:rsidR="008F51B0" w:rsidRDefault="00767328">
            <w:pPr>
              <w:numPr>
                <w:ilvl w:val="0"/>
                <w:numId w:val="7"/>
              </w:numPr>
              <w:tabs>
                <w:tab w:val="clear" w:pos="288"/>
                <w:tab w:val="left" w:pos="864"/>
              </w:tabs>
              <w:spacing w:before="60" w:after="9" w:line="268" w:lineRule="exact"/>
              <w:ind w:left="864" w:right="432" w:hanging="288"/>
              <w:textAlignment w:val="baseline"/>
              <w:rPr>
                <w:rFonts w:ascii="Corbel" w:eastAsia="Corbel" w:hAnsi="Corbel"/>
                <w:color w:val="000000"/>
                <w:sz w:val="21"/>
              </w:rPr>
            </w:pPr>
            <w:r>
              <w:rPr>
                <w:rFonts w:ascii="Corbel" w:eastAsia="Corbel" w:hAnsi="Corbel"/>
                <w:color w:val="000000"/>
                <w:sz w:val="21"/>
              </w:rPr>
              <w:t xml:space="preserve">26Ten is a trusted Tasmanian </w:t>
            </w:r>
            <w:proofErr w:type="spellStart"/>
            <w:r>
              <w:rPr>
                <w:rFonts w:ascii="Corbel" w:eastAsia="Corbel" w:hAnsi="Corbel"/>
                <w:color w:val="000000"/>
                <w:sz w:val="21"/>
              </w:rPr>
              <w:t>organisation</w:t>
            </w:r>
            <w:proofErr w:type="spellEnd"/>
            <w:r>
              <w:rPr>
                <w:rFonts w:ascii="Corbel" w:eastAsia="Corbel" w:hAnsi="Corbel"/>
                <w:color w:val="000000"/>
                <w:sz w:val="21"/>
              </w:rPr>
              <w:t xml:space="preserve"> that is supported by key people in a range of industries, which enables us to promote workplace grants that match businesses with training organisations and skilled trainers in Tasmania’s VET sector. These links with</w:t>
            </w:r>
          </w:p>
        </w:tc>
      </w:tr>
    </w:tbl>
    <w:p w14:paraId="71581DD0" w14:textId="77777777" w:rsidR="008F51B0" w:rsidRDefault="008F51B0">
      <w:pPr>
        <w:spacing w:after="140" w:line="20" w:lineRule="exact"/>
      </w:pPr>
    </w:p>
    <w:p w14:paraId="71581DD1" w14:textId="77777777" w:rsidR="008F51B0" w:rsidRDefault="006565DD">
      <w:pPr>
        <w:spacing w:before="61" w:line="221" w:lineRule="exact"/>
        <w:ind w:right="36"/>
        <w:jc w:val="right"/>
        <w:textAlignment w:val="baseline"/>
        <w:rPr>
          <w:rFonts w:ascii="Calibri" w:eastAsia="Calibri" w:hAnsi="Calibri"/>
          <w:color w:val="000000"/>
          <w:spacing w:val="17"/>
        </w:rPr>
      </w:pPr>
      <w:r>
        <w:pict w14:anchorId="71581E56">
          <v:line id="_x0000_s1044" style="position:absolute;left:0;text-align:left;z-index:251650048;mso-position-horizontal-relative:page;mso-position-vertical-relative:page" from="68.45pt,778.3pt" to="526.4pt,778.3pt" strokecolor="#d9d9d9" strokeweight=".7pt">
            <w10:wrap anchorx="page" anchory="page"/>
          </v:line>
        </w:pict>
      </w:r>
      <w:r w:rsidR="00767328">
        <w:rPr>
          <w:rFonts w:ascii="Calibri" w:eastAsia="Calibri" w:hAnsi="Calibri"/>
          <w:color w:val="000000"/>
          <w:spacing w:val="17"/>
        </w:rPr>
        <w:t>5 |</w:t>
      </w:r>
      <w:r w:rsidR="00767328">
        <w:rPr>
          <w:rFonts w:ascii="Calibri" w:eastAsia="Calibri" w:hAnsi="Calibri"/>
          <w:color w:val="7E7E7E"/>
          <w:spacing w:val="17"/>
        </w:rPr>
        <w:t xml:space="preserve"> Page</w:t>
      </w:r>
    </w:p>
    <w:p w14:paraId="71581DD2" w14:textId="77777777" w:rsidR="008F51B0" w:rsidRDefault="00767328">
      <w:pPr>
        <w:spacing w:before="42" w:line="236" w:lineRule="exact"/>
        <w:ind w:left="144" w:right="36"/>
        <w:textAlignment w:val="baseline"/>
        <w:rPr>
          <w:rFonts w:ascii="Corbel" w:eastAsia="Corbel" w:hAnsi="Corbel"/>
          <w:color w:val="000000"/>
          <w:spacing w:val="2"/>
          <w:sz w:val="21"/>
        </w:rPr>
      </w:pPr>
      <w:r>
        <w:rPr>
          <w:rFonts w:ascii="Corbel" w:eastAsia="Corbel" w:hAnsi="Corbel"/>
          <w:color w:val="000000"/>
          <w:spacing w:val="2"/>
          <w:sz w:val="21"/>
        </w:rPr>
        <w:t>Bilateral Implementation Plan Template NSA Policy Initiatives</w:t>
      </w:r>
    </w:p>
    <w:p w14:paraId="71581DD3" w14:textId="77777777" w:rsidR="008F51B0" w:rsidRDefault="008F51B0">
      <w:pPr>
        <w:sectPr w:rsidR="008F51B0">
          <w:pgSz w:w="11909" w:h="16838"/>
          <w:pgMar w:top="960" w:right="1382" w:bottom="302" w:left="1369" w:header="720" w:footer="720" w:gutter="0"/>
          <w:cols w:space="720"/>
        </w:sectPr>
      </w:pPr>
    </w:p>
    <w:p w14:paraId="71581DD4" w14:textId="77777777" w:rsidR="008F51B0" w:rsidRDefault="006565DD">
      <w:pPr>
        <w:textAlignment w:val="baseline"/>
        <w:rPr>
          <w:rFonts w:eastAsia="Times New Roman"/>
          <w:color w:val="000000"/>
          <w:sz w:val="24"/>
        </w:rPr>
      </w:pPr>
      <w:r>
        <w:lastRenderedPageBreak/>
        <w:pict w14:anchorId="71581E57">
          <v:shape id="_x0000_s1043" type="#_x0000_t202" style="position:absolute;margin-left:69.4pt;margin-top:48pt;width:457.9pt;height:759pt;z-index:-251657216;mso-wrap-distance-left:0;mso-wrap-distance-right:0;mso-position-horizontal-relative:page;mso-position-vertical-relative:page" filled="f" stroked="f">
            <v:textbox inset="0,0,0,0">
              <w:txbxContent>
                <w:p w14:paraId="71581E8B" w14:textId="77777777" w:rsidR="00813897" w:rsidRDefault="00813897"/>
              </w:txbxContent>
            </v:textbox>
            <w10:wrap type="square" anchorx="page" anchory="page"/>
          </v:shape>
        </w:pict>
      </w:r>
      <w:r>
        <w:pict w14:anchorId="71581E58">
          <v:shape id="_x0000_s1042" type="#_x0000_t202" style="position:absolute;margin-left:69.4pt;margin-top:48.7pt;width:456.7pt;height:730pt;z-index:-251656192;mso-wrap-distance-left:0;mso-wrap-distance-right:0;mso-position-horizontal-relative:page;mso-position-vertical-relative:page" filled="f" stroked="f">
            <v:textbox inset="0,0,0,0">
              <w:txbxContent>
                <w:p w14:paraId="71581E6F" w14:textId="77777777" w:rsidR="008F51B0" w:rsidRDefault="00767328">
                  <w:pPr>
                    <w:ind w:left="23"/>
                    <w:textAlignment w:val="baseline"/>
                  </w:pPr>
                  <w:r>
                    <w:rPr>
                      <w:noProof/>
                    </w:rPr>
                    <w:drawing>
                      <wp:inline distT="0" distB="0" distL="0" distR="0" wp14:anchorId="71581E8A" wp14:editId="71581E8B">
                        <wp:extent cx="5785485" cy="9271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31"/>
                                <a:stretch>
                                  <a:fillRect/>
                                </a:stretch>
                              </pic:blipFill>
                              <pic:spPr>
                                <a:xfrm>
                                  <a:off x="0" y="0"/>
                                  <a:ext cx="5785485" cy="9271000"/>
                                </a:xfrm>
                                <a:prstGeom prst="rect">
                                  <a:avLst/>
                                </a:prstGeom>
                              </pic:spPr>
                            </pic:pic>
                          </a:graphicData>
                        </a:graphic>
                      </wp:inline>
                    </w:drawing>
                  </w:r>
                </w:p>
              </w:txbxContent>
            </v:textbox>
            <w10:wrap type="square" anchorx="page" anchory="page"/>
          </v:shape>
        </w:pict>
      </w:r>
      <w:r>
        <w:pict w14:anchorId="71581E59">
          <v:shape id="_x0000_s1041" type="#_x0000_t202" style="position:absolute;margin-left:318.7pt;margin-top:695.1pt;width:40.6pt;height:12.65pt;z-index:-251655168;mso-wrap-distance-left:0;mso-wrap-distance-right:0;mso-position-horizontal-relative:page;mso-position-vertical-relative:page" filled="f" stroked="f">
            <v:textbox inset="0,0,0,0">
              <w:txbxContent>
                <w:p w14:paraId="71581E70" w14:textId="77777777" w:rsidR="008F51B0" w:rsidRDefault="00767328">
                  <w:pPr>
                    <w:spacing w:before="12" w:line="226" w:lineRule="exact"/>
                    <w:textAlignment w:val="baseline"/>
                    <w:rPr>
                      <w:rFonts w:ascii="Corbel" w:eastAsia="Corbel" w:hAnsi="Corbel"/>
                      <w:color w:val="000000"/>
                      <w:spacing w:val="-8"/>
                      <w:sz w:val="21"/>
                    </w:rPr>
                  </w:pPr>
                  <w:r>
                    <w:rPr>
                      <w:rFonts w:ascii="Corbel" w:eastAsia="Corbel" w:hAnsi="Corbel"/>
                      <w:color w:val="000000"/>
                      <w:spacing w:val="-8"/>
                      <w:sz w:val="21"/>
                    </w:rPr>
                    <w:t>July 2025</w:t>
                  </w:r>
                </w:p>
              </w:txbxContent>
            </v:textbox>
            <w10:wrap type="square" anchorx="page" anchory="page"/>
          </v:shape>
        </w:pict>
      </w:r>
      <w:r>
        <w:pict w14:anchorId="71581E5A">
          <v:shape id="_x0000_s1040" type="#_x0000_t202" style="position:absolute;margin-left:425.05pt;margin-top:695.1pt;width:41.25pt;height:12.65pt;z-index:-251654144;mso-wrap-distance-left:0;mso-wrap-distance-right:0;mso-position-horizontal-relative:page;mso-position-vertical-relative:page" filled="f" stroked="f">
            <v:textbox inset="0,0,0,0">
              <w:txbxContent>
                <w:p w14:paraId="71581E71" w14:textId="77777777" w:rsidR="008F51B0" w:rsidRDefault="00767328">
                  <w:pPr>
                    <w:spacing w:before="12" w:line="226" w:lineRule="exact"/>
                    <w:textAlignment w:val="baseline"/>
                    <w:rPr>
                      <w:rFonts w:ascii="Corbel" w:eastAsia="Corbel" w:hAnsi="Corbel"/>
                      <w:color w:val="000000"/>
                      <w:spacing w:val="-8"/>
                      <w:sz w:val="21"/>
                    </w:rPr>
                  </w:pPr>
                  <w:r>
                    <w:rPr>
                      <w:rFonts w:ascii="Corbel" w:eastAsia="Corbel" w:hAnsi="Corbel"/>
                      <w:color w:val="000000"/>
                      <w:spacing w:val="-8"/>
                      <w:sz w:val="21"/>
                    </w:rPr>
                    <w:t>July 2029</w:t>
                  </w:r>
                </w:p>
              </w:txbxContent>
            </v:textbox>
            <w10:wrap type="square" anchorx="page" anchory="page"/>
          </v:shape>
        </w:pict>
      </w:r>
      <w:r>
        <w:pict w14:anchorId="71581E5B">
          <v:shape id="_x0000_s1039" type="#_x0000_t202" style="position:absolute;margin-left:78.25pt;margin-top:695.1pt;width:48.25pt;height:12.4pt;z-index:-251653120;mso-wrap-distance-left:0;mso-wrap-distance-right:0;mso-position-horizontal-relative:page;mso-position-vertical-relative:page" filled="f" stroked="f">
            <v:textbox inset="0,0,0,0">
              <w:txbxContent>
                <w:p w14:paraId="71581E72" w14:textId="77777777" w:rsidR="008F51B0" w:rsidRDefault="00767328">
                  <w:pPr>
                    <w:spacing w:before="12" w:line="226" w:lineRule="exact"/>
                    <w:textAlignment w:val="baseline"/>
                    <w:rPr>
                      <w:rFonts w:ascii="Corbel" w:eastAsia="Corbel" w:hAnsi="Corbel"/>
                      <w:color w:val="000000"/>
                      <w:spacing w:val="-8"/>
                      <w:sz w:val="21"/>
                    </w:rPr>
                  </w:pPr>
                  <w:r>
                    <w:rPr>
                      <w:rFonts w:ascii="Corbel" w:eastAsia="Corbel" w:hAnsi="Corbel"/>
                      <w:color w:val="000000"/>
                      <w:spacing w:val="-8"/>
                      <w:sz w:val="21"/>
                    </w:rPr>
                    <w:t>$1,970,000</w:t>
                  </w:r>
                </w:p>
              </w:txbxContent>
            </v:textbox>
            <w10:wrap type="square" anchorx="page" anchory="page"/>
          </v:shape>
        </w:pict>
      </w:r>
      <w:r>
        <w:pict w14:anchorId="71581E5C">
          <v:shape id="_x0000_s6" type="#_x0000_t202" style="position:absolute;margin-left:77.5pt;margin-top:48.65pt;width:442.1pt;height:609.4pt;z-index:-251652096;mso-wrap-distance-left:0;mso-wrap-distance-right:0;mso-position-horizontal-relative:page;mso-position-vertical-relative:page" filled="f" stroked="f">
            <v:textbox inset="0,0,0,0">
              <w:txbxContent>
                <w:p w14:paraId="71581E73" w14:textId="77777777" w:rsidR="008F51B0" w:rsidRDefault="00767328">
                  <w:pPr>
                    <w:spacing w:before="1" w:line="269" w:lineRule="exact"/>
                    <w:ind w:left="720"/>
                    <w:textAlignment w:val="baseline"/>
                    <w:rPr>
                      <w:rFonts w:ascii="Corbel" w:eastAsia="Corbel" w:hAnsi="Corbel"/>
                      <w:color w:val="000000"/>
                      <w:sz w:val="21"/>
                    </w:rPr>
                  </w:pPr>
                  <w:r>
                    <w:rPr>
                      <w:rFonts w:ascii="Corbel" w:eastAsia="Corbel" w:hAnsi="Corbel"/>
                      <w:color w:val="000000"/>
                      <w:sz w:val="21"/>
                    </w:rPr>
                    <w:t>industry are supported through the Tasmanian Government’s</w:t>
                  </w:r>
                  <w:hyperlink r:id="rId32">
                    <w:r w:rsidR="008F51B0">
                      <w:rPr>
                        <w:rFonts w:ascii="Corbel" w:eastAsia="Corbel" w:hAnsi="Corbel"/>
                        <w:color w:val="0000FF"/>
                        <w:sz w:val="21"/>
                        <w:u w:val="single"/>
                      </w:rPr>
                      <w:t xml:space="preserve"> Industry Skills Compacts</w:t>
                    </w:r>
                  </w:hyperlink>
                  <w:hyperlink r:id="rId33">
                    <w:r w:rsidR="008F51B0">
                      <w:rPr>
                        <w:rFonts w:ascii="Corbel" w:eastAsia="Corbel" w:hAnsi="Corbel"/>
                        <w:color w:val="0000FF"/>
                        <w:sz w:val="21"/>
                        <w:u w:val="single"/>
                      </w:rPr>
                      <w:t xml:space="preserve"> </w:t>
                    </w:r>
                  </w:hyperlink>
                  <w:r>
                    <w:rPr>
                      <w:rFonts w:ascii="Corbel" w:eastAsia="Corbel" w:hAnsi="Corbel"/>
                      <w:color w:val="000000"/>
                      <w:sz w:val="21"/>
                    </w:rPr>
                    <w:t>and the focus of the</w:t>
                  </w:r>
                  <w:hyperlink r:id="rId34">
                    <w:r w:rsidR="008F51B0">
                      <w:rPr>
                        <w:rFonts w:ascii="Corbel" w:eastAsia="Corbel" w:hAnsi="Corbel"/>
                        <w:color w:val="0000FF"/>
                        <w:sz w:val="21"/>
                        <w:u w:val="single"/>
                      </w:rPr>
                      <w:t xml:space="preserve"> Tasmanian Skills Plan</w:t>
                    </w:r>
                  </w:hyperlink>
                  <w:hyperlink r:id="rId35">
                    <w:r w:rsidR="008F51B0">
                      <w:rPr>
                        <w:rFonts w:ascii="Corbel" w:eastAsia="Corbel" w:hAnsi="Corbel"/>
                        <w:color w:val="0000FF"/>
                        <w:sz w:val="21"/>
                        <w:u w:val="single"/>
                      </w:rPr>
                      <w:t xml:space="preserve"> </w:t>
                    </w:r>
                  </w:hyperlink>
                  <w:r>
                    <w:rPr>
                      <w:rFonts w:ascii="Corbel" w:eastAsia="Corbel" w:hAnsi="Corbel"/>
                      <w:color w:val="000000"/>
                      <w:sz w:val="21"/>
                    </w:rPr>
                    <w:t xml:space="preserve">on </w:t>
                  </w:r>
                  <w:proofErr w:type="spellStart"/>
                  <w:r>
                    <w:rPr>
                      <w:rFonts w:ascii="Corbel" w:eastAsia="Corbel" w:hAnsi="Corbel"/>
                      <w:color w:val="000000"/>
                      <w:sz w:val="21"/>
                    </w:rPr>
                    <w:t>subsidising</w:t>
                  </w:r>
                  <w:proofErr w:type="spellEnd"/>
                  <w:r>
                    <w:rPr>
                      <w:rFonts w:ascii="Corbel" w:eastAsia="Corbel" w:hAnsi="Corbel"/>
                      <w:color w:val="000000"/>
                      <w:sz w:val="21"/>
                    </w:rPr>
                    <w:t xml:space="preserve"> training in skills and knowledge areas that are valuable across multiple industries or provide a pathway to meaningful jobs, including foundation and critical thinking skills.</w:t>
                  </w:r>
                </w:p>
                <w:p w14:paraId="71581E74" w14:textId="7BDE130E" w:rsidR="008F51B0" w:rsidRPr="00CA6064" w:rsidRDefault="00767328" w:rsidP="00767328">
                  <w:pPr>
                    <w:numPr>
                      <w:ilvl w:val="0"/>
                      <w:numId w:val="8"/>
                    </w:numPr>
                    <w:tabs>
                      <w:tab w:val="left" w:pos="288"/>
                      <w:tab w:val="left" w:pos="720"/>
                    </w:tabs>
                    <w:spacing w:before="119" w:line="269" w:lineRule="exact"/>
                    <w:ind w:right="216"/>
                    <w:textAlignment w:val="baseline"/>
                    <w:rPr>
                      <w:rFonts w:ascii="Corbel" w:eastAsia="Corbel" w:hAnsi="Corbel"/>
                      <w:color w:val="000000"/>
                      <w:sz w:val="21"/>
                    </w:rPr>
                  </w:pPr>
                  <w:r w:rsidRPr="00CA6064">
                    <w:rPr>
                      <w:rFonts w:ascii="Corbel" w:eastAsia="Corbel" w:hAnsi="Corbel"/>
                      <w:color w:val="000000"/>
                      <w:sz w:val="21"/>
                    </w:rPr>
                    <w:t>Grants are available in regional and remote areas of Tasmania where access to structured learning may be unavailable or less accessible.</w:t>
                  </w:r>
                </w:p>
                <w:p w14:paraId="71581E75" w14:textId="555FDF05" w:rsidR="008F51B0" w:rsidRPr="00767328" w:rsidRDefault="00767328" w:rsidP="00767328">
                  <w:pPr>
                    <w:numPr>
                      <w:ilvl w:val="0"/>
                      <w:numId w:val="8"/>
                    </w:numPr>
                    <w:tabs>
                      <w:tab w:val="left" w:pos="288"/>
                      <w:tab w:val="left" w:pos="720"/>
                    </w:tabs>
                    <w:spacing w:before="119" w:line="269" w:lineRule="exact"/>
                    <w:ind w:right="216"/>
                    <w:textAlignment w:val="baseline"/>
                    <w:rPr>
                      <w:rFonts w:ascii="Corbel" w:eastAsia="Corbel" w:hAnsi="Corbel"/>
                      <w:color w:val="000000"/>
                      <w:sz w:val="21"/>
                    </w:rPr>
                  </w:pPr>
                  <w:r w:rsidRPr="00767328">
                    <w:rPr>
                      <w:rFonts w:ascii="Corbel" w:eastAsia="Corbel" w:hAnsi="Corbel"/>
                      <w:color w:val="000000"/>
                      <w:sz w:val="21"/>
                    </w:rPr>
                    <w:t>The 26Ten Workplace Grant program supports high-quality, responsive, accessible education and training that boosts productivity for organisations. It also supports Tasmanians to obtain the skills they need to participate and prosper in the modern economy by delivering targeted practical training that benefits both them and their employer. This in turn builds resilience and adaptability that is of long-term benefit for all.</w:t>
                  </w:r>
                </w:p>
                <w:p w14:paraId="71581E76" w14:textId="77777777" w:rsidR="008F51B0" w:rsidRDefault="00767328" w:rsidP="00767328">
                  <w:pPr>
                    <w:numPr>
                      <w:ilvl w:val="0"/>
                      <w:numId w:val="8"/>
                    </w:numPr>
                    <w:tabs>
                      <w:tab w:val="left" w:pos="288"/>
                      <w:tab w:val="left" w:pos="720"/>
                    </w:tabs>
                    <w:spacing w:before="119" w:line="269" w:lineRule="exact"/>
                    <w:ind w:right="216"/>
                    <w:textAlignment w:val="baseline"/>
                    <w:rPr>
                      <w:rFonts w:ascii="Corbel" w:eastAsia="Corbel" w:hAnsi="Corbel"/>
                      <w:color w:val="000000"/>
                      <w:sz w:val="21"/>
                    </w:rPr>
                  </w:pPr>
                  <w:r>
                    <w:rPr>
                      <w:rFonts w:ascii="Corbel" w:eastAsia="Corbel" w:hAnsi="Corbel"/>
                      <w:color w:val="000000"/>
                      <w:sz w:val="21"/>
                    </w:rPr>
                    <w:t>Building foundation skills for work has ripple effects for individuals, who develop confidence and become better able to participate in their families and communities, including being able go on to further learning or to engage with their children’s learning. Their visible success in learning also encourages others to seek help.</w:t>
                  </w:r>
                </w:p>
                <w:p w14:paraId="71581E77" w14:textId="77777777" w:rsidR="008F51B0" w:rsidRDefault="00767328" w:rsidP="00767328">
                  <w:pPr>
                    <w:numPr>
                      <w:ilvl w:val="0"/>
                      <w:numId w:val="8"/>
                    </w:numPr>
                    <w:tabs>
                      <w:tab w:val="left" w:pos="288"/>
                      <w:tab w:val="left" w:pos="720"/>
                    </w:tabs>
                    <w:spacing w:before="115" w:line="269" w:lineRule="exact"/>
                    <w:textAlignment w:val="baseline"/>
                    <w:rPr>
                      <w:rFonts w:ascii="Corbel" w:eastAsia="Corbel" w:hAnsi="Corbel"/>
                      <w:color w:val="000000"/>
                      <w:sz w:val="21"/>
                    </w:rPr>
                  </w:pPr>
                  <w:r>
                    <w:rPr>
                      <w:rFonts w:ascii="Corbel" w:eastAsia="Corbel" w:hAnsi="Corbel"/>
                      <w:color w:val="000000"/>
                      <w:sz w:val="21"/>
                    </w:rPr>
                    <w:t xml:space="preserve">‘Get Ready’ grants of up to $5,000 are also available for workplaces that are not yet </w:t>
                  </w:r>
                  <w:proofErr w:type="gramStart"/>
                  <w:r>
                    <w:rPr>
                      <w:rFonts w:ascii="Corbel" w:eastAsia="Corbel" w:hAnsi="Corbel"/>
                      <w:color w:val="000000"/>
                      <w:sz w:val="21"/>
                    </w:rPr>
                    <w:t>in a position</w:t>
                  </w:r>
                  <w:proofErr w:type="gramEnd"/>
                  <w:r>
                    <w:rPr>
                      <w:rFonts w:ascii="Corbel" w:eastAsia="Corbel" w:hAnsi="Corbel"/>
                      <w:color w:val="000000"/>
                      <w:sz w:val="21"/>
                    </w:rPr>
                    <w:t xml:space="preserve"> to develop a workplace project. These grants enable workplaces to engage an Adult Literacy Trainer to assess their business needs, identify skill gaps among employees, and develop an application to submit to the full grant program.</w:t>
                  </w:r>
                </w:p>
                <w:p w14:paraId="71581E78" w14:textId="77777777" w:rsidR="008F51B0" w:rsidRDefault="00767328">
                  <w:pPr>
                    <w:spacing w:before="153" w:line="236" w:lineRule="exact"/>
                    <w:textAlignment w:val="baseline"/>
                    <w:rPr>
                      <w:rFonts w:ascii="Corbel" w:eastAsia="Corbel" w:hAnsi="Corbel"/>
                      <w:b/>
                      <w:i/>
                      <w:color w:val="000000"/>
                      <w:sz w:val="21"/>
                    </w:rPr>
                  </w:pPr>
                  <w:r>
                    <w:rPr>
                      <w:rFonts w:ascii="Corbel" w:eastAsia="Corbel" w:hAnsi="Corbel"/>
                      <w:b/>
                      <w:i/>
                      <w:color w:val="000000"/>
                      <w:sz w:val="21"/>
                    </w:rPr>
                    <w:t>Training provided under the program</w:t>
                  </w:r>
                </w:p>
                <w:p w14:paraId="71581E79" w14:textId="77777777" w:rsidR="008F51B0" w:rsidRDefault="00767328">
                  <w:pPr>
                    <w:spacing w:before="119" w:line="269" w:lineRule="exact"/>
                    <w:ind w:right="216"/>
                    <w:textAlignment w:val="baseline"/>
                    <w:rPr>
                      <w:rFonts w:ascii="Corbel" w:eastAsia="Corbel" w:hAnsi="Corbel"/>
                      <w:color w:val="000000"/>
                      <w:sz w:val="21"/>
                    </w:rPr>
                  </w:pPr>
                  <w:r>
                    <w:rPr>
                      <w:rFonts w:ascii="Corbel" w:eastAsia="Corbel" w:hAnsi="Corbel"/>
                      <w:color w:val="000000"/>
                      <w:sz w:val="21"/>
                    </w:rPr>
                    <w:t>The primary focus of the program is on literacy and numeracy training, which must make up at least 50 per cent of a project. However, projects may include other elements such as developing training resources for use in the project, training for staff to support low literacy workers or clients, and training in learning skills (ACSF core skill 1 – ‘learning how to learn’).</w:t>
                  </w:r>
                </w:p>
                <w:p w14:paraId="71581E7A" w14:textId="77777777" w:rsidR="008F51B0" w:rsidRDefault="00767328">
                  <w:pPr>
                    <w:spacing w:before="119" w:line="269" w:lineRule="exact"/>
                    <w:ind w:right="216"/>
                    <w:textAlignment w:val="baseline"/>
                    <w:rPr>
                      <w:rFonts w:ascii="Corbel" w:eastAsia="Corbel" w:hAnsi="Corbel"/>
                      <w:color w:val="000000"/>
                      <w:sz w:val="21"/>
                    </w:rPr>
                  </w:pPr>
                  <w:r>
                    <w:rPr>
                      <w:rFonts w:ascii="Corbel" w:eastAsia="Corbel" w:hAnsi="Corbel"/>
                      <w:color w:val="000000"/>
                      <w:sz w:val="21"/>
                    </w:rPr>
                    <w:t xml:space="preserve">Grant recipients must engage an Adult Literacy Trainer to deliver the training. These trainers are either teachers from an RTO or an individual practitioner from the 26Ten Adult Literacy Trainer Register, who design the training and assessment program informed by evidence and research. The Adult Literacy Trainer is also responsible for measuring skill improvements using the ACSF. They must use existing resources or create suitable measurement practices and tools that are appropriate for the </w:t>
                  </w:r>
                  <w:proofErr w:type="spellStart"/>
                  <w:r>
                    <w:rPr>
                      <w:rFonts w:ascii="Corbel" w:eastAsia="Corbel" w:hAnsi="Corbel"/>
                      <w:color w:val="000000"/>
                      <w:sz w:val="21"/>
                    </w:rPr>
                    <w:t>organisation</w:t>
                  </w:r>
                  <w:proofErr w:type="spellEnd"/>
                  <w:r>
                    <w:rPr>
                      <w:rFonts w:ascii="Corbel" w:eastAsia="Corbel" w:hAnsi="Corbel"/>
                      <w:color w:val="000000"/>
                      <w:sz w:val="21"/>
                    </w:rPr>
                    <w:t>.</w:t>
                  </w:r>
                </w:p>
                <w:p w14:paraId="71581E7B" w14:textId="77777777" w:rsidR="008F51B0" w:rsidRDefault="00767328">
                  <w:pPr>
                    <w:spacing w:before="119" w:line="269" w:lineRule="exact"/>
                    <w:ind w:right="144"/>
                    <w:textAlignment w:val="baseline"/>
                    <w:rPr>
                      <w:rFonts w:ascii="Corbel" w:eastAsia="Corbel" w:hAnsi="Corbel"/>
                      <w:color w:val="000000"/>
                      <w:sz w:val="21"/>
                    </w:rPr>
                  </w:pPr>
                  <w:r>
                    <w:rPr>
                      <w:rFonts w:ascii="Corbel" w:eastAsia="Corbel" w:hAnsi="Corbel"/>
                      <w:color w:val="000000"/>
                      <w:sz w:val="21"/>
                    </w:rPr>
                    <w:t>The training provided is generally non-accredited and tailored to the needs of the workplace and its employees. It is typically delivered in the workplace, which enables it to be undertaken within work hours and at a location easily accessible to learners.</w:t>
                  </w:r>
                </w:p>
                <w:p w14:paraId="71581E7C" w14:textId="77777777" w:rsidR="008F51B0" w:rsidRDefault="00767328">
                  <w:pPr>
                    <w:spacing w:before="153" w:line="236" w:lineRule="exact"/>
                    <w:textAlignment w:val="baseline"/>
                    <w:rPr>
                      <w:rFonts w:ascii="Corbel" w:eastAsia="Corbel" w:hAnsi="Corbel"/>
                      <w:b/>
                      <w:i/>
                      <w:color w:val="000000"/>
                      <w:spacing w:val="4"/>
                      <w:sz w:val="21"/>
                    </w:rPr>
                  </w:pPr>
                  <w:r>
                    <w:rPr>
                      <w:rFonts w:ascii="Corbel" w:eastAsia="Corbel" w:hAnsi="Corbel"/>
                      <w:b/>
                      <w:i/>
                      <w:color w:val="000000"/>
                      <w:spacing w:val="4"/>
                      <w:sz w:val="21"/>
                    </w:rPr>
                    <w:t>Responsibility for program management, including monitoring arrangements</w:t>
                  </w:r>
                </w:p>
                <w:p w14:paraId="71581E7D" w14:textId="77777777" w:rsidR="008F51B0" w:rsidRDefault="00767328">
                  <w:pPr>
                    <w:spacing w:before="115" w:line="269" w:lineRule="exact"/>
                    <w:ind w:right="792"/>
                    <w:textAlignment w:val="baseline"/>
                    <w:rPr>
                      <w:rFonts w:ascii="Corbel" w:eastAsia="Corbel" w:hAnsi="Corbel"/>
                      <w:color w:val="000000"/>
                      <w:sz w:val="21"/>
                    </w:rPr>
                  </w:pPr>
                  <w:r>
                    <w:rPr>
                      <w:rFonts w:ascii="Corbel" w:eastAsia="Corbel" w:hAnsi="Corbel"/>
                      <w:color w:val="000000"/>
                      <w:sz w:val="21"/>
                    </w:rPr>
                    <w:t>The program is currently managed in accordance with the Tasmanian Government’s grant management protocols. Grant recipients must provide:</w:t>
                  </w:r>
                </w:p>
                <w:p w14:paraId="71581E7E" w14:textId="77777777" w:rsidR="008F51B0" w:rsidRDefault="00767328">
                  <w:pPr>
                    <w:numPr>
                      <w:ilvl w:val="0"/>
                      <w:numId w:val="4"/>
                    </w:numPr>
                    <w:tabs>
                      <w:tab w:val="clear" w:pos="360"/>
                      <w:tab w:val="left" w:pos="720"/>
                    </w:tabs>
                    <w:spacing w:before="134" w:line="269" w:lineRule="exact"/>
                    <w:ind w:left="720" w:hanging="360"/>
                    <w:textAlignment w:val="baseline"/>
                    <w:rPr>
                      <w:rFonts w:ascii="Corbel" w:eastAsia="Corbel" w:hAnsi="Corbel"/>
                      <w:color w:val="000000"/>
                      <w:sz w:val="21"/>
                    </w:rPr>
                  </w:pPr>
                  <w:r>
                    <w:rPr>
                      <w:rFonts w:ascii="Corbel" w:eastAsia="Corbel" w:hAnsi="Corbel"/>
                      <w:color w:val="000000"/>
                      <w:sz w:val="21"/>
                    </w:rPr>
                    <w:t>a mid-project report</w:t>
                  </w:r>
                </w:p>
                <w:p w14:paraId="71581E7F" w14:textId="77777777" w:rsidR="008F51B0" w:rsidRDefault="00767328">
                  <w:pPr>
                    <w:numPr>
                      <w:ilvl w:val="0"/>
                      <w:numId w:val="4"/>
                    </w:numPr>
                    <w:tabs>
                      <w:tab w:val="clear" w:pos="360"/>
                      <w:tab w:val="left" w:pos="720"/>
                    </w:tabs>
                    <w:spacing w:before="9" w:line="269" w:lineRule="exact"/>
                    <w:ind w:left="720" w:hanging="360"/>
                    <w:textAlignment w:val="baseline"/>
                    <w:rPr>
                      <w:rFonts w:ascii="Corbel" w:eastAsia="Corbel" w:hAnsi="Corbel"/>
                      <w:color w:val="000000"/>
                      <w:sz w:val="21"/>
                    </w:rPr>
                  </w:pPr>
                  <w:r>
                    <w:rPr>
                      <w:rFonts w:ascii="Corbel" w:eastAsia="Corbel" w:hAnsi="Corbel"/>
                      <w:color w:val="000000"/>
                      <w:sz w:val="21"/>
                    </w:rPr>
                    <w:t>a final report and evaluation</w:t>
                  </w:r>
                </w:p>
                <w:p w14:paraId="71581E80" w14:textId="77777777" w:rsidR="008F51B0" w:rsidRDefault="00767328">
                  <w:pPr>
                    <w:numPr>
                      <w:ilvl w:val="0"/>
                      <w:numId w:val="4"/>
                    </w:numPr>
                    <w:tabs>
                      <w:tab w:val="clear" w:pos="360"/>
                      <w:tab w:val="left" w:pos="720"/>
                    </w:tabs>
                    <w:spacing w:before="14" w:line="269" w:lineRule="exact"/>
                    <w:ind w:left="720" w:hanging="360"/>
                    <w:textAlignment w:val="baseline"/>
                    <w:rPr>
                      <w:rFonts w:ascii="Corbel" w:eastAsia="Corbel" w:hAnsi="Corbel"/>
                      <w:color w:val="000000"/>
                      <w:sz w:val="21"/>
                    </w:rPr>
                  </w:pPr>
                  <w:r>
                    <w:rPr>
                      <w:rFonts w:ascii="Corbel" w:eastAsia="Corbel" w:hAnsi="Corbel"/>
                      <w:color w:val="000000"/>
                      <w:sz w:val="21"/>
                    </w:rPr>
                    <w:t>a financial acquittal</w:t>
                  </w:r>
                </w:p>
                <w:p w14:paraId="71581E81" w14:textId="77777777" w:rsidR="008F51B0" w:rsidRDefault="00767328">
                  <w:pPr>
                    <w:numPr>
                      <w:ilvl w:val="0"/>
                      <w:numId w:val="4"/>
                    </w:numPr>
                    <w:tabs>
                      <w:tab w:val="clear" w:pos="360"/>
                      <w:tab w:val="left" w:pos="720"/>
                    </w:tabs>
                    <w:spacing w:before="14" w:after="58" w:line="269" w:lineRule="exact"/>
                    <w:ind w:left="720" w:hanging="360"/>
                    <w:textAlignment w:val="baseline"/>
                    <w:rPr>
                      <w:rFonts w:ascii="Corbel" w:eastAsia="Corbel" w:hAnsi="Corbel"/>
                      <w:color w:val="000000"/>
                      <w:spacing w:val="4"/>
                      <w:sz w:val="21"/>
                    </w:rPr>
                  </w:pPr>
                  <w:r>
                    <w:rPr>
                      <w:rFonts w:ascii="Corbel" w:eastAsia="Corbel" w:hAnsi="Corbel"/>
                      <w:color w:val="000000"/>
                      <w:spacing w:val="4"/>
                      <w:sz w:val="21"/>
                    </w:rPr>
                    <w:t>a minimum of three stories to be used to promote the program.</w:t>
                  </w:r>
                </w:p>
              </w:txbxContent>
            </v:textbox>
            <w10:wrap type="square" anchorx="page" anchory="page"/>
          </v:shape>
        </w:pict>
      </w:r>
      <w:r>
        <w:pict w14:anchorId="71581E5D">
          <v:shape id="_x0000_s1038" type="#_x0000_t202" style="position:absolute;margin-left:78pt;margin-top:661.75pt;width:75.35pt;height:25.35pt;z-index:-251651072;mso-wrap-distance-left:0;mso-wrap-distance-right:0;mso-position-horizontal-relative:page;mso-position-vertical-relative:page" filled="f" stroked="f">
            <v:textbox inset="0,0,0,0">
              <w:txbxContent>
                <w:p w14:paraId="71581E82" w14:textId="77777777" w:rsidR="008F51B0" w:rsidRDefault="00767328">
                  <w:pPr>
                    <w:spacing w:line="251" w:lineRule="exact"/>
                    <w:textAlignment w:val="baseline"/>
                    <w:rPr>
                      <w:rFonts w:ascii="Corbel" w:eastAsia="Corbel" w:hAnsi="Corbel"/>
                      <w:b/>
                      <w:color w:val="000000"/>
                      <w:sz w:val="21"/>
                    </w:rPr>
                  </w:pPr>
                  <w:r>
                    <w:rPr>
                      <w:rFonts w:ascii="Corbel" w:eastAsia="Corbel" w:hAnsi="Corbel"/>
                      <w:b/>
                      <w:color w:val="000000"/>
                      <w:sz w:val="21"/>
                    </w:rPr>
                    <w:t>Commonwealth Investment ($)</w:t>
                  </w:r>
                </w:p>
              </w:txbxContent>
            </v:textbox>
            <w10:wrap type="square" anchorx="page" anchory="page"/>
          </v:shape>
        </w:pict>
      </w:r>
      <w:r>
        <w:pict w14:anchorId="71581E5E">
          <v:shape id="_x0000_s1037" type="#_x0000_t202" style="position:absolute;margin-left:177.6pt;margin-top:695.1pt;width:109.9pt;height:12.65pt;z-index:-251650048;mso-wrap-distance-left:0;mso-wrap-distance-right:0;mso-position-horizontal-relative:page;mso-position-vertical-relative:page" filled="f" stroked="f">
            <v:textbox inset="0,0,0,0">
              <w:txbxContent>
                <w:p w14:paraId="71581E83" w14:textId="77777777" w:rsidR="008F51B0" w:rsidRDefault="00767328">
                  <w:pPr>
                    <w:spacing w:before="12" w:line="226" w:lineRule="exact"/>
                    <w:textAlignment w:val="baseline"/>
                    <w:rPr>
                      <w:rFonts w:ascii="Corbel" w:eastAsia="Corbel" w:hAnsi="Corbel"/>
                      <w:color w:val="000000"/>
                      <w:spacing w:val="-3"/>
                      <w:sz w:val="21"/>
                    </w:rPr>
                  </w:pPr>
                  <w:r>
                    <w:rPr>
                      <w:rFonts w:ascii="Corbel" w:eastAsia="Corbel" w:hAnsi="Corbel"/>
                      <w:color w:val="000000"/>
                      <w:spacing w:val="-3"/>
                      <w:sz w:val="21"/>
                    </w:rPr>
                    <w:t>N/A – as per Clause A106</w:t>
                  </w:r>
                </w:p>
              </w:txbxContent>
            </v:textbox>
            <w10:wrap type="square" anchorx="page" anchory="page"/>
          </v:shape>
        </w:pict>
      </w:r>
      <w:r>
        <w:pict w14:anchorId="71581E5F">
          <v:shape id="_x0000_s1036" type="#_x0000_t202" style="position:absolute;margin-left:193.9pt;margin-top:669.2pt;width:96.75pt;height:11.9pt;z-index:-251649024;mso-wrap-distance-left:0;mso-wrap-distance-right:0;mso-position-horizontal-relative:page;mso-position-vertical-relative:page" filled="f" stroked="f">
            <v:textbox inset="0,0,0,0">
              <w:txbxContent>
                <w:p w14:paraId="71581E84" w14:textId="77777777" w:rsidR="008F51B0" w:rsidRDefault="00767328">
                  <w:pPr>
                    <w:spacing w:before="12" w:line="212" w:lineRule="exact"/>
                    <w:textAlignment w:val="baseline"/>
                    <w:rPr>
                      <w:rFonts w:ascii="Corbel" w:eastAsia="Corbel" w:hAnsi="Corbel"/>
                      <w:b/>
                      <w:color w:val="000000"/>
                      <w:spacing w:val="-2"/>
                      <w:sz w:val="21"/>
                    </w:rPr>
                  </w:pPr>
                  <w:r>
                    <w:rPr>
                      <w:rFonts w:ascii="Corbel" w:eastAsia="Corbel" w:hAnsi="Corbel"/>
                      <w:b/>
                      <w:color w:val="000000"/>
                      <w:spacing w:val="-2"/>
                      <w:sz w:val="21"/>
                    </w:rPr>
                    <w:t>State Investment ($)</w:t>
                  </w:r>
                </w:p>
              </w:txbxContent>
            </v:textbox>
            <w10:wrap type="square" anchorx="page" anchory="page"/>
          </v:shape>
        </w:pict>
      </w:r>
      <w:r>
        <w:pict w14:anchorId="71581E60">
          <v:shape id="_x0000_s1035" type="#_x0000_t202" style="position:absolute;margin-left:321.85pt;margin-top:669.2pt;width:89.25pt;height:11.7pt;z-index:-251648000;mso-wrap-distance-left:0;mso-wrap-distance-right:0;mso-position-horizontal-relative:page;mso-position-vertical-relative:page" filled="f" stroked="f">
            <v:textbox inset="0,0,0,0">
              <w:txbxContent>
                <w:p w14:paraId="71581E85" w14:textId="77777777" w:rsidR="008F51B0" w:rsidRDefault="00767328">
                  <w:pPr>
                    <w:spacing w:before="12" w:line="212" w:lineRule="exact"/>
                    <w:textAlignment w:val="baseline"/>
                    <w:rPr>
                      <w:rFonts w:ascii="Corbel" w:eastAsia="Corbel" w:hAnsi="Corbel"/>
                      <w:b/>
                      <w:color w:val="000000"/>
                      <w:spacing w:val="-4"/>
                      <w:sz w:val="21"/>
                    </w:rPr>
                  </w:pPr>
                  <w:r>
                    <w:rPr>
                      <w:rFonts w:ascii="Corbel" w:eastAsia="Corbel" w:hAnsi="Corbel"/>
                      <w:b/>
                      <w:color w:val="000000"/>
                      <w:spacing w:val="-4"/>
                      <w:sz w:val="21"/>
                    </w:rPr>
                    <w:t>Planned Start Date</w:t>
                  </w:r>
                </w:p>
              </w:txbxContent>
            </v:textbox>
            <w10:wrap type="square" anchorx="page" anchory="page"/>
          </v:shape>
        </w:pict>
      </w:r>
      <w:r>
        <w:pict w14:anchorId="71581E61">
          <v:shape id="_x0000_s1034" type="#_x0000_t202" style="position:absolute;margin-left:430.8pt;margin-top:669.2pt;width:83.75pt;height:11.7pt;z-index:-251646976;mso-wrap-distance-left:0;mso-wrap-distance-right:0;mso-position-horizontal-relative:page;mso-position-vertical-relative:page" filled="f" stroked="f">
            <v:textbox inset="0,0,0,0">
              <w:txbxContent>
                <w:p w14:paraId="71581E86" w14:textId="77777777" w:rsidR="008F51B0" w:rsidRDefault="00767328">
                  <w:pPr>
                    <w:spacing w:before="12" w:line="212" w:lineRule="exact"/>
                    <w:textAlignment w:val="baseline"/>
                    <w:rPr>
                      <w:rFonts w:ascii="Corbel" w:eastAsia="Corbel" w:hAnsi="Corbel"/>
                      <w:b/>
                      <w:color w:val="000000"/>
                      <w:spacing w:val="-4"/>
                      <w:sz w:val="21"/>
                    </w:rPr>
                  </w:pPr>
                  <w:r>
                    <w:rPr>
                      <w:rFonts w:ascii="Corbel" w:eastAsia="Corbel" w:hAnsi="Corbel"/>
                      <w:b/>
                      <w:color w:val="000000"/>
                      <w:spacing w:val="-4"/>
                      <w:sz w:val="21"/>
                    </w:rPr>
                    <w:t>Planned End Date</w:t>
                  </w:r>
                </w:p>
              </w:txbxContent>
            </v:textbox>
            <w10:wrap type="square" anchorx="page" anchory="page"/>
          </v:shape>
        </w:pict>
      </w:r>
      <w:r>
        <w:pict w14:anchorId="71581E62">
          <v:shape id="_x0000_s1033" type="#_x0000_t202" style="position:absolute;margin-left:69.4pt;margin-top:778.95pt;width:457.9pt;height:28.05pt;z-index:-251645952;mso-wrap-distance-left:0;mso-wrap-distance-right:0;mso-position-horizontal-relative:page;mso-position-vertical-relative:page" filled="f" stroked="f">
            <v:textbox inset="0,0,0,0">
              <w:txbxContent>
                <w:p w14:paraId="71581E87" w14:textId="77777777" w:rsidR="008F51B0" w:rsidRDefault="00767328">
                  <w:pPr>
                    <w:spacing w:before="40" w:line="221" w:lineRule="exact"/>
                    <w:ind w:right="72"/>
                    <w:jc w:val="right"/>
                    <w:textAlignment w:val="baseline"/>
                    <w:rPr>
                      <w:rFonts w:ascii="Calibri" w:eastAsia="Calibri" w:hAnsi="Calibri"/>
                      <w:color w:val="000000"/>
                      <w:spacing w:val="17"/>
                    </w:rPr>
                  </w:pPr>
                  <w:r>
                    <w:rPr>
                      <w:rFonts w:ascii="Calibri" w:eastAsia="Calibri" w:hAnsi="Calibri"/>
                      <w:color w:val="000000"/>
                      <w:spacing w:val="17"/>
                    </w:rPr>
                    <w:t>6 |</w:t>
                  </w:r>
                  <w:r>
                    <w:rPr>
                      <w:rFonts w:ascii="Calibri" w:eastAsia="Calibri" w:hAnsi="Calibri"/>
                      <w:color w:val="7E7E7E"/>
                      <w:spacing w:val="17"/>
                    </w:rPr>
                    <w:t xml:space="preserve"> Page</w:t>
                  </w:r>
                </w:p>
                <w:p w14:paraId="71581E88" w14:textId="77777777" w:rsidR="008F51B0" w:rsidRDefault="00767328">
                  <w:pPr>
                    <w:spacing w:before="42" w:after="10" w:line="236" w:lineRule="exact"/>
                    <w:ind w:left="72"/>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txbxContent>
            </v:textbox>
            <w10:wrap type="square" anchorx="page" anchory="page"/>
          </v:shape>
        </w:pict>
      </w:r>
    </w:p>
    <w:p w14:paraId="71581DD5" w14:textId="77777777" w:rsidR="008F51B0" w:rsidRDefault="008F51B0">
      <w:pPr>
        <w:sectPr w:rsidR="008F51B0">
          <w:pgSz w:w="11909" w:h="16838"/>
          <w:pgMar w:top="672" w:right="1363" w:bottom="319" w:left="1388" w:header="720" w:footer="720" w:gutter="0"/>
          <w:cols w:space="720"/>
        </w:sectPr>
      </w:pPr>
    </w:p>
    <w:p w14:paraId="71581DD6" w14:textId="77777777" w:rsidR="008F51B0" w:rsidRDefault="00767328">
      <w:pPr>
        <w:spacing w:before="18" w:after="152" w:line="232" w:lineRule="exact"/>
        <w:ind w:left="72"/>
        <w:textAlignment w:val="baseline"/>
        <w:rPr>
          <w:rFonts w:ascii="Corbel" w:eastAsia="Corbel" w:hAnsi="Corbel"/>
          <w:b/>
          <w:color w:val="000000"/>
          <w:sz w:val="21"/>
        </w:rPr>
      </w:pPr>
      <w:r>
        <w:rPr>
          <w:rFonts w:ascii="Corbel" w:eastAsia="Corbel" w:hAnsi="Corbel"/>
          <w:b/>
          <w:color w:val="000000"/>
          <w:sz w:val="21"/>
        </w:rPr>
        <w:lastRenderedPageBreak/>
        <w:t>Performance Indicators</w:t>
      </w:r>
    </w:p>
    <w:p w14:paraId="71581DD7" w14:textId="77777777" w:rsidR="008F51B0" w:rsidRDefault="006565DD">
      <w:pPr>
        <w:spacing w:before="91" w:line="236" w:lineRule="exact"/>
        <w:ind w:left="178" w:right="34"/>
        <w:textAlignment w:val="baseline"/>
        <w:rPr>
          <w:rFonts w:ascii="Corbel" w:eastAsia="Corbel" w:hAnsi="Corbel"/>
          <w:color w:val="000000"/>
          <w:spacing w:val="3"/>
          <w:sz w:val="21"/>
        </w:rPr>
      </w:pPr>
      <w:r>
        <w:pict w14:anchorId="71581E63">
          <v:shape id="_x0000_s1032" type="#_x0000_t202" style="position:absolute;left:0;text-align:left;margin-left:68.8pt;margin-top:69.35pt;width:457.9pt;height:276.5pt;z-index:-251658240;mso-wrap-distance-left:0;mso-wrap-distance-right:0;mso-wrap-distance-bottom:12.3pt;mso-position-horizontal-relative:page;mso-position-vertical-relative:page" filled="f" stroked="f">
            <v:textbox inset="0,0,0,0">
              <w:txbxContent>
                <w:p w14:paraId="71581E89" w14:textId="77777777" w:rsidR="008F51B0" w:rsidRDefault="008F51B0">
                  <w:pPr>
                    <w:pBdr>
                      <w:top w:val="single" w:sz="5" w:space="0" w:color="000000"/>
                      <w:left w:val="single" w:sz="5" w:space="0" w:color="000000"/>
                      <w:bottom w:val="single" w:sz="5" w:space="12" w:color="000000"/>
                      <w:right w:val="single" w:sz="5" w:space="0" w:color="000000"/>
                    </w:pBdr>
                  </w:pPr>
                </w:p>
              </w:txbxContent>
            </v:textbox>
            <w10:wrap anchorx="page" anchory="page"/>
          </v:shape>
        </w:pict>
      </w:r>
      <w:r w:rsidR="00767328">
        <w:rPr>
          <w:rFonts w:ascii="Corbel" w:eastAsia="Corbel" w:hAnsi="Corbel"/>
          <w:color w:val="000000"/>
          <w:spacing w:val="3"/>
          <w:sz w:val="21"/>
        </w:rPr>
        <w:t>Tasmania will report on progress of foundations skills initiatives in accordance with the</w:t>
      </w:r>
    </w:p>
    <w:p w14:paraId="71581DD8" w14:textId="77777777" w:rsidR="008F51B0" w:rsidRDefault="00767328">
      <w:pPr>
        <w:spacing w:before="5" w:line="307" w:lineRule="exact"/>
        <w:ind w:left="178" w:right="682"/>
        <w:textAlignment w:val="baseline"/>
        <w:rPr>
          <w:rFonts w:ascii="Corbel" w:eastAsia="Corbel" w:hAnsi="Corbel"/>
          <w:color w:val="000000"/>
          <w:sz w:val="21"/>
        </w:rPr>
      </w:pPr>
      <w:r>
        <w:rPr>
          <w:rFonts w:ascii="Corbel" w:eastAsia="Corbel" w:hAnsi="Corbel"/>
          <w:color w:val="000000"/>
          <w:sz w:val="21"/>
        </w:rPr>
        <w:t>Milestones and Payments section including existing Department of State Growth (Skills Tasmania) reporting resources. Reporting will include quantitative and qualitative measures where appropriate and relevant, as available at reporting dates.</w:t>
      </w:r>
    </w:p>
    <w:p w14:paraId="71581DD9" w14:textId="77777777" w:rsidR="008F51B0" w:rsidRDefault="00767328">
      <w:pPr>
        <w:spacing w:before="196" w:line="236" w:lineRule="exact"/>
        <w:ind w:left="178" w:right="34"/>
        <w:textAlignment w:val="baseline"/>
        <w:rPr>
          <w:rFonts w:ascii="Corbel" w:eastAsia="Corbel" w:hAnsi="Corbel"/>
          <w:color w:val="000000"/>
          <w:sz w:val="21"/>
        </w:rPr>
      </w:pPr>
      <w:r>
        <w:rPr>
          <w:rFonts w:ascii="Corbel" w:eastAsia="Corbel" w:hAnsi="Corbel"/>
          <w:color w:val="000000"/>
          <w:sz w:val="21"/>
        </w:rPr>
        <w:t>Indicators will broadly include:</w:t>
      </w:r>
    </w:p>
    <w:p w14:paraId="71581DDA" w14:textId="77777777" w:rsidR="008F51B0" w:rsidRDefault="00767328">
      <w:pPr>
        <w:numPr>
          <w:ilvl w:val="0"/>
          <w:numId w:val="4"/>
        </w:numPr>
        <w:tabs>
          <w:tab w:val="clear" w:pos="360"/>
          <w:tab w:val="left" w:pos="898"/>
        </w:tabs>
        <w:spacing w:before="151" w:line="247" w:lineRule="exact"/>
        <w:ind w:left="898" w:right="34" w:hanging="360"/>
        <w:textAlignment w:val="baseline"/>
        <w:rPr>
          <w:rFonts w:ascii="Corbel" w:eastAsia="Corbel" w:hAnsi="Corbel"/>
          <w:color w:val="000000"/>
          <w:sz w:val="21"/>
        </w:rPr>
      </w:pPr>
      <w:r>
        <w:rPr>
          <w:rFonts w:ascii="Corbel" w:eastAsia="Corbel" w:hAnsi="Corbel"/>
          <w:color w:val="000000"/>
          <w:sz w:val="21"/>
        </w:rPr>
        <w:t>Number of applicants</w:t>
      </w:r>
    </w:p>
    <w:p w14:paraId="71581DDB" w14:textId="77777777" w:rsidR="008F51B0" w:rsidRDefault="00767328">
      <w:pPr>
        <w:numPr>
          <w:ilvl w:val="0"/>
          <w:numId w:val="4"/>
        </w:numPr>
        <w:tabs>
          <w:tab w:val="clear" w:pos="360"/>
          <w:tab w:val="left" w:pos="898"/>
        </w:tabs>
        <w:spacing w:before="32" w:line="247" w:lineRule="exact"/>
        <w:ind w:left="898" w:right="34" w:hanging="360"/>
        <w:textAlignment w:val="baseline"/>
        <w:rPr>
          <w:rFonts w:ascii="Corbel" w:eastAsia="Corbel" w:hAnsi="Corbel"/>
          <w:color w:val="000000"/>
          <w:sz w:val="21"/>
        </w:rPr>
      </w:pPr>
      <w:r>
        <w:rPr>
          <w:rFonts w:ascii="Corbel" w:eastAsia="Corbel" w:hAnsi="Corbel"/>
          <w:color w:val="000000"/>
          <w:sz w:val="21"/>
        </w:rPr>
        <w:t>Number of first-time applicants</w:t>
      </w:r>
    </w:p>
    <w:p w14:paraId="71581DDC" w14:textId="77777777" w:rsidR="008F51B0" w:rsidRDefault="00767328">
      <w:pPr>
        <w:numPr>
          <w:ilvl w:val="0"/>
          <w:numId w:val="4"/>
        </w:numPr>
        <w:tabs>
          <w:tab w:val="clear" w:pos="360"/>
          <w:tab w:val="left" w:pos="898"/>
        </w:tabs>
        <w:spacing w:before="36" w:line="247" w:lineRule="exact"/>
        <w:ind w:left="898" w:right="34" w:hanging="360"/>
        <w:textAlignment w:val="baseline"/>
        <w:rPr>
          <w:rFonts w:ascii="Corbel" w:eastAsia="Corbel" w:hAnsi="Corbel"/>
          <w:color w:val="000000"/>
          <w:spacing w:val="4"/>
          <w:sz w:val="21"/>
        </w:rPr>
      </w:pPr>
      <w:r>
        <w:rPr>
          <w:rFonts w:ascii="Corbel" w:eastAsia="Corbel" w:hAnsi="Corbel"/>
          <w:color w:val="000000"/>
          <w:spacing w:val="4"/>
          <w:sz w:val="21"/>
        </w:rPr>
        <w:t>Number of previous recipients of ‘Get Ready’ grants successfully applying for a grant</w:t>
      </w:r>
    </w:p>
    <w:p w14:paraId="71581DDD" w14:textId="77777777" w:rsidR="008F51B0" w:rsidRDefault="00767328">
      <w:pPr>
        <w:numPr>
          <w:ilvl w:val="0"/>
          <w:numId w:val="4"/>
        </w:numPr>
        <w:tabs>
          <w:tab w:val="clear" w:pos="360"/>
          <w:tab w:val="left" w:pos="898"/>
        </w:tabs>
        <w:spacing w:before="31" w:line="247" w:lineRule="exact"/>
        <w:ind w:left="898" w:right="34" w:hanging="360"/>
        <w:textAlignment w:val="baseline"/>
        <w:rPr>
          <w:rFonts w:ascii="Corbel" w:eastAsia="Corbel" w:hAnsi="Corbel"/>
          <w:color w:val="000000"/>
          <w:sz w:val="21"/>
        </w:rPr>
      </w:pPr>
      <w:r>
        <w:rPr>
          <w:rFonts w:ascii="Corbel" w:eastAsia="Corbel" w:hAnsi="Corbel"/>
          <w:color w:val="000000"/>
          <w:sz w:val="21"/>
        </w:rPr>
        <w:t>Number of grants awarded</w:t>
      </w:r>
    </w:p>
    <w:p w14:paraId="71581DDE" w14:textId="77777777" w:rsidR="008F51B0" w:rsidRDefault="00767328">
      <w:pPr>
        <w:numPr>
          <w:ilvl w:val="0"/>
          <w:numId w:val="6"/>
        </w:numPr>
        <w:tabs>
          <w:tab w:val="clear" w:pos="360"/>
          <w:tab w:val="left" w:pos="1618"/>
        </w:tabs>
        <w:spacing w:before="33" w:line="236" w:lineRule="exact"/>
        <w:ind w:left="1618" w:right="34" w:hanging="360"/>
        <w:textAlignment w:val="baseline"/>
        <w:rPr>
          <w:rFonts w:ascii="Corbel" w:eastAsia="Corbel" w:hAnsi="Corbel"/>
          <w:color w:val="000000"/>
          <w:spacing w:val="3"/>
          <w:sz w:val="21"/>
        </w:rPr>
      </w:pPr>
      <w:r>
        <w:rPr>
          <w:rFonts w:ascii="Corbel" w:eastAsia="Corbel" w:hAnsi="Corbel"/>
          <w:color w:val="000000"/>
          <w:spacing w:val="3"/>
          <w:sz w:val="21"/>
        </w:rPr>
        <w:t>currently 10-11 per year over the period 2020-2024</w:t>
      </w:r>
    </w:p>
    <w:p w14:paraId="71581DDF" w14:textId="77777777" w:rsidR="008F51B0" w:rsidRDefault="00767328">
      <w:pPr>
        <w:numPr>
          <w:ilvl w:val="0"/>
          <w:numId w:val="4"/>
        </w:numPr>
        <w:tabs>
          <w:tab w:val="clear" w:pos="360"/>
          <w:tab w:val="left" w:pos="898"/>
        </w:tabs>
        <w:spacing w:before="32" w:line="247" w:lineRule="exact"/>
        <w:ind w:left="898" w:right="34" w:hanging="360"/>
        <w:textAlignment w:val="baseline"/>
        <w:rPr>
          <w:rFonts w:ascii="Corbel" w:eastAsia="Corbel" w:hAnsi="Corbel"/>
          <w:color w:val="000000"/>
          <w:sz w:val="21"/>
        </w:rPr>
      </w:pPr>
      <w:r>
        <w:rPr>
          <w:rFonts w:ascii="Corbel" w:eastAsia="Corbel" w:hAnsi="Corbel"/>
          <w:color w:val="000000"/>
          <w:sz w:val="21"/>
        </w:rPr>
        <w:t>Number of participants</w:t>
      </w:r>
    </w:p>
    <w:p w14:paraId="71581DE0" w14:textId="77777777" w:rsidR="008F51B0" w:rsidRDefault="00767328">
      <w:pPr>
        <w:numPr>
          <w:ilvl w:val="0"/>
          <w:numId w:val="6"/>
        </w:numPr>
        <w:tabs>
          <w:tab w:val="clear" w:pos="360"/>
          <w:tab w:val="left" w:pos="1618"/>
        </w:tabs>
        <w:spacing w:line="268" w:lineRule="exact"/>
        <w:ind w:left="1618" w:right="538" w:hanging="360"/>
        <w:jc w:val="both"/>
        <w:textAlignment w:val="baseline"/>
        <w:rPr>
          <w:rFonts w:ascii="Corbel" w:eastAsia="Corbel" w:hAnsi="Corbel"/>
          <w:color w:val="000000"/>
          <w:sz w:val="21"/>
        </w:rPr>
      </w:pPr>
      <w:r>
        <w:rPr>
          <w:rFonts w:ascii="Corbel" w:eastAsia="Corbel" w:hAnsi="Corbel"/>
          <w:color w:val="000000"/>
          <w:sz w:val="21"/>
        </w:rPr>
        <w:t>currently approximately 20 per workplace over the period 2020-204; however, this information can only be obtained on the receipt of a project’s final report, which may have a 12-month or more delay</w:t>
      </w:r>
    </w:p>
    <w:p w14:paraId="71581DE1" w14:textId="77777777" w:rsidR="008F51B0" w:rsidRDefault="00767328">
      <w:pPr>
        <w:numPr>
          <w:ilvl w:val="0"/>
          <w:numId w:val="4"/>
        </w:numPr>
        <w:tabs>
          <w:tab w:val="clear" w:pos="360"/>
          <w:tab w:val="left" w:pos="898"/>
        </w:tabs>
        <w:spacing w:before="36" w:line="247" w:lineRule="exact"/>
        <w:ind w:left="898" w:right="34" w:hanging="360"/>
        <w:jc w:val="both"/>
        <w:textAlignment w:val="baseline"/>
        <w:rPr>
          <w:rFonts w:ascii="Corbel" w:eastAsia="Corbel" w:hAnsi="Corbel"/>
          <w:color w:val="000000"/>
          <w:spacing w:val="3"/>
          <w:sz w:val="21"/>
        </w:rPr>
      </w:pPr>
      <w:r>
        <w:rPr>
          <w:rFonts w:ascii="Corbel" w:eastAsia="Corbel" w:hAnsi="Corbel"/>
          <w:color w:val="000000"/>
          <w:spacing w:val="3"/>
          <w:sz w:val="21"/>
        </w:rPr>
        <w:t>Employer satisfaction (qualitative)</w:t>
      </w:r>
    </w:p>
    <w:p w14:paraId="71581DE2" w14:textId="77777777" w:rsidR="008F51B0" w:rsidRDefault="00767328">
      <w:pPr>
        <w:numPr>
          <w:ilvl w:val="0"/>
          <w:numId w:val="4"/>
        </w:numPr>
        <w:tabs>
          <w:tab w:val="clear" w:pos="360"/>
          <w:tab w:val="left" w:pos="898"/>
        </w:tabs>
        <w:spacing w:before="32" w:line="247" w:lineRule="exact"/>
        <w:ind w:left="898" w:right="34" w:hanging="360"/>
        <w:jc w:val="both"/>
        <w:textAlignment w:val="baseline"/>
        <w:rPr>
          <w:rFonts w:ascii="Corbel" w:eastAsia="Corbel" w:hAnsi="Corbel"/>
          <w:color w:val="000000"/>
          <w:sz w:val="21"/>
        </w:rPr>
      </w:pPr>
      <w:r>
        <w:rPr>
          <w:rFonts w:ascii="Corbel" w:eastAsia="Corbel" w:hAnsi="Corbel"/>
          <w:color w:val="000000"/>
          <w:sz w:val="21"/>
        </w:rPr>
        <w:t>Employee benefits (qualitative)</w:t>
      </w:r>
    </w:p>
    <w:p w14:paraId="71581DE3" w14:textId="77777777" w:rsidR="008F51B0" w:rsidRDefault="00767328">
      <w:pPr>
        <w:numPr>
          <w:ilvl w:val="0"/>
          <w:numId w:val="4"/>
        </w:numPr>
        <w:tabs>
          <w:tab w:val="clear" w:pos="360"/>
          <w:tab w:val="left" w:pos="898"/>
        </w:tabs>
        <w:spacing w:before="9" w:after="385" w:line="269" w:lineRule="exact"/>
        <w:ind w:left="898" w:right="1042" w:hanging="360"/>
        <w:jc w:val="both"/>
        <w:textAlignment w:val="baseline"/>
        <w:rPr>
          <w:rFonts w:ascii="Corbel" w:eastAsia="Corbel" w:hAnsi="Corbel"/>
          <w:color w:val="000000"/>
          <w:sz w:val="21"/>
        </w:rPr>
      </w:pPr>
      <w:r>
        <w:rPr>
          <w:rFonts w:ascii="Corbel" w:eastAsia="Corbel" w:hAnsi="Corbel"/>
          <w:color w:val="000000"/>
          <w:sz w:val="21"/>
        </w:rPr>
        <w:t xml:space="preserve">Changes in participants’ literacy and numeracy levels </w:t>
      </w:r>
      <w:r>
        <w:rPr>
          <w:rFonts w:ascii="Corbel" w:eastAsia="Corbel" w:hAnsi="Corbel"/>
          <w:i/>
          <w:color w:val="000000"/>
        </w:rPr>
        <w:t>(Further work to be done to determine what data can be provided with respect to this indicator)</w:t>
      </w:r>
    </w:p>
    <w:p w14:paraId="71581DE4" w14:textId="77777777" w:rsidR="008F51B0" w:rsidRDefault="00767328">
      <w:pPr>
        <w:spacing w:before="12" w:after="149" w:line="236" w:lineRule="exact"/>
        <w:ind w:left="144"/>
        <w:textAlignment w:val="baseline"/>
        <w:rPr>
          <w:rFonts w:ascii="Corbel" w:eastAsia="Corbel" w:hAnsi="Corbel"/>
          <w:b/>
          <w:color w:val="000000"/>
          <w:sz w:val="21"/>
        </w:rPr>
      </w:pPr>
      <w:r>
        <w:rPr>
          <w:rFonts w:ascii="Corbel" w:eastAsia="Corbel" w:hAnsi="Corbel"/>
          <w:b/>
          <w:color w:val="000000"/>
          <w:sz w:val="21"/>
        </w:rPr>
        <w:t>Evaluation arrangements</w:t>
      </w:r>
    </w:p>
    <w:tbl>
      <w:tblPr>
        <w:tblW w:w="0" w:type="auto"/>
        <w:tblLayout w:type="fixed"/>
        <w:tblCellMar>
          <w:left w:w="0" w:type="dxa"/>
          <w:right w:w="0" w:type="dxa"/>
        </w:tblCellMar>
        <w:tblLook w:val="04A0" w:firstRow="1" w:lastRow="0" w:firstColumn="1" w:lastColumn="0" w:noHBand="0" w:noVBand="1"/>
      </w:tblPr>
      <w:tblGrid>
        <w:gridCol w:w="9158"/>
      </w:tblGrid>
      <w:tr w:rsidR="008F51B0" w14:paraId="71581DED" w14:textId="77777777">
        <w:trPr>
          <w:trHeight w:hRule="exact" w:val="5117"/>
        </w:trPr>
        <w:tc>
          <w:tcPr>
            <w:tcW w:w="9158" w:type="dxa"/>
            <w:tcBorders>
              <w:top w:val="single" w:sz="5" w:space="0" w:color="000000"/>
              <w:left w:val="single" w:sz="5" w:space="0" w:color="000000"/>
              <w:bottom w:val="single" w:sz="5" w:space="0" w:color="000000"/>
              <w:right w:val="single" w:sz="5" w:space="0" w:color="000000"/>
            </w:tcBorders>
          </w:tcPr>
          <w:p w14:paraId="71581DE5" w14:textId="77777777" w:rsidR="008F51B0" w:rsidRDefault="00767328">
            <w:pPr>
              <w:spacing w:before="43" w:line="269" w:lineRule="exact"/>
              <w:ind w:left="144" w:right="144"/>
              <w:jc w:val="both"/>
              <w:textAlignment w:val="baseline"/>
              <w:rPr>
                <w:rFonts w:ascii="Corbel" w:eastAsia="Corbel" w:hAnsi="Corbel"/>
                <w:color w:val="000000"/>
                <w:sz w:val="21"/>
              </w:rPr>
            </w:pPr>
            <w:r>
              <w:rPr>
                <w:rFonts w:ascii="Corbel" w:eastAsia="Corbel" w:hAnsi="Corbel"/>
                <w:color w:val="000000"/>
                <w:sz w:val="21"/>
              </w:rPr>
              <w:t>The Department of State Growth (Skills Tasmania) will adhere to best practice evaluation requirements as established by the Tasmanian Government’s Department of Treasury and Finance.</w:t>
            </w:r>
          </w:p>
          <w:p w14:paraId="71581DE6" w14:textId="77777777" w:rsidR="008F51B0" w:rsidRDefault="00767328">
            <w:pPr>
              <w:spacing w:before="153" w:line="236" w:lineRule="exact"/>
              <w:ind w:left="144"/>
              <w:textAlignment w:val="baseline"/>
              <w:rPr>
                <w:rFonts w:ascii="Corbel" w:eastAsia="Corbel" w:hAnsi="Corbel"/>
                <w:color w:val="000000"/>
                <w:sz w:val="21"/>
              </w:rPr>
            </w:pPr>
            <w:r>
              <w:rPr>
                <w:rFonts w:ascii="Corbel" w:eastAsia="Corbel" w:hAnsi="Corbel"/>
                <w:color w:val="000000"/>
                <w:sz w:val="21"/>
              </w:rPr>
              <w:t>Key legislation includes:</w:t>
            </w:r>
          </w:p>
          <w:p w14:paraId="71581DE7" w14:textId="77777777" w:rsidR="008F51B0" w:rsidRDefault="00767328">
            <w:pPr>
              <w:numPr>
                <w:ilvl w:val="0"/>
                <w:numId w:val="4"/>
              </w:numPr>
              <w:tabs>
                <w:tab w:val="clear" w:pos="360"/>
                <w:tab w:val="left" w:pos="936"/>
              </w:tabs>
              <w:spacing w:before="153" w:line="250" w:lineRule="exact"/>
              <w:ind w:left="576"/>
              <w:textAlignment w:val="baseline"/>
              <w:rPr>
                <w:rFonts w:ascii="Corbel" w:eastAsia="Corbel" w:hAnsi="Corbel"/>
                <w:color w:val="000000"/>
                <w:spacing w:val="-1"/>
                <w:sz w:val="21"/>
              </w:rPr>
            </w:pPr>
            <w:r>
              <w:rPr>
                <w:rFonts w:ascii="Corbel" w:eastAsia="Corbel" w:hAnsi="Corbel"/>
                <w:color w:val="000000"/>
                <w:spacing w:val="-1"/>
                <w:sz w:val="21"/>
              </w:rPr>
              <w:t xml:space="preserve">The </w:t>
            </w:r>
            <w:r>
              <w:rPr>
                <w:rFonts w:ascii="Corbel" w:eastAsia="Corbel" w:hAnsi="Corbel"/>
                <w:i/>
                <w:color w:val="000000"/>
                <w:spacing w:val="-1"/>
              </w:rPr>
              <w:t>Financial Management Act 2016</w:t>
            </w:r>
          </w:p>
          <w:p w14:paraId="71581DE8" w14:textId="77777777" w:rsidR="008F51B0" w:rsidRDefault="00767328">
            <w:pPr>
              <w:numPr>
                <w:ilvl w:val="0"/>
                <w:numId w:val="4"/>
              </w:numPr>
              <w:tabs>
                <w:tab w:val="clear" w:pos="360"/>
                <w:tab w:val="left" w:pos="936"/>
              </w:tabs>
              <w:spacing w:before="148" w:line="250" w:lineRule="exact"/>
              <w:ind w:left="576"/>
              <w:textAlignment w:val="baseline"/>
              <w:rPr>
                <w:rFonts w:ascii="Corbel" w:eastAsia="Corbel" w:hAnsi="Corbel"/>
                <w:color w:val="000000"/>
                <w:spacing w:val="-1"/>
                <w:sz w:val="21"/>
              </w:rPr>
            </w:pPr>
            <w:r>
              <w:rPr>
                <w:rFonts w:ascii="Corbel" w:eastAsia="Corbel" w:hAnsi="Corbel"/>
                <w:color w:val="000000"/>
                <w:spacing w:val="-1"/>
                <w:sz w:val="21"/>
              </w:rPr>
              <w:t xml:space="preserve">The </w:t>
            </w:r>
            <w:r>
              <w:rPr>
                <w:rFonts w:ascii="Corbel" w:eastAsia="Corbel" w:hAnsi="Corbel"/>
                <w:i/>
                <w:color w:val="000000"/>
                <w:spacing w:val="-1"/>
              </w:rPr>
              <w:t>Training and Workforce Development Act 2013</w:t>
            </w:r>
          </w:p>
          <w:p w14:paraId="71581DE9" w14:textId="77777777" w:rsidR="008F51B0" w:rsidRDefault="00767328">
            <w:pPr>
              <w:numPr>
                <w:ilvl w:val="0"/>
                <w:numId w:val="4"/>
              </w:numPr>
              <w:tabs>
                <w:tab w:val="clear" w:pos="360"/>
                <w:tab w:val="left" w:pos="936"/>
              </w:tabs>
              <w:spacing w:before="149" w:line="250" w:lineRule="exact"/>
              <w:ind w:left="576"/>
              <w:textAlignment w:val="baseline"/>
              <w:rPr>
                <w:rFonts w:ascii="Corbel" w:eastAsia="Corbel" w:hAnsi="Corbel"/>
                <w:color w:val="000000"/>
                <w:spacing w:val="-1"/>
                <w:sz w:val="21"/>
              </w:rPr>
            </w:pPr>
            <w:r>
              <w:rPr>
                <w:rFonts w:ascii="Corbel" w:eastAsia="Corbel" w:hAnsi="Corbel"/>
                <w:color w:val="000000"/>
                <w:spacing w:val="-1"/>
                <w:sz w:val="21"/>
              </w:rPr>
              <w:t xml:space="preserve">The </w:t>
            </w:r>
            <w:proofErr w:type="spellStart"/>
            <w:r>
              <w:rPr>
                <w:rFonts w:ascii="Corbel" w:eastAsia="Corbel" w:hAnsi="Corbel"/>
                <w:i/>
                <w:color w:val="000000"/>
                <w:spacing w:val="-1"/>
              </w:rPr>
              <w:t>TasTAFE</w:t>
            </w:r>
            <w:proofErr w:type="spellEnd"/>
            <w:r>
              <w:rPr>
                <w:rFonts w:ascii="Corbel" w:eastAsia="Corbel" w:hAnsi="Corbel"/>
                <w:i/>
                <w:color w:val="000000"/>
                <w:spacing w:val="-1"/>
              </w:rPr>
              <w:t xml:space="preserve"> (Skills and Training Business) Act 2021</w:t>
            </w:r>
          </w:p>
          <w:p w14:paraId="71581DEA" w14:textId="77777777" w:rsidR="008F51B0" w:rsidRDefault="00767328">
            <w:pPr>
              <w:numPr>
                <w:ilvl w:val="0"/>
                <w:numId w:val="4"/>
              </w:numPr>
              <w:tabs>
                <w:tab w:val="clear" w:pos="360"/>
                <w:tab w:val="left" w:pos="936"/>
              </w:tabs>
              <w:spacing w:before="156" w:line="247" w:lineRule="exact"/>
              <w:ind w:left="576"/>
              <w:textAlignment w:val="baseline"/>
              <w:rPr>
                <w:rFonts w:ascii="Corbel" w:eastAsia="Corbel" w:hAnsi="Corbel"/>
                <w:color w:val="000000"/>
                <w:spacing w:val="2"/>
                <w:sz w:val="21"/>
              </w:rPr>
            </w:pPr>
            <w:r>
              <w:rPr>
                <w:rFonts w:ascii="Corbel" w:eastAsia="Corbel" w:hAnsi="Corbel"/>
                <w:color w:val="000000"/>
                <w:spacing w:val="2"/>
                <w:sz w:val="21"/>
              </w:rPr>
              <w:t>Other requirements under the Tasmanian Treasurer’s Instructions</w:t>
            </w:r>
          </w:p>
          <w:p w14:paraId="71581DEB" w14:textId="77777777" w:rsidR="008F51B0" w:rsidRDefault="00767328">
            <w:pPr>
              <w:spacing w:before="123" w:line="268" w:lineRule="exact"/>
              <w:ind w:left="144" w:right="144"/>
              <w:jc w:val="both"/>
              <w:textAlignment w:val="baseline"/>
              <w:rPr>
                <w:rFonts w:ascii="Corbel" w:eastAsia="Corbel" w:hAnsi="Corbel"/>
                <w:color w:val="000000"/>
                <w:spacing w:val="3"/>
                <w:sz w:val="21"/>
              </w:rPr>
            </w:pPr>
            <w:r>
              <w:rPr>
                <w:rFonts w:ascii="Corbel" w:eastAsia="Corbel" w:hAnsi="Corbel"/>
                <w:color w:val="000000"/>
                <w:spacing w:val="3"/>
                <w:sz w:val="21"/>
              </w:rPr>
              <w:t>The Department of State Growth (Skills Tasmania) operates under a grant management framework that covers the full end to end process of offering and administering grants. The grant management framework aims to facilitate compliant, efficient, consistent, timely and valuable grant programs that benefit recipients and the broader Tasmanian community and economy.</w:t>
            </w:r>
          </w:p>
          <w:p w14:paraId="71581DEC" w14:textId="77777777" w:rsidR="008F51B0" w:rsidRDefault="00767328">
            <w:pPr>
              <w:spacing w:before="123" w:after="119" w:line="267" w:lineRule="exact"/>
              <w:ind w:left="144" w:right="288"/>
              <w:textAlignment w:val="baseline"/>
              <w:rPr>
                <w:rFonts w:ascii="Corbel" w:eastAsia="Corbel" w:hAnsi="Corbel"/>
                <w:color w:val="000000"/>
                <w:sz w:val="21"/>
              </w:rPr>
            </w:pPr>
            <w:r>
              <w:rPr>
                <w:rFonts w:ascii="Corbel" w:eastAsia="Corbel" w:hAnsi="Corbel"/>
                <w:color w:val="000000"/>
                <w:sz w:val="21"/>
              </w:rPr>
              <w:t>Foundation skills initiatives will be evaluated two years after commencement of the program. The review will examine the extent to which activities are addressing the policy intent. This may result in an adjustment of the program to improve the potential for successful student outcomes or in response to new evidence or emerging priorities.</w:t>
            </w:r>
          </w:p>
        </w:tc>
      </w:tr>
    </w:tbl>
    <w:p w14:paraId="71581DEE" w14:textId="77777777" w:rsidR="008F51B0" w:rsidRDefault="008F51B0">
      <w:pPr>
        <w:spacing w:after="437" w:line="20" w:lineRule="exact"/>
      </w:pPr>
    </w:p>
    <w:p w14:paraId="71581DEF" w14:textId="77777777" w:rsidR="008F51B0" w:rsidRDefault="00767328">
      <w:pPr>
        <w:spacing w:before="12" w:after="177" w:line="236" w:lineRule="exact"/>
        <w:ind w:left="144"/>
        <w:textAlignment w:val="baseline"/>
        <w:rPr>
          <w:rFonts w:ascii="Corbel" w:eastAsia="Corbel" w:hAnsi="Corbel"/>
          <w:color w:val="000000"/>
          <w:spacing w:val="3"/>
          <w:sz w:val="21"/>
        </w:rPr>
      </w:pPr>
      <w:r>
        <w:rPr>
          <w:rFonts w:ascii="Corbel" w:eastAsia="Corbel" w:hAnsi="Corbel"/>
          <w:color w:val="000000"/>
          <w:spacing w:val="3"/>
          <w:sz w:val="21"/>
        </w:rPr>
        <w:t>Approach to Funding: Foundation Skills - estimated phasing of funding arrangements.</w:t>
      </w:r>
    </w:p>
    <w:tbl>
      <w:tblPr>
        <w:tblW w:w="0" w:type="auto"/>
        <w:tblInd w:w="64" w:type="dxa"/>
        <w:tblLayout w:type="fixed"/>
        <w:tblCellMar>
          <w:left w:w="0" w:type="dxa"/>
          <w:right w:w="0" w:type="dxa"/>
        </w:tblCellMar>
        <w:tblLook w:val="04A0" w:firstRow="1" w:lastRow="0" w:firstColumn="1" w:lastColumn="0" w:noHBand="0" w:noVBand="1"/>
      </w:tblPr>
      <w:tblGrid>
        <w:gridCol w:w="1507"/>
        <w:gridCol w:w="1503"/>
        <w:gridCol w:w="1502"/>
        <w:gridCol w:w="1502"/>
        <w:gridCol w:w="1503"/>
        <w:gridCol w:w="1512"/>
      </w:tblGrid>
      <w:tr w:rsidR="008F51B0" w14:paraId="71581DF6" w14:textId="77777777">
        <w:trPr>
          <w:trHeight w:hRule="exact" w:val="552"/>
        </w:trPr>
        <w:tc>
          <w:tcPr>
            <w:tcW w:w="1507" w:type="dxa"/>
            <w:tcBorders>
              <w:top w:val="single" w:sz="5" w:space="0" w:color="000000"/>
              <w:left w:val="single" w:sz="5" w:space="0" w:color="000000"/>
              <w:bottom w:val="single" w:sz="5" w:space="0" w:color="000000"/>
              <w:right w:val="single" w:sz="5" w:space="0" w:color="000000"/>
            </w:tcBorders>
          </w:tcPr>
          <w:p w14:paraId="71581DF0" w14:textId="77777777" w:rsidR="008F51B0" w:rsidRDefault="00767328">
            <w:pPr>
              <w:spacing w:after="9" w:line="269" w:lineRule="exact"/>
              <w:ind w:left="108"/>
              <w:textAlignment w:val="baseline"/>
              <w:rPr>
                <w:rFonts w:ascii="Corbel" w:eastAsia="Corbel" w:hAnsi="Corbel"/>
                <w:b/>
                <w:color w:val="000000"/>
                <w:sz w:val="21"/>
              </w:rPr>
            </w:pPr>
            <w:r>
              <w:rPr>
                <w:rFonts w:ascii="Corbel" w:eastAsia="Corbel" w:hAnsi="Corbel"/>
                <w:b/>
                <w:color w:val="000000"/>
                <w:sz w:val="21"/>
              </w:rPr>
              <w:t>Details of funding</w:t>
            </w:r>
          </w:p>
        </w:tc>
        <w:tc>
          <w:tcPr>
            <w:tcW w:w="1503" w:type="dxa"/>
            <w:tcBorders>
              <w:top w:val="single" w:sz="5" w:space="0" w:color="000000"/>
              <w:left w:val="single" w:sz="5" w:space="0" w:color="000000"/>
              <w:bottom w:val="single" w:sz="5" w:space="0" w:color="000000"/>
              <w:right w:val="single" w:sz="5" w:space="0" w:color="000000"/>
            </w:tcBorders>
          </w:tcPr>
          <w:p w14:paraId="71581DF1" w14:textId="77777777" w:rsidR="008F51B0" w:rsidRDefault="00767328">
            <w:pPr>
              <w:spacing w:before="33" w:after="282" w:line="232" w:lineRule="exact"/>
              <w:ind w:right="672"/>
              <w:jc w:val="right"/>
              <w:textAlignment w:val="baseline"/>
              <w:rPr>
                <w:rFonts w:ascii="Corbel" w:eastAsia="Corbel" w:hAnsi="Corbel"/>
                <w:b/>
                <w:color w:val="000000"/>
                <w:sz w:val="21"/>
              </w:rPr>
            </w:pPr>
            <w:r>
              <w:rPr>
                <w:rFonts w:ascii="Corbel" w:eastAsia="Corbel" w:hAnsi="Corbel"/>
                <w:b/>
                <w:color w:val="000000"/>
                <w:sz w:val="21"/>
              </w:rPr>
              <w:t>2025-26</w:t>
            </w:r>
          </w:p>
        </w:tc>
        <w:tc>
          <w:tcPr>
            <w:tcW w:w="1502" w:type="dxa"/>
            <w:tcBorders>
              <w:top w:val="single" w:sz="5" w:space="0" w:color="000000"/>
              <w:left w:val="single" w:sz="5" w:space="0" w:color="000000"/>
              <w:bottom w:val="single" w:sz="5" w:space="0" w:color="000000"/>
              <w:right w:val="single" w:sz="5" w:space="0" w:color="000000"/>
            </w:tcBorders>
          </w:tcPr>
          <w:p w14:paraId="71581DF2" w14:textId="77777777" w:rsidR="008F51B0" w:rsidRDefault="00767328">
            <w:pPr>
              <w:spacing w:before="33" w:after="282" w:line="232" w:lineRule="exact"/>
              <w:ind w:right="667"/>
              <w:jc w:val="right"/>
              <w:textAlignment w:val="baseline"/>
              <w:rPr>
                <w:rFonts w:ascii="Corbel" w:eastAsia="Corbel" w:hAnsi="Corbel"/>
                <w:b/>
                <w:color w:val="000000"/>
                <w:sz w:val="21"/>
              </w:rPr>
            </w:pPr>
            <w:r>
              <w:rPr>
                <w:rFonts w:ascii="Corbel" w:eastAsia="Corbel" w:hAnsi="Corbel"/>
                <w:b/>
                <w:color w:val="000000"/>
                <w:sz w:val="21"/>
              </w:rPr>
              <w:t>2026-27</w:t>
            </w:r>
          </w:p>
        </w:tc>
        <w:tc>
          <w:tcPr>
            <w:tcW w:w="1502" w:type="dxa"/>
            <w:tcBorders>
              <w:top w:val="single" w:sz="5" w:space="0" w:color="000000"/>
              <w:left w:val="single" w:sz="5" w:space="0" w:color="000000"/>
              <w:bottom w:val="single" w:sz="5" w:space="0" w:color="000000"/>
              <w:right w:val="single" w:sz="5" w:space="0" w:color="000000"/>
            </w:tcBorders>
          </w:tcPr>
          <w:p w14:paraId="71581DF3" w14:textId="77777777" w:rsidR="008F51B0" w:rsidRDefault="00767328">
            <w:pPr>
              <w:spacing w:before="33" w:after="282" w:line="232" w:lineRule="exact"/>
              <w:ind w:right="672"/>
              <w:jc w:val="right"/>
              <w:textAlignment w:val="baseline"/>
              <w:rPr>
                <w:rFonts w:ascii="Corbel" w:eastAsia="Corbel" w:hAnsi="Corbel"/>
                <w:b/>
                <w:color w:val="000000"/>
                <w:sz w:val="21"/>
              </w:rPr>
            </w:pPr>
            <w:r>
              <w:rPr>
                <w:rFonts w:ascii="Corbel" w:eastAsia="Corbel" w:hAnsi="Corbel"/>
                <w:b/>
                <w:color w:val="000000"/>
                <w:sz w:val="21"/>
              </w:rPr>
              <w:t>2027-28</w:t>
            </w:r>
          </w:p>
        </w:tc>
        <w:tc>
          <w:tcPr>
            <w:tcW w:w="1503" w:type="dxa"/>
            <w:tcBorders>
              <w:top w:val="single" w:sz="5" w:space="0" w:color="000000"/>
              <w:left w:val="single" w:sz="5" w:space="0" w:color="000000"/>
              <w:bottom w:val="single" w:sz="5" w:space="0" w:color="000000"/>
              <w:right w:val="single" w:sz="5" w:space="0" w:color="000000"/>
            </w:tcBorders>
          </w:tcPr>
          <w:p w14:paraId="71581DF4" w14:textId="77777777" w:rsidR="008F51B0" w:rsidRDefault="00767328">
            <w:pPr>
              <w:spacing w:before="33" w:after="282" w:line="232" w:lineRule="exact"/>
              <w:ind w:right="653"/>
              <w:jc w:val="right"/>
              <w:textAlignment w:val="baseline"/>
              <w:rPr>
                <w:rFonts w:ascii="Corbel" w:eastAsia="Corbel" w:hAnsi="Corbel"/>
                <w:b/>
                <w:color w:val="000000"/>
                <w:sz w:val="21"/>
              </w:rPr>
            </w:pPr>
            <w:r>
              <w:rPr>
                <w:rFonts w:ascii="Corbel" w:eastAsia="Corbel" w:hAnsi="Corbel"/>
                <w:b/>
                <w:color w:val="000000"/>
                <w:sz w:val="21"/>
              </w:rPr>
              <w:t>2028-29</w:t>
            </w:r>
          </w:p>
        </w:tc>
        <w:tc>
          <w:tcPr>
            <w:tcW w:w="1512" w:type="dxa"/>
            <w:tcBorders>
              <w:top w:val="single" w:sz="5" w:space="0" w:color="000000"/>
              <w:left w:val="single" w:sz="5" w:space="0" w:color="000000"/>
              <w:bottom w:val="single" w:sz="5" w:space="0" w:color="000000"/>
              <w:right w:val="single" w:sz="5" w:space="0" w:color="000000"/>
            </w:tcBorders>
          </w:tcPr>
          <w:p w14:paraId="71581DF5" w14:textId="77777777" w:rsidR="008F51B0" w:rsidRDefault="00767328">
            <w:pPr>
              <w:spacing w:before="33" w:after="282" w:line="232" w:lineRule="exact"/>
              <w:ind w:left="110"/>
              <w:textAlignment w:val="baseline"/>
              <w:rPr>
                <w:rFonts w:ascii="Corbel" w:eastAsia="Corbel" w:hAnsi="Corbel"/>
                <w:b/>
                <w:color w:val="000000"/>
                <w:sz w:val="21"/>
              </w:rPr>
            </w:pPr>
            <w:r>
              <w:rPr>
                <w:rFonts w:ascii="Corbel" w:eastAsia="Corbel" w:hAnsi="Corbel"/>
                <w:b/>
                <w:color w:val="000000"/>
                <w:sz w:val="21"/>
              </w:rPr>
              <w:t>Total</w:t>
            </w:r>
          </w:p>
        </w:tc>
      </w:tr>
      <w:tr w:rsidR="008F51B0" w14:paraId="71581DFE" w14:textId="77777777">
        <w:trPr>
          <w:trHeight w:hRule="exact" w:val="557"/>
        </w:trPr>
        <w:tc>
          <w:tcPr>
            <w:tcW w:w="1507" w:type="dxa"/>
            <w:tcBorders>
              <w:top w:val="single" w:sz="5" w:space="0" w:color="000000"/>
              <w:left w:val="single" w:sz="5" w:space="0" w:color="000000"/>
              <w:bottom w:val="single" w:sz="5" w:space="0" w:color="000000"/>
              <w:right w:val="single" w:sz="5" w:space="0" w:color="000000"/>
            </w:tcBorders>
          </w:tcPr>
          <w:p w14:paraId="71581DF7" w14:textId="77777777" w:rsidR="008F51B0" w:rsidRDefault="00767328">
            <w:pPr>
              <w:spacing w:line="234" w:lineRule="exact"/>
              <w:ind w:left="144"/>
              <w:textAlignment w:val="baseline"/>
              <w:rPr>
                <w:rFonts w:ascii="Corbel" w:eastAsia="Corbel" w:hAnsi="Corbel"/>
                <w:color w:val="000000"/>
                <w:sz w:val="21"/>
              </w:rPr>
            </w:pPr>
            <w:proofErr w:type="spellStart"/>
            <w:r>
              <w:rPr>
                <w:rFonts w:ascii="Corbel" w:eastAsia="Corbel" w:hAnsi="Corbel"/>
                <w:color w:val="000000"/>
                <w:sz w:val="21"/>
              </w:rPr>
              <w:t>Cwth</w:t>
            </w:r>
            <w:proofErr w:type="spellEnd"/>
          </w:p>
          <w:p w14:paraId="71581DF8" w14:textId="77777777" w:rsidR="008F51B0" w:rsidRDefault="00767328">
            <w:pPr>
              <w:spacing w:before="35" w:after="26" w:line="234" w:lineRule="exact"/>
              <w:ind w:left="144"/>
              <w:textAlignment w:val="baseline"/>
              <w:rPr>
                <w:rFonts w:ascii="Corbel" w:eastAsia="Corbel" w:hAnsi="Corbel"/>
                <w:color w:val="000000"/>
                <w:sz w:val="21"/>
              </w:rPr>
            </w:pPr>
            <w:r>
              <w:rPr>
                <w:rFonts w:ascii="Corbel" w:eastAsia="Corbel" w:hAnsi="Corbel"/>
                <w:color w:val="000000"/>
                <w:sz w:val="21"/>
              </w:rPr>
              <w:t>contribution</w:t>
            </w:r>
          </w:p>
        </w:tc>
        <w:tc>
          <w:tcPr>
            <w:tcW w:w="1503" w:type="dxa"/>
            <w:tcBorders>
              <w:top w:val="single" w:sz="5" w:space="0" w:color="000000"/>
              <w:left w:val="single" w:sz="5" w:space="0" w:color="000000"/>
              <w:bottom w:val="single" w:sz="5" w:space="0" w:color="000000"/>
              <w:right w:val="single" w:sz="5" w:space="0" w:color="000000"/>
            </w:tcBorders>
          </w:tcPr>
          <w:p w14:paraId="71581DF9" w14:textId="77777777" w:rsidR="008F51B0" w:rsidRDefault="00767328">
            <w:pPr>
              <w:spacing w:after="295" w:line="234" w:lineRule="exact"/>
              <w:ind w:right="672"/>
              <w:jc w:val="right"/>
              <w:textAlignment w:val="baseline"/>
              <w:rPr>
                <w:rFonts w:ascii="Corbel" w:eastAsia="Corbel" w:hAnsi="Corbel"/>
                <w:color w:val="000000"/>
                <w:sz w:val="21"/>
              </w:rPr>
            </w:pPr>
            <w:r>
              <w:rPr>
                <w:rFonts w:ascii="Corbel" w:eastAsia="Corbel" w:hAnsi="Corbel"/>
                <w:color w:val="000000"/>
                <w:sz w:val="21"/>
              </w:rPr>
              <w:t>590,000</w:t>
            </w:r>
          </w:p>
        </w:tc>
        <w:tc>
          <w:tcPr>
            <w:tcW w:w="1502" w:type="dxa"/>
            <w:tcBorders>
              <w:top w:val="single" w:sz="5" w:space="0" w:color="000000"/>
              <w:left w:val="single" w:sz="5" w:space="0" w:color="000000"/>
              <w:bottom w:val="single" w:sz="5" w:space="0" w:color="000000"/>
              <w:right w:val="single" w:sz="5" w:space="0" w:color="000000"/>
            </w:tcBorders>
          </w:tcPr>
          <w:p w14:paraId="71581DFA" w14:textId="77777777" w:rsidR="008F51B0" w:rsidRDefault="00767328">
            <w:pPr>
              <w:spacing w:after="295" w:line="234" w:lineRule="exact"/>
              <w:ind w:right="667"/>
              <w:jc w:val="right"/>
              <w:textAlignment w:val="baseline"/>
              <w:rPr>
                <w:rFonts w:ascii="Corbel" w:eastAsia="Corbel" w:hAnsi="Corbel"/>
                <w:color w:val="000000"/>
                <w:sz w:val="21"/>
              </w:rPr>
            </w:pPr>
            <w:r>
              <w:rPr>
                <w:rFonts w:ascii="Corbel" w:eastAsia="Corbel" w:hAnsi="Corbel"/>
                <w:color w:val="000000"/>
                <w:sz w:val="21"/>
              </w:rPr>
              <w:t>443,000</w:t>
            </w:r>
          </w:p>
        </w:tc>
        <w:tc>
          <w:tcPr>
            <w:tcW w:w="1502" w:type="dxa"/>
            <w:tcBorders>
              <w:top w:val="single" w:sz="5" w:space="0" w:color="000000"/>
              <w:left w:val="single" w:sz="5" w:space="0" w:color="000000"/>
              <w:bottom w:val="single" w:sz="5" w:space="0" w:color="000000"/>
              <w:right w:val="single" w:sz="5" w:space="0" w:color="000000"/>
            </w:tcBorders>
          </w:tcPr>
          <w:p w14:paraId="71581DFB" w14:textId="77777777" w:rsidR="008F51B0" w:rsidRDefault="00767328">
            <w:pPr>
              <w:spacing w:after="295" w:line="234" w:lineRule="exact"/>
              <w:ind w:right="672"/>
              <w:jc w:val="right"/>
              <w:textAlignment w:val="baseline"/>
              <w:rPr>
                <w:rFonts w:ascii="Corbel" w:eastAsia="Corbel" w:hAnsi="Corbel"/>
                <w:color w:val="000000"/>
                <w:sz w:val="21"/>
              </w:rPr>
            </w:pPr>
            <w:r>
              <w:rPr>
                <w:rFonts w:ascii="Corbel" w:eastAsia="Corbel" w:hAnsi="Corbel"/>
                <w:color w:val="000000"/>
                <w:sz w:val="21"/>
              </w:rPr>
              <w:t>443,000</w:t>
            </w:r>
          </w:p>
        </w:tc>
        <w:tc>
          <w:tcPr>
            <w:tcW w:w="1503" w:type="dxa"/>
            <w:tcBorders>
              <w:top w:val="single" w:sz="5" w:space="0" w:color="000000"/>
              <w:left w:val="single" w:sz="5" w:space="0" w:color="000000"/>
              <w:bottom w:val="single" w:sz="5" w:space="0" w:color="000000"/>
              <w:right w:val="single" w:sz="5" w:space="0" w:color="000000"/>
            </w:tcBorders>
          </w:tcPr>
          <w:p w14:paraId="71581DFC" w14:textId="77777777" w:rsidR="008F51B0" w:rsidRDefault="00767328">
            <w:pPr>
              <w:spacing w:after="295" w:line="234" w:lineRule="exact"/>
              <w:ind w:right="653"/>
              <w:jc w:val="right"/>
              <w:textAlignment w:val="baseline"/>
              <w:rPr>
                <w:rFonts w:ascii="Corbel" w:eastAsia="Corbel" w:hAnsi="Corbel"/>
                <w:color w:val="000000"/>
                <w:sz w:val="21"/>
              </w:rPr>
            </w:pPr>
            <w:r>
              <w:rPr>
                <w:rFonts w:ascii="Corbel" w:eastAsia="Corbel" w:hAnsi="Corbel"/>
                <w:color w:val="000000"/>
                <w:sz w:val="21"/>
              </w:rPr>
              <w:t>494,000</w:t>
            </w:r>
          </w:p>
        </w:tc>
        <w:tc>
          <w:tcPr>
            <w:tcW w:w="1512" w:type="dxa"/>
            <w:tcBorders>
              <w:top w:val="single" w:sz="5" w:space="0" w:color="000000"/>
              <w:left w:val="single" w:sz="5" w:space="0" w:color="000000"/>
              <w:bottom w:val="single" w:sz="5" w:space="0" w:color="000000"/>
              <w:right w:val="single" w:sz="5" w:space="0" w:color="000000"/>
            </w:tcBorders>
          </w:tcPr>
          <w:p w14:paraId="71581DFD" w14:textId="77777777" w:rsidR="008F51B0" w:rsidRDefault="00767328">
            <w:pPr>
              <w:spacing w:after="295" w:line="234" w:lineRule="exact"/>
              <w:ind w:left="110"/>
              <w:textAlignment w:val="baseline"/>
              <w:rPr>
                <w:rFonts w:ascii="Corbel" w:eastAsia="Corbel" w:hAnsi="Corbel"/>
                <w:color w:val="000000"/>
                <w:sz w:val="21"/>
              </w:rPr>
            </w:pPr>
            <w:r>
              <w:rPr>
                <w:rFonts w:ascii="Corbel" w:eastAsia="Corbel" w:hAnsi="Corbel"/>
                <w:color w:val="000000"/>
                <w:sz w:val="21"/>
              </w:rPr>
              <w:t>1,970,000</w:t>
            </w:r>
          </w:p>
        </w:tc>
      </w:tr>
    </w:tbl>
    <w:p w14:paraId="71581DFF" w14:textId="77777777" w:rsidR="008F51B0" w:rsidRDefault="008F51B0">
      <w:pPr>
        <w:spacing w:after="850" w:line="20" w:lineRule="exact"/>
      </w:pPr>
    </w:p>
    <w:p w14:paraId="71581E00" w14:textId="77777777" w:rsidR="008F51B0" w:rsidRDefault="006565DD">
      <w:pPr>
        <w:spacing w:before="61" w:line="221" w:lineRule="exact"/>
        <w:ind w:left="72" w:right="72"/>
        <w:jc w:val="right"/>
        <w:textAlignment w:val="baseline"/>
        <w:rPr>
          <w:rFonts w:ascii="Calibri" w:eastAsia="Calibri" w:hAnsi="Calibri"/>
          <w:color w:val="000000"/>
          <w:spacing w:val="17"/>
        </w:rPr>
      </w:pPr>
      <w:r>
        <w:pict w14:anchorId="71581E64">
          <v:line id="_x0000_s1031" style="position:absolute;left:0;text-align:left;z-index:251651072;mso-position-horizontal-relative:page;mso-position-vertical-relative:page" from="68.8pt,778.3pt" to="526.75pt,778.3pt" strokecolor="#d9d9d9" strokeweight=".7pt">
            <w10:wrap anchorx="page" anchory="page"/>
          </v:line>
        </w:pict>
      </w:r>
      <w:r w:rsidR="00767328">
        <w:rPr>
          <w:rFonts w:ascii="Calibri" w:eastAsia="Calibri" w:hAnsi="Calibri"/>
          <w:color w:val="000000"/>
          <w:spacing w:val="17"/>
        </w:rPr>
        <w:t>7 |</w:t>
      </w:r>
      <w:r w:rsidR="00767328">
        <w:rPr>
          <w:rFonts w:ascii="Calibri" w:eastAsia="Calibri" w:hAnsi="Calibri"/>
          <w:color w:val="7E7E7E"/>
          <w:spacing w:val="17"/>
        </w:rPr>
        <w:t xml:space="preserve"> Page</w:t>
      </w:r>
    </w:p>
    <w:p w14:paraId="71581E01" w14:textId="77777777" w:rsidR="008F51B0" w:rsidRDefault="00767328">
      <w:pPr>
        <w:spacing w:before="42" w:line="236" w:lineRule="exact"/>
        <w:ind w:left="144"/>
        <w:textAlignment w:val="baseline"/>
        <w:rPr>
          <w:rFonts w:ascii="Corbel" w:eastAsia="Corbel" w:hAnsi="Corbel"/>
          <w:color w:val="000000"/>
          <w:spacing w:val="2"/>
          <w:sz w:val="21"/>
        </w:rPr>
      </w:pPr>
      <w:r>
        <w:rPr>
          <w:rFonts w:ascii="Corbel" w:eastAsia="Corbel" w:hAnsi="Corbel"/>
          <w:color w:val="000000"/>
          <w:spacing w:val="2"/>
          <w:sz w:val="21"/>
        </w:rPr>
        <w:t>Bilateral Implementation Plan Template NSA Policy Initiatives</w:t>
      </w:r>
    </w:p>
    <w:p w14:paraId="71581E02" w14:textId="77777777" w:rsidR="008F51B0" w:rsidRDefault="008F51B0">
      <w:pPr>
        <w:sectPr w:rsidR="008F51B0">
          <w:pgSz w:w="11909" w:h="16838"/>
          <w:pgMar w:top="980" w:right="1375" w:bottom="302" w:left="1376" w:header="720" w:footer="720" w:gutter="0"/>
          <w:cols w:space="720"/>
        </w:sectPr>
      </w:pPr>
    </w:p>
    <w:p w14:paraId="71581E03" w14:textId="77777777" w:rsidR="008F51B0" w:rsidRDefault="00767328">
      <w:pPr>
        <w:spacing w:before="23" w:after="224" w:line="249" w:lineRule="exact"/>
        <w:ind w:right="36"/>
        <w:textAlignment w:val="baseline"/>
        <w:rPr>
          <w:rFonts w:ascii="Corbel" w:eastAsia="Corbel" w:hAnsi="Corbel"/>
          <w:b/>
          <w:color w:val="970033"/>
          <w:spacing w:val="-1"/>
        </w:rPr>
      </w:pPr>
      <w:r>
        <w:rPr>
          <w:rFonts w:ascii="Corbel" w:eastAsia="Corbel" w:hAnsi="Corbel"/>
          <w:b/>
          <w:color w:val="970033"/>
          <w:spacing w:val="-1"/>
        </w:rPr>
        <w:lastRenderedPageBreak/>
        <w:t>MILESTONES AND PAYMENTS – ENSURING ACCESS TO FOUNDATION SKILLS TRAINING</w:t>
      </w:r>
    </w:p>
    <w:tbl>
      <w:tblPr>
        <w:tblW w:w="14856" w:type="dxa"/>
        <w:tblInd w:w="29" w:type="dxa"/>
        <w:tblLayout w:type="fixed"/>
        <w:tblCellMar>
          <w:left w:w="0" w:type="dxa"/>
          <w:right w:w="0" w:type="dxa"/>
        </w:tblCellMar>
        <w:tblLook w:val="04A0" w:firstRow="1" w:lastRow="0" w:firstColumn="1" w:lastColumn="0" w:noHBand="0" w:noVBand="1"/>
      </w:tblPr>
      <w:tblGrid>
        <w:gridCol w:w="4050"/>
        <w:gridCol w:w="5022"/>
        <w:gridCol w:w="2976"/>
        <w:gridCol w:w="2808"/>
      </w:tblGrid>
      <w:tr w:rsidR="008F51B0" w14:paraId="71581E08" w14:textId="77777777" w:rsidTr="5ECE6E7A">
        <w:trPr>
          <w:trHeight w:hRule="exact" w:val="552"/>
        </w:trPr>
        <w:tc>
          <w:tcPr>
            <w:tcW w:w="40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4" w14:textId="77777777" w:rsidR="008F51B0" w:rsidRDefault="00767328">
            <w:pPr>
              <w:spacing w:before="31" w:after="267" w:line="249" w:lineRule="exact"/>
              <w:ind w:left="120"/>
              <w:textAlignment w:val="baseline"/>
              <w:rPr>
                <w:rFonts w:ascii="Corbel" w:eastAsia="Corbel" w:hAnsi="Corbel"/>
                <w:b/>
                <w:color w:val="000000"/>
              </w:rPr>
            </w:pPr>
            <w:r>
              <w:rPr>
                <w:rFonts w:ascii="Corbel" w:eastAsia="Corbel" w:hAnsi="Corbel"/>
                <w:b/>
                <w:color w:val="000000"/>
              </w:rPr>
              <w:t>Milestone</w:t>
            </w:r>
          </w:p>
        </w:tc>
        <w:tc>
          <w:tcPr>
            <w:tcW w:w="50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5" w14:textId="77777777" w:rsidR="008F51B0" w:rsidRDefault="00767328">
            <w:pPr>
              <w:spacing w:before="31" w:after="267" w:line="249" w:lineRule="exact"/>
              <w:ind w:left="119"/>
              <w:textAlignment w:val="baseline"/>
              <w:rPr>
                <w:rFonts w:ascii="Corbel" w:eastAsia="Corbel" w:hAnsi="Corbel"/>
                <w:b/>
                <w:color w:val="000000"/>
              </w:rPr>
            </w:pPr>
            <w:r>
              <w:rPr>
                <w:rFonts w:ascii="Corbel" w:eastAsia="Corbel" w:hAnsi="Corbel"/>
                <w:b/>
                <w:color w:val="000000"/>
              </w:rPr>
              <w:t>Evidence</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6" w14:textId="77777777" w:rsidR="008F51B0" w:rsidRDefault="00767328">
            <w:pPr>
              <w:spacing w:line="268" w:lineRule="exact"/>
              <w:ind w:left="108"/>
              <w:textAlignment w:val="baseline"/>
              <w:rPr>
                <w:rFonts w:ascii="Corbel" w:eastAsia="Corbel" w:hAnsi="Corbel"/>
                <w:b/>
                <w:color w:val="000000"/>
              </w:rPr>
            </w:pPr>
            <w:r>
              <w:rPr>
                <w:rFonts w:ascii="Corbel" w:eastAsia="Corbel" w:hAnsi="Corbel"/>
                <w:b/>
                <w:color w:val="000000"/>
              </w:rPr>
              <w:t>Payment Value Up To (Commonwealth funded)</w:t>
            </w:r>
          </w:p>
        </w:tc>
        <w:tc>
          <w:tcPr>
            <w:tcW w:w="28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7" w14:textId="77777777" w:rsidR="008F51B0" w:rsidRDefault="00767328">
            <w:pPr>
              <w:spacing w:line="268" w:lineRule="exact"/>
              <w:ind w:left="108"/>
              <w:textAlignment w:val="baseline"/>
              <w:rPr>
                <w:rFonts w:ascii="Corbel" w:eastAsia="Corbel" w:hAnsi="Corbel"/>
                <w:b/>
                <w:color w:val="000000"/>
              </w:rPr>
            </w:pPr>
            <w:r>
              <w:rPr>
                <w:rFonts w:ascii="Corbel" w:eastAsia="Corbel" w:hAnsi="Corbel"/>
                <w:b/>
                <w:color w:val="000000"/>
              </w:rPr>
              <w:t>Commonwealth reporting period</w:t>
            </w:r>
          </w:p>
        </w:tc>
      </w:tr>
      <w:tr w:rsidR="008F51B0" w14:paraId="71581E0F" w14:textId="77777777" w:rsidTr="5ECE6E7A">
        <w:trPr>
          <w:trHeight w:hRule="exact" w:val="960"/>
        </w:trPr>
        <w:tc>
          <w:tcPr>
            <w:tcW w:w="40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9" w14:textId="77777777" w:rsidR="008F51B0" w:rsidRDefault="00767328">
            <w:pPr>
              <w:spacing w:before="172" w:line="235" w:lineRule="exact"/>
              <w:ind w:left="144"/>
              <w:textAlignment w:val="baseline"/>
              <w:rPr>
                <w:rFonts w:ascii="Corbel" w:eastAsia="Corbel" w:hAnsi="Corbel"/>
                <w:color w:val="000000"/>
                <w:sz w:val="21"/>
              </w:rPr>
            </w:pPr>
            <w:r>
              <w:rPr>
                <w:rFonts w:ascii="Corbel" w:eastAsia="Corbel" w:hAnsi="Corbel"/>
                <w:color w:val="000000"/>
                <w:sz w:val="21"/>
              </w:rPr>
              <w:t>Milestone 1:</w:t>
            </w:r>
          </w:p>
          <w:p w14:paraId="71581E0A" w14:textId="77777777" w:rsidR="008F51B0" w:rsidRDefault="00767328">
            <w:pPr>
              <w:spacing w:before="34" w:line="236" w:lineRule="exact"/>
              <w:ind w:left="144"/>
              <w:textAlignment w:val="baseline"/>
              <w:rPr>
                <w:rFonts w:ascii="Corbel" w:eastAsia="Corbel" w:hAnsi="Corbel"/>
                <w:color w:val="000000"/>
                <w:sz w:val="21"/>
              </w:rPr>
            </w:pPr>
            <w:r>
              <w:rPr>
                <w:rFonts w:ascii="Corbel" w:eastAsia="Corbel" w:hAnsi="Corbel"/>
                <w:color w:val="000000"/>
                <w:sz w:val="21"/>
              </w:rPr>
              <w:t>Initial payment on agreement of bilateral</w:t>
            </w:r>
          </w:p>
          <w:p w14:paraId="71581E0B" w14:textId="77777777" w:rsidR="008F51B0" w:rsidRDefault="00767328">
            <w:pPr>
              <w:spacing w:before="33" w:line="236" w:lineRule="exact"/>
              <w:ind w:left="144"/>
              <w:textAlignment w:val="baseline"/>
              <w:rPr>
                <w:rFonts w:ascii="Corbel" w:eastAsia="Corbel" w:hAnsi="Corbel"/>
                <w:color w:val="000000"/>
                <w:sz w:val="21"/>
              </w:rPr>
            </w:pPr>
            <w:r>
              <w:rPr>
                <w:rFonts w:ascii="Corbel" w:eastAsia="Corbel" w:hAnsi="Corbel"/>
                <w:color w:val="000000"/>
                <w:sz w:val="21"/>
              </w:rPr>
              <w:t>implementation plan.</w:t>
            </w:r>
          </w:p>
        </w:tc>
        <w:tc>
          <w:tcPr>
            <w:tcW w:w="50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C" w14:textId="77777777" w:rsidR="008F51B0" w:rsidRDefault="00767328">
            <w:pPr>
              <w:spacing w:before="138" w:after="270" w:line="269" w:lineRule="exact"/>
              <w:ind w:left="108" w:right="1188"/>
              <w:textAlignment w:val="baseline"/>
              <w:rPr>
                <w:rFonts w:ascii="Corbel" w:eastAsia="Corbel" w:hAnsi="Corbel"/>
                <w:color w:val="000000"/>
                <w:sz w:val="21"/>
              </w:rPr>
            </w:pPr>
            <w:r>
              <w:rPr>
                <w:rFonts w:ascii="Corbel" w:eastAsia="Corbel" w:hAnsi="Corbel"/>
                <w:color w:val="000000"/>
                <w:sz w:val="21"/>
              </w:rPr>
              <w:t>Bilateral implementation plan agreed with Commonwealth.</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D" w14:textId="77777777" w:rsidR="008F51B0" w:rsidRDefault="00767328">
            <w:pPr>
              <w:spacing w:before="172" w:after="539" w:line="235" w:lineRule="exact"/>
              <w:ind w:right="115"/>
              <w:jc w:val="right"/>
              <w:textAlignment w:val="baseline"/>
              <w:rPr>
                <w:rFonts w:ascii="Corbel" w:eastAsia="Corbel" w:hAnsi="Corbel"/>
                <w:color w:val="000000"/>
                <w:sz w:val="21"/>
              </w:rPr>
            </w:pPr>
            <w:r>
              <w:rPr>
                <w:rFonts w:ascii="Corbel" w:eastAsia="Corbel" w:hAnsi="Corbel"/>
                <w:color w:val="000000"/>
                <w:sz w:val="21"/>
              </w:rPr>
              <w:t>$147,000</w:t>
            </w:r>
          </w:p>
        </w:tc>
        <w:tc>
          <w:tcPr>
            <w:tcW w:w="28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0E" w14:textId="77777777" w:rsidR="008F51B0" w:rsidRDefault="00767328">
            <w:pPr>
              <w:spacing w:before="172" w:after="539" w:line="235" w:lineRule="exact"/>
              <w:ind w:right="120"/>
              <w:jc w:val="right"/>
              <w:textAlignment w:val="baseline"/>
              <w:rPr>
                <w:rFonts w:ascii="Corbel" w:eastAsia="Corbel" w:hAnsi="Corbel"/>
                <w:color w:val="000000"/>
                <w:sz w:val="21"/>
              </w:rPr>
            </w:pPr>
            <w:r>
              <w:rPr>
                <w:rFonts w:ascii="Corbel" w:eastAsia="Corbel" w:hAnsi="Corbel"/>
                <w:color w:val="000000"/>
                <w:sz w:val="21"/>
              </w:rPr>
              <w:t>N/A</w:t>
            </w:r>
          </w:p>
        </w:tc>
      </w:tr>
      <w:tr w:rsidR="008F51B0" w14:paraId="71581E19" w14:textId="77777777" w:rsidTr="5ECE6E7A">
        <w:trPr>
          <w:trHeight w:hRule="exact" w:val="3562"/>
        </w:trPr>
        <w:tc>
          <w:tcPr>
            <w:tcW w:w="40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0" w14:textId="77777777" w:rsidR="008F51B0" w:rsidRDefault="00767328">
            <w:pPr>
              <w:spacing w:before="172" w:line="235" w:lineRule="exact"/>
              <w:ind w:left="144"/>
              <w:textAlignment w:val="baseline"/>
              <w:rPr>
                <w:rFonts w:ascii="Corbel" w:eastAsia="Corbel" w:hAnsi="Corbel"/>
                <w:color w:val="000000"/>
                <w:sz w:val="21"/>
              </w:rPr>
            </w:pPr>
            <w:r>
              <w:rPr>
                <w:rFonts w:ascii="Corbel" w:eastAsia="Corbel" w:hAnsi="Corbel"/>
                <w:color w:val="000000"/>
                <w:sz w:val="21"/>
              </w:rPr>
              <w:t>Milestone 2:</w:t>
            </w:r>
          </w:p>
          <w:p w14:paraId="71581E11" w14:textId="77777777" w:rsidR="008F51B0" w:rsidRDefault="00767328">
            <w:pPr>
              <w:spacing w:before="144" w:line="269" w:lineRule="exact"/>
              <w:ind w:left="144" w:right="144"/>
              <w:textAlignment w:val="baseline"/>
              <w:rPr>
                <w:rFonts w:ascii="Corbel" w:eastAsia="Corbel" w:hAnsi="Corbel"/>
                <w:color w:val="000000"/>
                <w:sz w:val="21"/>
              </w:rPr>
            </w:pPr>
            <w:r>
              <w:rPr>
                <w:rFonts w:ascii="Corbel" w:eastAsia="Corbel" w:hAnsi="Corbel"/>
                <w:color w:val="000000"/>
                <w:sz w:val="21"/>
              </w:rPr>
              <w:t>Commonwealth acceptance that Tasmania has initiated activities and developed plans to expand the 26Ten Workplace Grants program in 2025-26, to be demonstrated by:</w:t>
            </w:r>
          </w:p>
          <w:p w14:paraId="71581E12" w14:textId="77777777" w:rsidR="008F51B0" w:rsidRDefault="00767328">
            <w:pPr>
              <w:numPr>
                <w:ilvl w:val="0"/>
                <w:numId w:val="4"/>
              </w:numPr>
              <w:tabs>
                <w:tab w:val="clear" w:pos="360"/>
                <w:tab w:val="left" w:pos="864"/>
              </w:tabs>
              <w:spacing w:before="153" w:line="269" w:lineRule="exact"/>
              <w:ind w:left="864" w:hanging="360"/>
              <w:textAlignment w:val="baseline"/>
              <w:rPr>
                <w:rFonts w:ascii="Corbel" w:eastAsia="Corbel" w:hAnsi="Corbel"/>
                <w:color w:val="000000"/>
                <w:sz w:val="21"/>
              </w:rPr>
            </w:pPr>
            <w:r>
              <w:rPr>
                <w:rFonts w:ascii="Corbel" w:eastAsia="Corbel" w:hAnsi="Corbel"/>
                <w:color w:val="000000"/>
                <w:sz w:val="21"/>
              </w:rPr>
              <w:t>a Project Plan for delivering the expanded workplace grants program</w:t>
            </w:r>
          </w:p>
          <w:p w14:paraId="71581E13" w14:textId="77777777" w:rsidR="008F51B0" w:rsidRDefault="00767328">
            <w:pPr>
              <w:numPr>
                <w:ilvl w:val="0"/>
                <w:numId w:val="4"/>
              </w:numPr>
              <w:tabs>
                <w:tab w:val="clear" w:pos="360"/>
                <w:tab w:val="left" w:pos="864"/>
              </w:tabs>
              <w:spacing w:before="154" w:after="9" w:line="269" w:lineRule="exact"/>
              <w:ind w:left="864" w:hanging="360"/>
              <w:textAlignment w:val="baseline"/>
              <w:rPr>
                <w:rFonts w:ascii="Corbel" w:eastAsia="Corbel" w:hAnsi="Corbel"/>
                <w:color w:val="000000"/>
                <w:sz w:val="21"/>
              </w:rPr>
            </w:pPr>
            <w:r>
              <w:rPr>
                <w:rFonts w:ascii="Corbel" w:eastAsia="Corbel" w:hAnsi="Corbel"/>
                <w:color w:val="000000"/>
                <w:sz w:val="21"/>
              </w:rPr>
              <w:t xml:space="preserve">reviewed program guidelines and </w:t>
            </w:r>
            <w:r>
              <w:rPr>
                <w:rFonts w:ascii="Corbel" w:eastAsia="Corbel" w:hAnsi="Corbel"/>
                <w:color w:val="000000"/>
                <w:sz w:val="21"/>
              </w:rPr>
              <w:br/>
              <w:t>key performance indicators.</w:t>
            </w:r>
          </w:p>
        </w:tc>
        <w:tc>
          <w:tcPr>
            <w:tcW w:w="50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4" w14:textId="77777777" w:rsidR="008F51B0" w:rsidRDefault="00767328">
            <w:pPr>
              <w:spacing w:before="138" w:line="269" w:lineRule="exact"/>
              <w:ind w:left="144" w:right="180"/>
              <w:textAlignment w:val="baseline"/>
              <w:rPr>
                <w:rFonts w:ascii="Corbel" w:eastAsia="Corbel" w:hAnsi="Corbel"/>
                <w:color w:val="000000"/>
                <w:sz w:val="21"/>
              </w:rPr>
            </w:pPr>
            <w:r>
              <w:rPr>
                <w:rFonts w:ascii="Corbel" w:eastAsia="Corbel" w:hAnsi="Corbel"/>
                <w:color w:val="000000"/>
                <w:sz w:val="21"/>
              </w:rPr>
              <w:t>Report signed by the relevant Tasmanian Senior Skills Official that provides an update on progress and attaches:</w:t>
            </w:r>
          </w:p>
          <w:p w14:paraId="71581E15" w14:textId="77777777" w:rsidR="008F51B0" w:rsidRDefault="00767328">
            <w:pPr>
              <w:numPr>
                <w:ilvl w:val="0"/>
                <w:numId w:val="4"/>
              </w:numPr>
              <w:tabs>
                <w:tab w:val="left" w:pos="792"/>
              </w:tabs>
              <w:spacing w:before="154" w:line="269" w:lineRule="exact"/>
              <w:ind w:left="792" w:right="288" w:hanging="288"/>
              <w:textAlignment w:val="baseline"/>
              <w:rPr>
                <w:rFonts w:ascii="Corbel" w:eastAsia="Corbel" w:hAnsi="Corbel"/>
                <w:color w:val="000000"/>
                <w:sz w:val="21"/>
              </w:rPr>
            </w:pPr>
            <w:r>
              <w:rPr>
                <w:rFonts w:ascii="Corbel" w:eastAsia="Corbel" w:hAnsi="Corbel"/>
                <w:color w:val="000000"/>
                <w:sz w:val="21"/>
              </w:rPr>
              <w:t>the Project Plan for delivering the expanded workplace grants program including key responsibilities, recruitment activity (if required), promotional activities and timeframes for the grant rounds</w:t>
            </w:r>
          </w:p>
          <w:p w14:paraId="71581E16" w14:textId="77777777" w:rsidR="008F51B0" w:rsidRDefault="00767328">
            <w:pPr>
              <w:numPr>
                <w:ilvl w:val="0"/>
                <w:numId w:val="4"/>
              </w:numPr>
              <w:tabs>
                <w:tab w:val="left" w:pos="792"/>
              </w:tabs>
              <w:spacing w:before="153" w:after="153" w:line="269" w:lineRule="exact"/>
              <w:ind w:left="792" w:right="180" w:hanging="288"/>
              <w:textAlignment w:val="baseline"/>
              <w:rPr>
                <w:rFonts w:ascii="Corbel" w:eastAsia="Corbel" w:hAnsi="Corbel"/>
                <w:color w:val="000000"/>
                <w:sz w:val="21"/>
              </w:rPr>
            </w:pPr>
            <w:r>
              <w:rPr>
                <w:rFonts w:ascii="Corbel" w:eastAsia="Corbel" w:hAnsi="Corbel"/>
                <w:color w:val="000000"/>
                <w:sz w:val="21"/>
              </w:rPr>
              <w:t>the proposed grant program guidelines that include eligibility criteria, assessment criteria, and application process.</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7" w14:textId="77777777" w:rsidR="008F51B0" w:rsidRDefault="00767328">
            <w:pPr>
              <w:spacing w:before="172" w:after="3150" w:line="235" w:lineRule="exact"/>
              <w:ind w:right="115"/>
              <w:jc w:val="right"/>
              <w:textAlignment w:val="baseline"/>
              <w:rPr>
                <w:rFonts w:ascii="Corbel" w:eastAsia="Corbel" w:hAnsi="Corbel"/>
                <w:color w:val="000000"/>
                <w:sz w:val="21"/>
              </w:rPr>
            </w:pPr>
            <w:r>
              <w:rPr>
                <w:rFonts w:ascii="Corbel" w:eastAsia="Corbel" w:hAnsi="Corbel"/>
                <w:color w:val="000000"/>
                <w:sz w:val="21"/>
              </w:rPr>
              <w:t>$443,000</w:t>
            </w:r>
          </w:p>
        </w:tc>
        <w:tc>
          <w:tcPr>
            <w:tcW w:w="28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8" w14:textId="77777777" w:rsidR="008F51B0" w:rsidRDefault="00767328">
            <w:pPr>
              <w:spacing w:before="172" w:after="3149" w:line="236" w:lineRule="exact"/>
              <w:ind w:right="120"/>
              <w:jc w:val="right"/>
              <w:textAlignment w:val="baseline"/>
              <w:rPr>
                <w:rFonts w:ascii="Corbel" w:eastAsia="Corbel" w:hAnsi="Corbel"/>
                <w:color w:val="000000"/>
                <w:sz w:val="21"/>
              </w:rPr>
            </w:pPr>
            <w:r>
              <w:rPr>
                <w:rFonts w:ascii="Corbel" w:eastAsia="Corbel" w:hAnsi="Corbel"/>
                <w:color w:val="000000"/>
                <w:sz w:val="21"/>
              </w:rPr>
              <w:t>30 September 2025</w:t>
            </w:r>
          </w:p>
        </w:tc>
      </w:tr>
      <w:tr w:rsidR="008F51B0" w14:paraId="71581E21" w14:textId="77777777" w:rsidTr="5ECE6E7A">
        <w:trPr>
          <w:trHeight w:hRule="exact" w:val="3163"/>
        </w:trPr>
        <w:tc>
          <w:tcPr>
            <w:tcW w:w="40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A" w14:textId="77777777" w:rsidR="008F51B0" w:rsidRDefault="00767328">
            <w:pPr>
              <w:spacing w:before="172" w:line="235" w:lineRule="exact"/>
              <w:ind w:left="144"/>
              <w:textAlignment w:val="baseline"/>
              <w:rPr>
                <w:rFonts w:ascii="Corbel" w:eastAsia="Corbel" w:hAnsi="Corbel"/>
                <w:color w:val="000000"/>
                <w:sz w:val="21"/>
              </w:rPr>
            </w:pPr>
            <w:r>
              <w:rPr>
                <w:rFonts w:ascii="Corbel" w:eastAsia="Corbel" w:hAnsi="Corbel"/>
                <w:color w:val="000000"/>
                <w:sz w:val="21"/>
              </w:rPr>
              <w:t>Milestone 3:</w:t>
            </w:r>
          </w:p>
          <w:p w14:paraId="71581E1B" w14:textId="77777777" w:rsidR="008F51B0" w:rsidRDefault="00767328">
            <w:pPr>
              <w:spacing w:before="144" w:after="1521" w:line="269" w:lineRule="exact"/>
              <w:ind w:left="144" w:right="504"/>
              <w:textAlignment w:val="baseline"/>
              <w:rPr>
                <w:rFonts w:ascii="Corbel" w:eastAsia="Corbel" w:hAnsi="Corbel"/>
                <w:color w:val="000000"/>
                <w:sz w:val="21"/>
              </w:rPr>
            </w:pPr>
            <w:r>
              <w:rPr>
                <w:rFonts w:ascii="Corbel" w:eastAsia="Corbel" w:hAnsi="Corbel"/>
                <w:color w:val="000000"/>
                <w:sz w:val="21"/>
              </w:rPr>
              <w:t>Commonwealth acceptance that Tasmania has delivered the first 12 months of the expanded 26Ten workplace grants program (2025-26).</w:t>
            </w:r>
          </w:p>
        </w:tc>
        <w:tc>
          <w:tcPr>
            <w:tcW w:w="50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C" w14:textId="77777777" w:rsidR="008F51B0" w:rsidRDefault="00767328">
            <w:pPr>
              <w:spacing w:before="138" w:line="269" w:lineRule="exact"/>
              <w:ind w:left="144" w:right="180"/>
              <w:textAlignment w:val="baseline"/>
              <w:rPr>
                <w:rFonts w:ascii="Corbel" w:eastAsia="Corbel" w:hAnsi="Corbel"/>
                <w:color w:val="000000"/>
                <w:sz w:val="21"/>
              </w:rPr>
            </w:pPr>
            <w:r>
              <w:rPr>
                <w:rFonts w:ascii="Corbel" w:eastAsia="Corbel" w:hAnsi="Corbel"/>
                <w:color w:val="000000"/>
                <w:sz w:val="21"/>
              </w:rPr>
              <w:t>Report signed by the relevant Tasmanian Senior Skills Official that provides an update on progress and attaches:</w:t>
            </w:r>
          </w:p>
          <w:p w14:paraId="71581E1D" w14:textId="77777777" w:rsidR="008F51B0" w:rsidRDefault="00767328">
            <w:pPr>
              <w:numPr>
                <w:ilvl w:val="0"/>
                <w:numId w:val="4"/>
              </w:numPr>
              <w:tabs>
                <w:tab w:val="clear" w:pos="360"/>
                <w:tab w:val="left" w:pos="864"/>
              </w:tabs>
              <w:spacing w:before="153" w:line="269" w:lineRule="exact"/>
              <w:ind w:left="864" w:right="180" w:hanging="360"/>
              <w:textAlignment w:val="baseline"/>
              <w:rPr>
                <w:rFonts w:ascii="Corbel" w:eastAsia="Corbel" w:hAnsi="Corbel"/>
                <w:color w:val="000000"/>
                <w:sz w:val="21"/>
              </w:rPr>
            </w:pPr>
            <w:r>
              <w:rPr>
                <w:rFonts w:ascii="Corbel" w:eastAsia="Corbel" w:hAnsi="Corbel"/>
                <w:color w:val="000000"/>
                <w:sz w:val="21"/>
              </w:rPr>
              <w:t>details of the operation of the grants program including recipients, information about the projects and summaries of any mid-project or project completion reports provided</w:t>
            </w:r>
          </w:p>
          <w:p w14:paraId="71581E1E" w14:textId="77777777" w:rsidR="008F51B0" w:rsidRDefault="00767328">
            <w:pPr>
              <w:numPr>
                <w:ilvl w:val="0"/>
                <w:numId w:val="4"/>
              </w:numPr>
              <w:tabs>
                <w:tab w:val="clear" w:pos="360"/>
                <w:tab w:val="left" w:pos="864"/>
              </w:tabs>
              <w:spacing w:before="158" w:after="9" w:line="269" w:lineRule="exact"/>
              <w:ind w:left="864" w:right="288" w:hanging="360"/>
              <w:textAlignment w:val="baseline"/>
              <w:rPr>
                <w:rFonts w:ascii="Corbel" w:eastAsia="Corbel" w:hAnsi="Corbel"/>
                <w:color w:val="000000"/>
                <w:sz w:val="21"/>
              </w:rPr>
            </w:pPr>
            <w:r>
              <w:rPr>
                <w:rFonts w:ascii="Corbel" w:eastAsia="Corbel" w:hAnsi="Corbel"/>
                <w:color w:val="000000"/>
                <w:sz w:val="21"/>
              </w:rPr>
              <w:t>a summary of changes (if any) proposed for the next round of the program following any post-grant round review.</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1F" w14:textId="77777777" w:rsidR="008F51B0" w:rsidRDefault="00767328">
            <w:pPr>
              <w:spacing w:before="172" w:after="2741" w:line="235" w:lineRule="exact"/>
              <w:ind w:right="115"/>
              <w:jc w:val="right"/>
              <w:textAlignment w:val="baseline"/>
              <w:rPr>
                <w:rFonts w:ascii="Corbel" w:eastAsia="Corbel" w:hAnsi="Corbel"/>
                <w:color w:val="000000"/>
                <w:sz w:val="21"/>
              </w:rPr>
            </w:pPr>
            <w:r>
              <w:rPr>
                <w:rFonts w:ascii="Corbel" w:eastAsia="Corbel" w:hAnsi="Corbel"/>
                <w:color w:val="000000"/>
                <w:sz w:val="21"/>
              </w:rPr>
              <w:t>$443,000</w:t>
            </w:r>
          </w:p>
        </w:tc>
        <w:tc>
          <w:tcPr>
            <w:tcW w:w="28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1E20" w14:textId="77777777" w:rsidR="008F51B0" w:rsidRDefault="00767328">
            <w:pPr>
              <w:spacing w:before="172" w:after="2740" w:line="236" w:lineRule="exact"/>
              <w:ind w:right="120"/>
              <w:jc w:val="right"/>
              <w:textAlignment w:val="baseline"/>
              <w:rPr>
                <w:rFonts w:ascii="Corbel" w:eastAsia="Corbel" w:hAnsi="Corbel"/>
                <w:color w:val="000000"/>
                <w:sz w:val="21"/>
              </w:rPr>
            </w:pPr>
            <w:r>
              <w:rPr>
                <w:rFonts w:ascii="Corbel" w:eastAsia="Corbel" w:hAnsi="Corbel"/>
                <w:color w:val="000000"/>
                <w:sz w:val="21"/>
              </w:rPr>
              <w:t>30 September 2026</w:t>
            </w:r>
          </w:p>
        </w:tc>
      </w:tr>
    </w:tbl>
    <w:p w14:paraId="71581E22" w14:textId="77777777" w:rsidR="008F51B0" w:rsidRDefault="008F51B0">
      <w:pPr>
        <w:spacing w:after="342" w:line="20" w:lineRule="exact"/>
      </w:pPr>
    </w:p>
    <w:p w14:paraId="71581E23" w14:textId="77777777" w:rsidR="008F51B0" w:rsidRDefault="006565DD">
      <w:pPr>
        <w:spacing w:before="60" w:line="221" w:lineRule="exact"/>
        <w:ind w:right="36"/>
        <w:jc w:val="right"/>
        <w:textAlignment w:val="baseline"/>
        <w:rPr>
          <w:rFonts w:ascii="Calibri" w:eastAsia="Calibri" w:hAnsi="Calibri"/>
          <w:color w:val="000000"/>
          <w:spacing w:val="17"/>
        </w:rPr>
      </w:pPr>
      <w:r>
        <w:pict w14:anchorId="71581E65">
          <v:line id="_x0000_s1030" style="position:absolute;left:0;text-align:left;z-index:251652096;mso-position-horizontal-relative:page;mso-position-vertical-relative:page" from="55.2pt,531.85pt" to="801.25pt,531.85pt" strokecolor="#d9d9d9" strokeweight=".7pt">
            <w10:wrap anchorx="page" anchory="page"/>
          </v:line>
        </w:pict>
      </w:r>
      <w:r w:rsidR="00767328">
        <w:rPr>
          <w:rFonts w:ascii="Calibri" w:eastAsia="Calibri" w:hAnsi="Calibri"/>
          <w:color w:val="000000"/>
          <w:spacing w:val="17"/>
        </w:rPr>
        <w:t>8 |</w:t>
      </w:r>
      <w:r w:rsidR="00767328">
        <w:rPr>
          <w:rFonts w:ascii="Calibri" w:eastAsia="Calibri" w:hAnsi="Calibri"/>
          <w:color w:val="7E7E7E"/>
          <w:spacing w:val="17"/>
        </w:rPr>
        <w:t xml:space="preserve"> Page</w:t>
      </w:r>
    </w:p>
    <w:p w14:paraId="71581E24" w14:textId="77777777" w:rsidR="008F51B0" w:rsidRDefault="00767328">
      <w:pPr>
        <w:spacing w:before="43" w:line="235" w:lineRule="exact"/>
        <w:ind w:right="36"/>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p w14:paraId="71581E25" w14:textId="77777777" w:rsidR="008F51B0" w:rsidRDefault="008F51B0">
      <w:pPr>
        <w:sectPr w:rsidR="008F51B0">
          <w:pgSz w:w="16838" w:h="11909" w:orient="landscape"/>
          <w:pgMar w:top="1520" w:right="814" w:bottom="313" w:left="1104" w:header="720" w:footer="720" w:gutter="0"/>
          <w:cols w:space="720"/>
        </w:sectPr>
      </w:pPr>
    </w:p>
    <w:tbl>
      <w:tblPr>
        <w:tblW w:w="0" w:type="auto"/>
        <w:tblInd w:w="32" w:type="dxa"/>
        <w:tblLayout w:type="fixed"/>
        <w:tblCellMar>
          <w:left w:w="0" w:type="dxa"/>
          <w:right w:w="0" w:type="dxa"/>
        </w:tblCellMar>
        <w:tblLook w:val="04A0" w:firstRow="1" w:lastRow="0" w:firstColumn="1" w:lastColumn="0" w:noHBand="0" w:noVBand="1"/>
      </w:tblPr>
      <w:tblGrid>
        <w:gridCol w:w="3970"/>
        <w:gridCol w:w="5102"/>
        <w:gridCol w:w="2976"/>
        <w:gridCol w:w="2808"/>
      </w:tblGrid>
      <w:tr w:rsidR="008F51B0" w14:paraId="71581E2E" w14:textId="77777777">
        <w:trPr>
          <w:trHeight w:hRule="exact" w:val="3850"/>
        </w:trPr>
        <w:tc>
          <w:tcPr>
            <w:tcW w:w="3970" w:type="dxa"/>
            <w:tcBorders>
              <w:top w:val="single" w:sz="5" w:space="0" w:color="000000"/>
              <w:left w:val="single" w:sz="5" w:space="0" w:color="000000"/>
              <w:bottom w:val="single" w:sz="5" w:space="0" w:color="000000"/>
              <w:right w:val="single" w:sz="5" w:space="0" w:color="000000"/>
            </w:tcBorders>
          </w:tcPr>
          <w:p w14:paraId="71581E26" w14:textId="77777777" w:rsidR="008F51B0" w:rsidRDefault="00767328">
            <w:pPr>
              <w:spacing w:before="177" w:line="235" w:lineRule="exact"/>
              <w:ind w:left="144"/>
              <w:textAlignment w:val="baseline"/>
              <w:rPr>
                <w:rFonts w:ascii="Corbel" w:eastAsia="Corbel" w:hAnsi="Corbel"/>
                <w:color w:val="000000"/>
                <w:sz w:val="21"/>
              </w:rPr>
            </w:pPr>
            <w:r>
              <w:rPr>
                <w:rFonts w:ascii="Corbel" w:eastAsia="Corbel" w:hAnsi="Corbel"/>
                <w:color w:val="000000"/>
                <w:sz w:val="21"/>
              </w:rPr>
              <w:lastRenderedPageBreak/>
              <w:t>Milestone 4:</w:t>
            </w:r>
          </w:p>
          <w:p w14:paraId="71581E27" w14:textId="77777777" w:rsidR="008F51B0" w:rsidRDefault="00767328">
            <w:pPr>
              <w:spacing w:before="148" w:after="2212" w:line="268" w:lineRule="exact"/>
              <w:ind w:left="144" w:right="540"/>
              <w:textAlignment w:val="baseline"/>
              <w:rPr>
                <w:rFonts w:ascii="Corbel" w:eastAsia="Corbel" w:hAnsi="Corbel"/>
                <w:color w:val="000000"/>
                <w:sz w:val="21"/>
              </w:rPr>
            </w:pPr>
            <w:r>
              <w:rPr>
                <w:rFonts w:ascii="Corbel" w:eastAsia="Corbel" w:hAnsi="Corbel"/>
                <w:color w:val="000000"/>
                <w:sz w:val="21"/>
              </w:rPr>
              <w:t>Commonwealth acceptance that Tasmania has delivered the second 12 months of the expanded 26Ten workplace grants program (2026-27).</w:t>
            </w:r>
          </w:p>
        </w:tc>
        <w:tc>
          <w:tcPr>
            <w:tcW w:w="5102" w:type="dxa"/>
            <w:tcBorders>
              <w:top w:val="single" w:sz="5" w:space="0" w:color="000000"/>
              <w:left w:val="single" w:sz="5" w:space="0" w:color="000000"/>
              <w:bottom w:val="single" w:sz="5" w:space="0" w:color="000000"/>
              <w:right w:val="single" w:sz="5" w:space="0" w:color="000000"/>
            </w:tcBorders>
          </w:tcPr>
          <w:p w14:paraId="71581E28" w14:textId="77777777" w:rsidR="008F51B0" w:rsidRDefault="00767328">
            <w:pPr>
              <w:spacing w:before="145" w:line="268" w:lineRule="exact"/>
              <w:ind w:left="144" w:right="180"/>
              <w:textAlignment w:val="baseline"/>
              <w:rPr>
                <w:rFonts w:ascii="Corbel" w:eastAsia="Corbel" w:hAnsi="Corbel"/>
                <w:color w:val="000000"/>
                <w:sz w:val="21"/>
              </w:rPr>
            </w:pPr>
            <w:r>
              <w:rPr>
                <w:rFonts w:ascii="Corbel" w:eastAsia="Corbel" w:hAnsi="Corbel"/>
                <w:color w:val="000000"/>
                <w:sz w:val="21"/>
              </w:rPr>
              <w:t>Report signed by the relevant Tasmanian Senior Skills Official that provides an update on progress and attaches:</w:t>
            </w:r>
          </w:p>
          <w:p w14:paraId="71581E29" w14:textId="77777777" w:rsidR="008F51B0" w:rsidRDefault="00767328">
            <w:pPr>
              <w:numPr>
                <w:ilvl w:val="0"/>
                <w:numId w:val="4"/>
              </w:numPr>
              <w:tabs>
                <w:tab w:val="clear" w:pos="360"/>
                <w:tab w:val="left" w:pos="864"/>
              </w:tabs>
              <w:spacing w:before="158" w:line="268" w:lineRule="exact"/>
              <w:ind w:left="864" w:right="180" w:hanging="360"/>
              <w:textAlignment w:val="baseline"/>
              <w:rPr>
                <w:rFonts w:ascii="Corbel" w:eastAsia="Corbel" w:hAnsi="Corbel"/>
                <w:color w:val="000000"/>
                <w:sz w:val="21"/>
              </w:rPr>
            </w:pPr>
            <w:r>
              <w:rPr>
                <w:rFonts w:ascii="Corbel" w:eastAsia="Corbel" w:hAnsi="Corbel"/>
                <w:color w:val="000000"/>
                <w:sz w:val="21"/>
              </w:rPr>
              <w:t>details of the operation of the grants program including recipients, information about the projects and summaries of any mid-project or project completion reports provided</w:t>
            </w:r>
          </w:p>
          <w:p w14:paraId="71581E2A" w14:textId="77777777" w:rsidR="008F51B0" w:rsidRDefault="00767328">
            <w:pPr>
              <w:numPr>
                <w:ilvl w:val="0"/>
                <w:numId w:val="4"/>
              </w:numPr>
              <w:tabs>
                <w:tab w:val="clear" w:pos="360"/>
                <w:tab w:val="left" w:pos="864"/>
              </w:tabs>
              <w:spacing w:before="161" w:line="268" w:lineRule="exact"/>
              <w:ind w:left="864" w:right="288" w:hanging="360"/>
              <w:textAlignment w:val="baseline"/>
              <w:rPr>
                <w:rFonts w:ascii="Corbel" w:eastAsia="Corbel" w:hAnsi="Corbel"/>
                <w:color w:val="000000"/>
                <w:sz w:val="21"/>
              </w:rPr>
            </w:pPr>
            <w:r>
              <w:rPr>
                <w:rFonts w:ascii="Corbel" w:eastAsia="Corbel" w:hAnsi="Corbel"/>
                <w:color w:val="000000"/>
                <w:sz w:val="21"/>
              </w:rPr>
              <w:t>a summary of changes (if any) proposed for the next round of the program following any post-grant round review</w:t>
            </w:r>
          </w:p>
          <w:p w14:paraId="71581E2B" w14:textId="77777777" w:rsidR="008F51B0" w:rsidRDefault="00767328">
            <w:pPr>
              <w:numPr>
                <w:ilvl w:val="0"/>
                <w:numId w:val="4"/>
              </w:numPr>
              <w:tabs>
                <w:tab w:val="clear" w:pos="360"/>
                <w:tab w:val="left" w:pos="864"/>
              </w:tabs>
              <w:spacing w:before="155" w:after="9" w:line="268" w:lineRule="exact"/>
              <w:ind w:left="864" w:right="756" w:hanging="360"/>
              <w:textAlignment w:val="baseline"/>
              <w:rPr>
                <w:rFonts w:ascii="Corbel" w:eastAsia="Corbel" w:hAnsi="Corbel"/>
                <w:color w:val="000000"/>
                <w:sz w:val="21"/>
              </w:rPr>
            </w:pPr>
            <w:r>
              <w:rPr>
                <w:rFonts w:ascii="Corbel" w:eastAsia="Corbel" w:hAnsi="Corbel"/>
                <w:color w:val="000000"/>
                <w:sz w:val="21"/>
              </w:rPr>
              <w:t>a progress report on the proposed mid-program evaluation.</w:t>
            </w:r>
          </w:p>
        </w:tc>
        <w:tc>
          <w:tcPr>
            <w:tcW w:w="2976" w:type="dxa"/>
            <w:tcBorders>
              <w:top w:val="single" w:sz="5" w:space="0" w:color="000000"/>
              <w:left w:val="single" w:sz="5" w:space="0" w:color="000000"/>
              <w:bottom w:val="single" w:sz="5" w:space="0" w:color="000000"/>
              <w:right w:val="single" w:sz="5" w:space="0" w:color="000000"/>
            </w:tcBorders>
          </w:tcPr>
          <w:p w14:paraId="71581E2C" w14:textId="77777777" w:rsidR="008F51B0" w:rsidRDefault="00767328">
            <w:pPr>
              <w:spacing w:before="177" w:after="3432" w:line="235" w:lineRule="exact"/>
              <w:ind w:right="115"/>
              <w:jc w:val="right"/>
              <w:textAlignment w:val="baseline"/>
              <w:rPr>
                <w:rFonts w:ascii="Corbel" w:eastAsia="Corbel" w:hAnsi="Corbel"/>
                <w:color w:val="000000"/>
                <w:sz w:val="21"/>
              </w:rPr>
            </w:pPr>
            <w:r>
              <w:rPr>
                <w:rFonts w:ascii="Corbel" w:eastAsia="Corbel" w:hAnsi="Corbel"/>
                <w:color w:val="000000"/>
                <w:sz w:val="21"/>
              </w:rPr>
              <w:t>$443,000</w:t>
            </w:r>
          </w:p>
        </w:tc>
        <w:tc>
          <w:tcPr>
            <w:tcW w:w="2808" w:type="dxa"/>
            <w:tcBorders>
              <w:top w:val="single" w:sz="5" w:space="0" w:color="000000"/>
              <w:left w:val="single" w:sz="5" w:space="0" w:color="000000"/>
              <w:bottom w:val="single" w:sz="5" w:space="0" w:color="000000"/>
              <w:right w:val="single" w:sz="5" w:space="0" w:color="000000"/>
            </w:tcBorders>
          </w:tcPr>
          <w:p w14:paraId="71581E2D" w14:textId="77777777" w:rsidR="008F51B0" w:rsidRDefault="00767328">
            <w:pPr>
              <w:spacing w:before="177" w:after="3431" w:line="236" w:lineRule="exact"/>
              <w:ind w:right="120"/>
              <w:jc w:val="right"/>
              <w:textAlignment w:val="baseline"/>
              <w:rPr>
                <w:rFonts w:ascii="Corbel" w:eastAsia="Corbel" w:hAnsi="Corbel"/>
                <w:color w:val="000000"/>
                <w:sz w:val="21"/>
              </w:rPr>
            </w:pPr>
            <w:r>
              <w:rPr>
                <w:rFonts w:ascii="Corbel" w:eastAsia="Corbel" w:hAnsi="Corbel"/>
                <w:color w:val="000000"/>
                <w:sz w:val="21"/>
              </w:rPr>
              <w:t>30 September 2027</w:t>
            </w:r>
          </w:p>
        </w:tc>
      </w:tr>
      <w:tr w:rsidR="008F51B0" w14:paraId="71581E37" w14:textId="77777777">
        <w:trPr>
          <w:trHeight w:hRule="exact" w:val="3576"/>
        </w:trPr>
        <w:tc>
          <w:tcPr>
            <w:tcW w:w="3970" w:type="dxa"/>
            <w:tcBorders>
              <w:top w:val="single" w:sz="5" w:space="0" w:color="000000"/>
              <w:left w:val="single" w:sz="5" w:space="0" w:color="000000"/>
              <w:bottom w:val="single" w:sz="5" w:space="0" w:color="000000"/>
              <w:right w:val="single" w:sz="5" w:space="0" w:color="000000"/>
            </w:tcBorders>
          </w:tcPr>
          <w:p w14:paraId="71581E2F" w14:textId="77777777" w:rsidR="008F51B0" w:rsidRDefault="00767328">
            <w:pPr>
              <w:spacing w:before="172" w:line="235" w:lineRule="exact"/>
              <w:ind w:left="144"/>
              <w:textAlignment w:val="baseline"/>
              <w:rPr>
                <w:rFonts w:ascii="Corbel" w:eastAsia="Corbel" w:hAnsi="Corbel"/>
                <w:color w:val="000000"/>
                <w:sz w:val="21"/>
              </w:rPr>
            </w:pPr>
            <w:r>
              <w:rPr>
                <w:rFonts w:ascii="Corbel" w:eastAsia="Corbel" w:hAnsi="Corbel"/>
                <w:color w:val="000000"/>
                <w:sz w:val="21"/>
              </w:rPr>
              <w:t>Milestone 5:</w:t>
            </w:r>
          </w:p>
          <w:p w14:paraId="71581E30" w14:textId="77777777" w:rsidR="008F51B0" w:rsidRDefault="00767328">
            <w:pPr>
              <w:spacing w:before="148" w:after="1403" w:line="268" w:lineRule="exact"/>
              <w:ind w:left="144" w:right="180"/>
              <w:textAlignment w:val="baseline"/>
              <w:rPr>
                <w:rFonts w:ascii="Corbel" w:eastAsia="Corbel" w:hAnsi="Corbel"/>
                <w:color w:val="000000"/>
                <w:sz w:val="21"/>
              </w:rPr>
            </w:pPr>
            <w:r>
              <w:rPr>
                <w:rFonts w:ascii="Corbel" w:eastAsia="Corbel" w:hAnsi="Corbel"/>
                <w:color w:val="000000"/>
                <w:sz w:val="21"/>
              </w:rPr>
              <w:t>Commonwealth acceptance that Tasmania has delivered the third 12 months of the expanded 26Ten workplace grants program (2027-28) and will deliver any final planned activities for the remainder of 2028-29.</w:t>
            </w:r>
          </w:p>
        </w:tc>
        <w:tc>
          <w:tcPr>
            <w:tcW w:w="5102" w:type="dxa"/>
            <w:tcBorders>
              <w:top w:val="single" w:sz="5" w:space="0" w:color="000000"/>
              <w:left w:val="single" w:sz="5" w:space="0" w:color="000000"/>
              <w:bottom w:val="single" w:sz="5" w:space="0" w:color="000000"/>
              <w:right w:val="single" w:sz="5" w:space="0" w:color="000000"/>
            </w:tcBorders>
          </w:tcPr>
          <w:p w14:paraId="71581E31" w14:textId="77777777" w:rsidR="008F51B0" w:rsidRDefault="00767328">
            <w:pPr>
              <w:spacing w:before="140" w:line="268" w:lineRule="exact"/>
              <w:ind w:left="144" w:right="180"/>
              <w:textAlignment w:val="baseline"/>
              <w:rPr>
                <w:rFonts w:ascii="Corbel" w:eastAsia="Corbel" w:hAnsi="Corbel"/>
                <w:color w:val="000000"/>
                <w:sz w:val="21"/>
              </w:rPr>
            </w:pPr>
            <w:r>
              <w:rPr>
                <w:rFonts w:ascii="Corbel" w:eastAsia="Corbel" w:hAnsi="Corbel"/>
                <w:color w:val="000000"/>
                <w:sz w:val="21"/>
              </w:rPr>
              <w:t>Report signed by the relevant Tasmanian Senior Skills Official that provides an update on progress and attaches:</w:t>
            </w:r>
          </w:p>
          <w:p w14:paraId="71581E32" w14:textId="77777777" w:rsidR="008F51B0" w:rsidRDefault="00767328">
            <w:pPr>
              <w:numPr>
                <w:ilvl w:val="0"/>
                <w:numId w:val="4"/>
              </w:numPr>
              <w:tabs>
                <w:tab w:val="clear" w:pos="360"/>
                <w:tab w:val="left" w:pos="864"/>
              </w:tabs>
              <w:spacing w:before="158" w:line="268" w:lineRule="exact"/>
              <w:ind w:left="864" w:right="180" w:hanging="360"/>
              <w:textAlignment w:val="baseline"/>
              <w:rPr>
                <w:rFonts w:ascii="Corbel" w:eastAsia="Corbel" w:hAnsi="Corbel"/>
                <w:color w:val="000000"/>
                <w:sz w:val="21"/>
              </w:rPr>
            </w:pPr>
            <w:r>
              <w:rPr>
                <w:rFonts w:ascii="Corbel" w:eastAsia="Corbel" w:hAnsi="Corbel"/>
                <w:color w:val="000000"/>
                <w:sz w:val="21"/>
              </w:rPr>
              <w:t>details of the operation of the grants program including recipients, information about the projects and summaries of any mid-project or project completion reports provided</w:t>
            </w:r>
          </w:p>
          <w:p w14:paraId="71581E33" w14:textId="77777777" w:rsidR="008F51B0" w:rsidRDefault="00767328">
            <w:pPr>
              <w:numPr>
                <w:ilvl w:val="0"/>
                <w:numId w:val="4"/>
              </w:numPr>
              <w:tabs>
                <w:tab w:val="clear" w:pos="360"/>
                <w:tab w:val="left" w:pos="864"/>
              </w:tabs>
              <w:spacing w:before="159" w:line="268" w:lineRule="exact"/>
              <w:ind w:left="864" w:right="1008" w:hanging="360"/>
              <w:jc w:val="both"/>
              <w:textAlignment w:val="baseline"/>
              <w:rPr>
                <w:rFonts w:ascii="Corbel" w:eastAsia="Corbel" w:hAnsi="Corbel"/>
                <w:color w:val="000000"/>
                <w:sz w:val="21"/>
              </w:rPr>
            </w:pPr>
            <w:r>
              <w:rPr>
                <w:rFonts w:ascii="Corbel" w:eastAsia="Corbel" w:hAnsi="Corbel"/>
                <w:color w:val="000000"/>
                <w:sz w:val="21"/>
              </w:rPr>
              <w:t>forward plan for the program for the remainder of 2028-29</w:t>
            </w:r>
          </w:p>
          <w:p w14:paraId="71581E34" w14:textId="77777777" w:rsidR="008F51B0" w:rsidRDefault="00767328">
            <w:pPr>
              <w:numPr>
                <w:ilvl w:val="0"/>
                <w:numId w:val="4"/>
              </w:numPr>
              <w:tabs>
                <w:tab w:val="clear" w:pos="360"/>
                <w:tab w:val="left" w:pos="864"/>
              </w:tabs>
              <w:spacing w:before="156" w:after="5" w:line="268" w:lineRule="exact"/>
              <w:ind w:left="864" w:right="324" w:hanging="360"/>
              <w:textAlignment w:val="baseline"/>
              <w:rPr>
                <w:rFonts w:ascii="Corbel" w:eastAsia="Corbel" w:hAnsi="Corbel"/>
                <w:color w:val="000000"/>
                <w:sz w:val="21"/>
              </w:rPr>
            </w:pPr>
            <w:r>
              <w:rPr>
                <w:rFonts w:ascii="Corbel" w:eastAsia="Corbel" w:hAnsi="Corbel"/>
                <w:color w:val="000000"/>
                <w:sz w:val="21"/>
              </w:rPr>
              <w:t>an evaluation of the first three rounds of the extended program.</w:t>
            </w:r>
          </w:p>
        </w:tc>
        <w:tc>
          <w:tcPr>
            <w:tcW w:w="2976" w:type="dxa"/>
            <w:tcBorders>
              <w:top w:val="single" w:sz="5" w:space="0" w:color="000000"/>
              <w:left w:val="single" w:sz="5" w:space="0" w:color="000000"/>
              <w:bottom w:val="single" w:sz="5" w:space="0" w:color="000000"/>
              <w:right w:val="single" w:sz="5" w:space="0" w:color="000000"/>
            </w:tcBorders>
          </w:tcPr>
          <w:p w14:paraId="71581E35" w14:textId="77777777" w:rsidR="008F51B0" w:rsidRDefault="00767328">
            <w:pPr>
              <w:spacing w:after="3303" w:line="235" w:lineRule="exact"/>
              <w:ind w:right="115"/>
              <w:jc w:val="right"/>
              <w:textAlignment w:val="baseline"/>
              <w:rPr>
                <w:rFonts w:ascii="Corbel" w:eastAsia="Corbel" w:hAnsi="Corbel"/>
                <w:color w:val="000000"/>
                <w:sz w:val="21"/>
              </w:rPr>
            </w:pPr>
            <w:r>
              <w:rPr>
                <w:rFonts w:ascii="Corbel" w:eastAsia="Corbel" w:hAnsi="Corbel"/>
                <w:color w:val="000000"/>
                <w:sz w:val="21"/>
              </w:rPr>
              <w:t>$494,000</w:t>
            </w:r>
          </w:p>
        </w:tc>
        <w:tc>
          <w:tcPr>
            <w:tcW w:w="2808" w:type="dxa"/>
            <w:tcBorders>
              <w:top w:val="single" w:sz="5" w:space="0" w:color="000000"/>
              <w:left w:val="single" w:sz="5" w:space="0" w:color="000000"/>
              <w:bottom w:val="single" w:sz="5" w:space="0" w:color="000000"/>
              <w:right w:val="single" w:sz="5" w:space="0" w:color="000000"/>
            </w:tcBorders>
          </w:tcPr>
          <w:p w14:paraId="71581E36" w14:textId="77777777" w:rsidR="008F51B0" w:rsidRDefault="00767328">
            <w:pPr>
              <w:spacing w:after="3302" w:line="236" w:lineRule="exact"/>
              <w:ind w:right="120"/>
              <w:jc w:val="right"/>
              <w:textAlignment w:val="baseline"/>
              <w:rPr>
                <w:rFonts w:ascii="Corbel" w:eastAsia="Corbel" w:hAnsi="Corbel"/>
                <w:color w:val="000000"/>
                <w:sz w:val="21"/>
              </w:rPr>
            </w:pPr>
            <w:r>
              <w:rPr>
                <w:rFonts w:ascii="Corbel" w:eastAsia="Corbel" w:hAnsi="Corbel"/>
                <w:color w:val="000000"/>
                <w:sz w:val="21"/>
              </w:rPr>
              <w:t>30 September 2028</w:t>
            </w:r>
          </w:p>
        </w:tc>
      </w:tr>
      <w:tr w:rsidR="008F51B0" w14:paraId="71581E3C" w14:textId="77777777">
        <w:trPr>
          <w:trHeight w:hRule="exact" w:val="384"/>
        </w:trPr>
        <w:tc>
          <w:tcPr>
            <w:tcW w:w="3970" w:type="dxa"/>
            <w:tcBorders>
              <w:top w:val="single" w:sz="5" w:space="0" w:color="000000"/>
              <w:left w:val="single" w:sz="5" w:space="0" w:color="000000"/>
              <w:bottom w:val="single" w:sz="5" w:space="0" w:color="000000"/>
              <w:right w:val="single" w:sz="5" w:space="0" w:color="000000"/>
            </w:tcBorders>
          </w:tcPr>
          <w:p w14:paraId="71581E38" w14:textId="77777777" w:rsidR="008F51B0" w:rsidRDefault="00767328">
            <w:pPr>
              <w:textAlignment w:val="baseline"/>
              <w:rPr>
                <w:rFonts w:ascii="Corbel" w:eastAsia="Corbel" w:hAnsi="Corbel"/>
                <w:color w:val="000000"/>
                <w:sz w:val="24"/>
              </w:rPr>
            </w:pPr>
            <w:r>
              <w:rPr>
                <w:rFonts w:ascii="Corbel" w:eastAsia="Corbel" w:hAnsi="Corbel"/>
                <w:color w:val="000000"/>
                <w:sz w:val="24"/>
              </w:rPr>
              <w:t xml:space="preserve"> </w:t>
            </w:r>
          </w:p>
        </w:tc>
        <w:tc>
          <w:tcPr>
            <w:tcW w:w="5102" w:type="dxa"/>
            <w:tcBorders>
              <w:top w:val="single" w:sz="5" w:space="0" w:color="000000"/>
              <w:left w:val="single" w:sz="5" w:space="0" w:color="000000"/>
              <w:bottom w:val="single" w:sz="5" w:space="0" w:color="000000"/>
              <w:right w:val="single" w:sz="5" w:space="0" w:color="000000"/>
            </w:tcBorders>
          </w:tcPr>
          <w:p w14:paraId="71581E39" w14:textId="77777777" w:rsidR="008F51B0" w:rsidRDefault="00767328">
            <w:pPr>
              <w:spacing w:after="119" w:line="233" w:lineRule="exact"/>
              <w:ind w:right="120"/>
              <w:jc w:val="right"/>
              <w:textAlignment w:val="baseline"/>
              <w:rPr>
                <w:rFonts w:ascii="Corbel" w:eastAsia="Corbel" w:hAnsi="Corbel"/>
                <w:b/>
                <w:color w:val="000000"/>
              </w:rPr>
            </w:pPr>
            <w:r>
              <w:rPr>
                <w:rFonts w:ascii="Corbel" w:eastAsia="Corbel" w:hAnsi="Corbel"/>
                <w:b/>
                <w:color w:val="000000"/>
              </w:rPr>
              <w:t>Total</w:t>
            </w:r>
          </w:p>
        </w:tc>
        <w:tc>
          <w:tcPr>
            <w:tcW w:w="2976" w:type="dxa"/>
            <w:tcBorders>
              <w:top w:val="single" w:sz="5" w:space="0" w:color="000000"/>
              <w:left w:val="single" w:sz="5" w:space="0" w:color="000000"/>
              <w:bottom w:val="single" w:sz="5" w:space="0" w:color="000000"/>
              <w:right w:val="single" w:sz="5" w:space="0" w:color="000000"/>
            </w:tcBorders>
          </w:tcPr>
          <w:p w14:paraId="71581E3A" w14:textId="77777777" w:rsidR="008F51B0" w:rsidRDefault="00767328">
            <w:pPr>
              <w:spacing w:after="119" w:line="233" w:lineRule="exact"/>
              <w:ind w:right="115"/>
              <w:jc w:val="right"/>
              <w:textAlignment w:val="baseline"/>
              <w:rPr>
                <w:rFonts w:ascii="Corbel" w:eastAsia="Corbel" w:hAnsi="Corbel"/>
                <w:b/>
                <w:color w:val="000000"/>
              </w:rPr>
            </w:pPr>
            <w:r>
              <w:rPr>
                <w:rFonts w:ascii="Corbel" w:eastAsia="Corbel" w:hAnsi="Corbel"/>
                <w:b/>
                <w:color w:val="000000"/>
              </w:rPr>
              <w:t>$1,970,000</w:t>
            </w:r>
          </w:p>
        </w:tc>
        <w:tc>
          <w:tcPr>
            <w:tcW w:w="2808" w:type="dxa"/>
            <w:tcBorders>
              <w:top w:val="single" w:sz="5" w:space="0" w:color="000000"/>
              <w:left w:val="single" w:sz="5" w:space="0" w:color="000000"/>
              <w:bottom w:val="single" w:sz="5" w:space="0" w:color="000000"/>
              <w:right w:val="single" w:sz="5" w:space="0" w:color="000000"/>
            </w:tcBorders>
          </w:tcPr>
          <w:p w14:paraId="71581E3B" w14:textId="77777777" w:rsidR="008F51B0" w:rsidRDefault="00767328">
            <w:pPr>
              <w:textAlignment w:val="baseline"/>
              <w:rPr>
                <w:rFonts w:ascii="Corbel" w:eastAsia="Corbel" w:hAnsi="Corbel"/>
                <w:color w:val="000000"/>
                <w:sz w:val="24"/>
              </w:rPr>
            </w:pPr>
            <w:r>
              <w:rPr>
                <w:rFonts w:ascii="Corbel" w:eastAsia="Corbel" w:hAnsi="Corbel"/>
                <w:color w:val="000000"/>
                <w:sz w:val="24"/>
              </w:rPr>
              <w:t xml:space="preserve"> </w:t>
            </w:r>
          </w:p>
        </w:tc>
      </w:tr>
    </w:tbl>
    <w:p w14:paraId="71581E3D" w14:textId="77777777" w:rsidR="008F51B0" w:rsidRDefault="008F51B0">
      <w:pPr>
        <w:spacing w:after="1359" w:line="20" w:lineRule="exact"/>
      </w:pPr>
    </w:p>
    <w:p w14:paraId="71581E3E" w14:textId="77777777" w:rsidR="008F51B0" w:rsidRDefault="006565DD">
      <w:pPr>
        <w:spacing w:before="60" w:line="221" w:lineRule="exact"/>
        <w:ind w:right="36"/>
        <w:jc w:val="right"/>
        <w:textAlignment w:val="baseline"/>
        <w:rPr>
          <w:rFonts w:ascii="Calibri" w:eastAsia="Calibri" w:hAnsi="Calibri"/>
          <w:color w:val="000000"/>
          <w:spacing w:val="17"/>
        </w:rPr>
      </w:pPr>
      <w:r>
        <w:pict w14:anchorId="71581E66">
          <v:line id="_x0000_s1029" style="position:absolute;left:0;text-align:left;z-index:251653120;mso-position-horizontal-relative:page;mso-position-vertical-relative:page" from="55.05pt,531.85pt" to="801.1pt,531.85pt" strokecolor="#d9d9d9" strokeweight=".7pt">
            <w10:wrap anchorx="page" anchory="page"/>
          </v:line>
        </w:pict>
      </w:r>
      <w:r w:rsidR="00767328">
        <w:rPr>
          <w:rFonts w:ascii="Calibri" w:eastAsia="Calibri" w:hAnsi="Calibri"/>
          <w:color w:val="000000"/>
          <w:spacing w:val="17"/>
        </w:rPr>
        <w:t>9 |</w:t>
      </w:r>
      <w:r w:rsidR="00767328">
        <w:rPr>
          <w:rFonts w:ascii="Calibri" w:eastAsia="Calibri" w:hAnsi="Calibri"/>
          <w:color w:val="7E7E7E"/>
          <w:spacing w:val="17"/>
        </w:rPr>
        <w:t xml:space="preserve"> Page</w:t>
      </w:r>
    </w:p>
    <w:p w14:paraId="71581E3F" w14:textId="77777777" w:rsidR="008F51B0" w:rsidRDefault="00767328">
      <w:pPr>
        <w:spacing w:before="43" w:line="235" w:lineRule="exact"/>
        <w:ind w:right="36"/>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p w14:paraId="71581E40" w14:textId="77777777" w:rsidR="008F51B0" w:rsidRDefault="008F51B0">
      <w:pPr>
        <w:sectPr w:rsidR="008F51B0">
          <w:pgSz w:w="16838" w:h="11909" w:orient="landscape"/>
          <w:pgMar w:top="1420" w:right="817" w:bottom="313" w:left="1101" w:header="720" w:footer="720" w:gutter="0"/>
          <w:cols w:space="720"/>
        </w:sectPr>
      </w:pPr>
    </w:p>
    <w:p w14:paraId="71581E41" w14:textId="77777777" w:rsidR="008F51B0" w:rsidRDefault="00767328">
      <w:pPr>
        <w:spacing w:before="23" w:after="611" w:line="244" w:lineRule="exact"/>
        <w:textAlignment w:val="baseline"/>
        <w:rPr>
          <w:rFonts w:ascii="Corbel" w:eastAsia="Corbel" w:hAnsi="Corbel"/>
          <w:color w:val="000000"/>
          <w:spacing w:val="2"/>
          <w:sz w:val="21"/>
        </w:rPr>
      </w:pPr>
      <w:r>
        <w:rPr>
          <w:rFonts w:ascii="Corbel" w:eastAsia="Corbel" w:hAnsi="Corbel"/>
          <w:color w:val="000000"/>
          <w:spacing w:val="2"/>
          <w:sz w:val="21"/>
        </w:rPr>
        <w:lastRenderedPageBreak/>
        <w:t>The Parties have confirmed their commitment to this implementation plan as follows:</w:t>
      </w:r>
    </w:p>
    <w:p w14:paraId="71581E42" w14:textId="77777777" w:rsidR="008F51B0" w:rsidRDefault="008F51B0">
      <w:pPr>
        <w:spacing w:before="23" w:after="611" w:line="244" w:lineRule="exact"/>
        <w:sectPr w:rsidR="008F51B0">
          <w:pgSz w:w="11909" w:h="16838"/>
          <w:pgMar w:top="1440" w:right="2883" w:bottom="302" w:left="1306" w:header="720" w:footer="720" w:gutter="0"/>
          <w:cols w:space="720"/>
        </w:sectPr>
      </w:pPr>
    </w:p>
    <w:p w14:paraId="71581E43" w14:textId="4ECDE313" w:rsidR="008F51B0" w:rsidRDefault="00767328">
      <w:pPr>
        <w:spacing w:after="849" w:line="269" w:lineRule="exact"/>
        <w:jc w:val="both"/>
        <w:textAlignment w:val="baseline"/>
        <w:rPr>
          <w:rFonts w:ascii="Corbel" w:eastAsia="Corbel" w:hAnsi="Corbel"/>
          <w:b/>
          <w:color w:val="000000"/>
          <w:sz w:val="21"/>
        </w:rPr>
      </w:pPr>
      <w:r>
        <w:rPr>
          <w:rFonts w:ascii="Corbel" w:eastAsia="Corbel" w:hAnsi="Corbel"/>
          <w:b/>
          <w:color w:val="000000"/>
          <w:sz w:val="21"/>
        </w:rPr>
        <w:t xml:space="preserve">Signed </w:t>
      </w:r>
      <w:r>
        <w:rPr>
          <w:rFonts w:ascii="Corbel" w:eastAsia="Corbel" w:hAnsi="Corbel"/>
          <w:i/>
          <w:color w:val="000000"/>
        </w:rPr>
        <w:t>for and on behalf of the Commonwealth of Australia by</w:t>
      </w:r>
    </w:p>
    <w:p w14:paraId="71581E44" w14:textId="77777777" w:rsidR="008F51B0" w:rsidRDefault="006565DD">
      <w:pPr>
        <w:spacing w:before="114" w:line="258" w:lineRule="exact"/>
        <w:textAlignment w:val="baseline"/>
        <w:rPr>
          <w:rFonts w:ascii="Corbel" w:eastAsia="Corbel" w:hAnsi="Corbel"/>
          <w:b/>
          <w:color w:val="000000"/>
          <w:sz w:val="23"/>
        </w:rPr>
      </w:pPr>
      <w:r>
        <w:pict w14:anchorId="71581E68">
          <v:line id="_x0000_s1027" style="position:absolute;z-index:251655168;mso-position-horizontal-relative:page;mso-position-vertical-relative:page" from="73.45pt,186.25pt" to="242.45pt,186.25pt" strokeweight=".7pt">
            <v:stroke dashstyle="dash"/>
            <w10:wrap anchorx="page" anchory="page"/>
          </v:line>
        </w:pict>
      </w:r>
      <w:r w:rsidR="00767328">
        <w:rPr>
          <w:rFonts w:ascii="Corbel" w:eastAsia="Corbel" w:hAnsi="Corbel"/>
          <w:b/>
          <w:color w:val="000000"/>
          <w:sz w:val="23"/>
        </w:rPr>
        <w:t xml:space="preserve">The </w:t>
      </w:r>
      <w:proofErr w:type="spellStart"/>
      <w:r w:rsidR="00767328">
        <w:rPr>
          <w:rFonts w:ascii="Corbel" w:eastAsia="Corbel" w:hAnsi="Corbel"/>
          <w:b/>
          <w:color w:val="000000"/>
          <w:sz w:val="23"/>
        </w:rPr>
        <w:t>Honourable</w:t>
      </w:r>
      <w:proofErr w:type="spellEnd"/>
      <w:r w:rsidR="00767328">
        <w:rPr>
          <w:rFonts w:ascii="Corbel" w:eastAsia="Corbel" w:hAnsi="Corbel"/>
          <w:b/>
          <w:color w:val="000000"/>
          <w:sz w:val="23"/>
        </w:rPr>
        <w:t xml:space="preserve"> Andrew Giles MP</w:t>
      </w:r>
    </w:p>
    <w:p w14:paraId="71581E45" w14:textId="77777777" w:rsidR="008F51B0" w:rsidRDefault="00767328">
      <w:pPr>
        <w:spacing w:before="28" w:line="213" w:lineRule="exact"/>
        <w:textAlignment w:val="baseline"/>
        <w:rPr>
          <w:rFonts w:ascii="Corbel" w:eastAsia="Corbel" w:hAnsi="Corbel"/>
          <w:color w:val="000000"/>
          <w:sz w:val="19"/>
        </w:rPr>
      </w:pPr>
      <w:r>
        <w:rPr>
          <w:rFonts w:ascii="Corbel" w:eastAsia="Corbel" w:hAnsi="Corbel"/>
          <w:color w:val="000000"/>
          <w:sz w:val="19"/>
        </w:rPr>
        <w:t>Minister for Skills and Training</w:t>
      </w:r>
    </w:p>
    <w:p w14:paraId="71581E46" w14:textId="77777777" w:rsidR="008F51B0" w:rsidRDefault="00767328">
      <w:pPr>
        <w:tabs>
          <w:tab w:val="left" w:pos="648"/>
        </w:tabs>
        <w:spacing w:before="140" w:line="238" w:lineRule="exact"/>
        <w:ind w:left="288"/>
        <w:textAlignment w:val="baseline"/>
        <w:rPr>
          <w:rFonts w:ascii="Corbel" w:eastAsia="Corbel" w:hAnsi="Corbel"/>
          <w:color w:val="000000"/>
          <w:sz w:val="23"/>
        </w:rPr>
      </w:pPr>
      <w:r>
        <w:rPr>
          <w:rFonts w:ascii="Corbel" w:eastAsia="Corbel" w:hAnsi="Corbel"/>
          <w:color w:val="000000"/>
          <w:sz w:val="23"/>
        </w:rPr>
        <w:t>/</w:t>
      </w:r>
      <w:r>
        <w:rPr>
          <w:rFonts w:ascii="Corbel" w:eastAsia="Corbel" w:hAnsi="Corbel"/>
          <w:color w:val="000000"/>
          <w:sz w:val="23"/>
        </w:rPr>
        <w:tab/>
        <w:t xml:space="preserve">/ 2025 </w:t>
      </w:r>
    </w:p>
    <w:p w14:paraId="71581E47" w14:textId="77777777" w:rsidR="008F51B0" w:rsidRDefault="00767328">
      <w:pPr>
        <w:spacing w:line="268" w:lineRule="exact"/>
        <w:textAlignment w:val="baseline"/>
        <w:rPr>
          <w:rFonts w:ascii="Corbel" w:eastAsia="Corbel" w:hAnsi="Corbel"/>
          <w:b/>
          <w:color w:val="000000"/>
          <w:sz w:val="21"/>
        </w:rPr>
      </w:pPr>
      <w:r>
        <w:br w:type="column"/>
      </w:r>
      <w:r>
        <w:rPr>
          <w:rFonts w:ascii="Corbel" w:eastAsia="Corbel" w:hAnsi="Corbel"/>
          <w:b/>
          <w:color w:val="000000"/>
          <w:sz w:val="21"/>
        </w:rPr>
        <w:t xml:space="preserve">Signed </w:t>
      </w:r>
      <w:r>
        <w:rPr>
          <w:rFonts w:ascii="Corbel" w:eastAsia="Corbel" w:hAnsi="Corbel"/>
          <w:i/>
          <w:color w:val="000000"/>
        </w:rPr>
        <w:t>for and on behalf of the State of Tasmania by</w:t>
      </w:r>
    </w:p>
    <w:p w14:paraId="71581E48" w14:textId="3D75AB76" w:rsidR="008F51B0" w:rsidRDefault="008F51B0">
      <w:pPr>
        <w:spacing w:before="34" w:after="11"/>
        <w:ind w:left="194" w:right="2297"/>
        <w:textAlignment w:val="baseline"/>
      </w:pPr>
    </w:p>
    <w:p w14:paraId="33014195" w14:textId="77777777" w:rsidR="003E30D2" w:rsidRDefault="003E30D2">
      <w:pPr>
        <w:spacing w:before="34" w:after="11"/>
        <w:ind w:left="194" w:right="2297"/>
        <w:textAlignment w:val="baseline"/>
      </w:pPr>
    </w:p>
    <w:p w14:paraId="21ED6DB1" w14:textId="4B8D40F8" w:rsidR="003E30D2" w:rsidRDefault="006565DD">
      <w:pPr>
        <w:spacing w:before="34" w:after="11"/>
        <w:ind w:left="194" w:right="2297"/>
        <w:textAlignment w:val="baseline"/>
      </w:pPr>
      <w:r>
        <w:pict w14:anchorId="71581E67">
          <v:line id="_x0000_s1028" style="position:absolute;left:0;text-align:left;z-index:251654144;mso-position-horizontal-relative:page;mso-position-vertical-relative:page" from="309pt,186.25pt" to="490.6pt,186.25pt" strokeweight=".7pt">
            <v:stroke dashstyle="dash"/>
            <w10:wrap anchorx="page" anchory="page"/>
          </v:line>
        </w:pict>
      </w:r>
    </w:p>
    <w:p w14:paraId="71581E49" w14:textId="07D3EEA8" w:rsidR="008F51B0" w:rsidRDefault="00767328">
      <w:pPr>
        <w:spacing w:before="23" w:line="258" w:lineRule="exact"/>
        <w:textAlignment w:val="baseline"/>
        <w:rPr>
          <w:rFonts w:ascii="Corbel" w:eastAsia="Corbel" w:hAnsi="Corbel"/>
          <w:b/>
          <w:color w:val="000000"/>
          <w:sz w:val="23"/>
        </w:rPr>
      </w:pPr>
      <w:r>
        <w:rPr>
          <w:rFonts w:ascii="Corbel" w:eastAsia="Corbel" w:hAnsi="Corbel"/>
          <w:b/>
          <w:color w:val="000000"/>
          <w:sz w:val="23"/>
        </w:rPr>
        <w:t xml:space="preserve">The </w:t>
      </w:r>
      <w:proofErr w:type="spellStart"/>
      <w:r>
        <w:rPr>
          <w:rFonts w:ascii="Corbel" w:eastAsia="Corbel" w:hAnsi="Corbel"/>
          <w:b/>
          <w:color w:val="000000"/>
          <w:sz w:val="23"/>
        </w:rPr>
        <w:t>Honourable</w:t>
      </w:r>
      <w:proofErr w:type="spellEnd"/>
      <w:r>
        <w:rPr>
          <w:rFonts w:ascii="Corbel" w:eastAsia="Corbel" w:hAnsi="Corbel"/>
          <w:b/>
          <w:color w:val="000000"/>
          <w:sz w:val="23"/>
        </w:rPr>
        <w:t xml:space="preserve"> Felix Ellis MP</w:t>
      </w:r>
    </w:p>
    <w:p w14:paraId="71581E4A" w14:textId="77777777" w:rsidR="008F51B0" w:rsidRDefault="00767328">
      <w:pPr>
        <w:spacing w:before="28" w:line="213" w:lineRule="exact"/>
        <w:textAlignment w:val="baseline"/>
        <w:rPr>
          <w:rFonts w:ascii="Corbel" w:eastAsia="Corbel" w:hAnsi="Corbel"/>
          <w:color w:val="000000"/>
          <w:sz w:val="19"/>
        </w:rPr>
      </w:pPr>
      <w:r>
        <w:rPr>
          <w:rFonts w:ascii="Corbel" w:eastAsia="Corbel" w:hAnsi="Corbel"/>
          <w:color w:val="000000"/>
          <w:sz w:val="19"/>
        </w:rPr>
        <w:t>Minister for Skills and Training</w:t>
      </w:r>
    </w:p>
    <w:p w14:paraId="71581E4B" w14:textId="77777777" w:rsidR="008F51B0" w:rsidRDefault="00767328">
      <w:pPr>
        <w:tabs>
          <w:tab w:val="left" w:pos="576"/>
        </w:tabs>
        <w:spacing w:before="148" w:line="230" w:lineRule="exact"/>
        <w:ind w:left="216"/>
        <w:textAlignment w:val="baseline"/>
        <w:rPr>
          <w:rFonts w:ascii="Corbel" w:eastAsia="Corbel" w:hAnsi="Corbel"/>
          <w:color w:val="000000"/>
          <w:sz w:val="21"/>
        </w:rPr>
      </w:pPr>
      <w:r>
        <w:rPr>
          <w:rFonts w:ascii="Corbel" w:eastAsia="Corbel" w:hAnsi="Corbel"/>
          <w:color w:val="000000"/>
          <w:sz w:val="21"/>
        </w:rPr>
        <w:t>/</w:t>
      </w:r>
      <w:r>
        <w:rPr>
          <w:rFonts w:ascii="Corbel" w:eastAsia="Corbel" w:hAnsi="Corbel"/>
          <w:color w:val="000000"/>
          <w:sz w:val="21"/>
        </w:rPr>
        <w:tab/>
        <w:t>/ 2025</w:t>
      </w:r>
    </w:p>
    <w:p w14:paraId="71581E4C" w14:textId="77777777" w:rsidR="008F51B0" w:rsidRDefault="008F51B0">
      <w:pPr>
        <w:sectPr w:rsidR="008F51B0">
          <w:type w:val="continuous"/>
          <w:pgSz w:w="11909" w:h="16838"/>
          <w:pgMar w:top="1440" w:right="1385" w:bottom="302" w:left="1382" w:header="720" w:footer="720" w:gutter="0"/>
          <w:cols w:num="2" w:space="0" w:equalWidth="0">
            <w:col w:w="4320" w:space="502"/>
            <w:col w:w="4320"/>
          </w:cols>
        </w:sectPr>
      </w:pPr>
    </w:p>
    <w:p w14:paraId="71581E4D" w14:textId="77777777" w:rsidR="008F51B0" w:rsidRDefault="006565DD">
      <w:pPr>
        <w:spacing w:before="10633" w:line="221" w:lineRule="exact"/>
        <w:ind w:right="36"/>
        <w:jc w:val="right"/>
        <w:textAlignment w:val="baseline"/>
        <w:rPr>
          <w:rFonts w:ascii="Calibri" w:eastAsia="Calibri" w:hAnsi="Calibri"/>
          <w:color w:val="000000"/>
        </w:rPr>
      </w:pPr>
      <w:r>
        <w:pict w14:anchorId="71581E6B">
          <v:line id="_x0000_s1026" style="position:absolute;left:0;text-align:left;z-index:251656192;mso-position-horizontal-relative:page;mso-position-vertical-relative:page" from="70.55pt,778.3pt" to="526.25pt,778.3pt" strokecolor="#d9d9d9" strokeweight=".7pt">
            <w10:wrap anchorx="page" anchory="page"/>
          </v:line>
        </w:pict>
      </w:r>
      <w:r w:rsidR="00767328">
        <w:rPr>
          <w:rFonts w:ascii="Calibri" w:eastAsia="Calibri" w:hAnsi="Calibri"/>
          <w:color w:val="000000"/>
        </w:rPr>
        <w:t>10 |</w:t>
      </w:r>
      <w:r w:rsidR="00767328">
        <w:rPr>
          <w:rFonts w:ascii="Calibri" w:eastAsia="Calibri" w:hAnsi="Calibri"/>
          <w:color w:val="7E7E7E"/>
        </w:rPr>
        <w:t xml:space="preserve"> P a g e</w:t>
      </w:r>
    </w:p>
    <w:p w14:paraId="71581E4E" w14:textId="77777777" w:rsidR="008F51B0" w:rsidRDefault="00767328">
      <w:pPr>
        <w:spacing w:before="42" w:line="244" w:lineRule="exact"/>
        <w:ind w:left="144" w:right="36"/>
        <w:textAlignment w:val="baseline"/>
        <w:rPr>
          <w:rFonts w:ascii="Corbel" w:eastAsia="Corbel" w:hAnsi="Corbel"/>
          <w:color w:val="000000"/>
          <w:spacing w:val="3"/>
          <w:sz w:val="21"/>
        </w:rPr>
      </w:pPr>
      <w:r>
        <w:rPr>
          <w:rFonts w:ascii="Corbel" w:eastAsia="Corbel" w:hAnsi="Corbel"/>
          <w:color w:val="000000"/>
          <w:spacing w:val="3"/>
          <w:sz w:val="21"/>
        </w:rPr>
        <w:t>Bilateral Implementation Plan Template NSA Policy Initiatives</w:t>
      </w:r>
    </w:p>
    <w:sectPr w:rsidR="008F51B0">
      <w:type w:val="continuous"/>
      <w:pgSz w:w="11909" w:h="16838"/>
      <w:pgMar w:top="1440" w:right="1385" w:bottom="302" w:left="13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7680" w14:textId="77777777" w:rsidR="00C7627A" w:rsidRDefault="00C7627A">
      <w:r>
        <w:separator/>
      </w:r>
    </w:p>
  </w:endnote>
  <w:endnote w:type="continuationSeparator" w:id="0">
    <w:p w14:paraId="397D8F9D" w14:textId="77777777" w:rsidR="00C7627A" w:rsidRDefault="00C7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rbel">
    <w:charset w:val="00"/>
    <w:pitch w:val="variable"/>
    <w:family w:val="swiss"/>
    <w:panose1 w:val="02020603050405020304"/>
  </w:font>
  <w:font w:name="Courier New">
    <w:charset w:val="00"/>
    <w:pitch w:val="fixed"/>
    <w:family w:val="auto"/>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43BEC" w14:textId="77777777" w:rsidR="00C7627A" w:rsidRDefault="00C7627A"/>
  </w:footnote>
  <w:footnote w:type="continuationSeparator" w:id="0">
    <w:p w14:paraId="7DA28EA5" w14:textId="77777777" w:rsidR="00C7627A" w:rsidRDefault="00C7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5FD8"/>
    <w:multiLevelType w:val="multilevel"/>
    <w:tmpl w:val="35BCD724"/>
    <w:lvl w:ilvl="0">
      <w:start w:val="1"/>
      <w:numFmt w:val="decimal"/>
      <w:lvlText w:val="%1."/>
      <w:lvlJc w:val="left"/>
      <w:pPr>
        <w:tabs>
          <w:tab w:val="left" w:pos="288"/>
        </w:tabs>
      </w:pPr>
      <w:rPr>
        <w:rFonts w:ascii="Corbel" w:eastAsia="Corbel" w:hAnsi="Corbe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50E4D"/>
    <w:multiLevelType w:val="multilevel"/>
    <w:tmpl w:val="AF5AAF1E"/>
    <w:lvl w:ilvl="0">
      <w:numFmt w:val="bullet"/>
      <w:lvlText w:val="o"/>
      <w:lvlJc w:val="left"/>
      <w:pPr>
        <w:tabs>
          <w:tab w:val="left" w:pos="360"/>
        </w:tabs>
      </w:pPr>
      <w:rPr>
        <w:rFonts w:ascii="Courier New" w:eastAsia="Courier New" w:hAnsi="Courier New"/>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6494F"/>
    <w:multiLevelType w:val="multilevel"/>
    <w:tmpl w:val="3E268206"/>
    <w:lvl w:ilvl="0">
      <w:start w:val="1"/>
      <w:numFmt w:val="decimal"/>
      <w:lvlText w:val="%1."/>
      <w:lvlJc w:val="left"/>
      <w:pPr>
        <w:tabs>
          <w:tab w:val="left" w:pos="288"/>
        </w:tabs>
      </w:pPr>
      <w:rPr>
        <w:rFonts w:ascii="Corbel" w:eastAsia="Corbel" w:hAnsi="Corbe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F0738"/>
    <w:multiLevelType w:val="multilevel"/>
    <w:tmpl w:val="68DAE920"/>
    <w:lvl w:ilvl="0">
      <w:numFmt w:val="bullet"/>
      <w:lvlText w:val="·"/>
      <w:lvlJc w:val="left"/>
      <w:pPr>
        <w:tabs>
          <w:tab w:val="left" w:pos="360"/>
        </w:tabs>
      </w:pPr>
      <w:rPr>
        <w:rFonts w:ascii="Symbol" w:eastAsia="Symbol" w:hAnsi="Symbol"/>
        <w:color w:val="auto"/>
        <w:spacing w:val="0"/>
        <w:w w:val="100"/>
        <w:sz w:val="21"/>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6D063E"/>
    <w:multiLevelType w:val="multilevel"/>
    <w:tmpl w:val="493C019E"/>
    <w:lvl w:ilvl="0">
      <w:start w:val="1"/>
      <w:numFmt w:val="decimal"/>
      <w:lvlText w:val="%1."/>
      <w:lvlJc w:val="left"/>
      <w:pPr>
        <w:tabs>
          <w:tab w:val="left" w:pos="288"/>
        </w:tabs>
      </w:pPr>
      <w:rPr>
        <w:rFonts w:ascii="Corbel" w:eastAsia="Corbel" w:hAnsi="Corbe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8516A4"/>
    <w:multiLevelType w:val="multilevel"/>
    <w:tmpl w:val="6DF81EE6"/>
    <w:lvl w:ilvl="0">
      <w:start w:val="1"/>
      <w:numFmt w:val="decimal"/>
      <w:lvlText w:val="%1."/>
      <w:lvlJc w:val="left"/>
      <w:pPr>
        <w:tabs>
          <w:tab w:val="left" w:pos="288"/>
        </w:tabs>
      </w:pPr>
      <w:rPr>
        <w:rFonts w:ascii="Corbel" w:eastAsia="Corbel" w:hAnsi="Corbe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65D98"/>
    <w:multiLevelType w:val="hybridMultilevel"/>
    <w:tmpl w:val="DDEC6B24"/>
    <w:lvl w:ilvl="0" w:tplc="64AEF17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C9361E"/>
    <w:multiLevelType w:val="multilevel"/>
    <w:tmpl w:val="9FD2B77E"/>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6444340">
    <w:abstractNumId w:val="4"/>
  </w:num>
  <w:num w:numId="2" w16cid:durableId="586571294">
    <w:abstractNumId w:val="0"/>
  </w:num>
  <w:num w:numId="3" w16cid:durableId="1415282601">
    <w:abstractNumId w:val="2"/>
  </w:num>
  <w:num w:numId="4" w16cid:durableId="788746266">
    <w:abstractNumId w:val="7"/>
  </w:num>
  <w:num w:numId="5" w16cid:durableId="715473931">
    <w:abstractNumId w:val="3"/>
  </w:num>
  <w:num w:numId="6" w16cid:durableId="1552304437">
    <w:abstractNumId w:val="1"/>
  </w:num>
  <w:num w:numId="7" w16cid:durableId="1930119637">
    <w:abstractNumId w:val="5"/>
  </w:num>
  <w:num w:numId="8" w16cid:durableId="1222640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B0"/>
    <w:rsid w:val="002C169F"/>
    <w:rsid w:val="003E30D2"/>
    <w:rsid w:val="00573488"/>
    <w:rsid w:val="00631B05"/>
    <w:rsid w:val="006565DD"/>
    <w:rsid w:val="00726883"/>
    <w:rsid w:val="00767328"/>
    <w:rsid w:val="00813897"/>
    <w:rsid w:val="008F51B0"/>
    <w:rsid w:val="00921230"/>
    <w:rsid w:val="00955526"/>
    <w:rsid w:val="00A075B2"/>
    <w:rsid w:val="00B32F01"/>
    <w:rsid w:val="00BC6072"/>
    <w:rsid w:val="00C7627A"/>
    <w:rsid w:val="00CA6064"/>
    <w:rsid w:val="00EE6817"/>
    <w:rsid w:val="00F055BE"/>
    <w:rsid w:val="5ECE6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1581D6F"/>
  <w15:docId w15:val="{C0039482-1479-421E-A006-8CF9F15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dewr.gov.au/national-skills-agreement/national-foundation-skills-strategy-2025-2035" TargetMode="External"/><Relationship Id="rId18" Type="http://schemas.openxmlformats.org/officeDocument/2006/relationships/hyperlink" Target="https://libraries.tas.gov.au/get-help/reading-writing-maths-help-for-tasmanians/help-for-english-language-learners/" TargetMode="External"/><Relationship Id="rId26" Type="http://schemas.openxmlformats.org/officeDocument/2006/relationships/hyperlink" Target="https://26ten.tas.gov.au/Pages/default.aspx" TargetMode="External"/><Relationship Id="rId21" Type="http://schemas.openxmlformats.org/officeDocument/2006/relationships/hyperlink" Target="https://libraries.tas.gov.au/get-help/lifelong-learning/computing-and-technology-programs/" TargetMode="External"/><Relationship Id="rId34" Type="http://schemas.openxmlformats.org/officeDocument/2006/relationships/hyperlink" Target="https://www.skills.tas.gov.au/strategic-documents-and-policies/skills_tasmania_skills_plan" TargetMode="External"/><Relationship Id="rId7" Type="http://schemas.openxmlformats.org/officeDocument/2006/relationships/webSettings" Target="webSettings.xml"/><Relationship Id="rId12" Type="http://schemas.openxmlformats.org/officeDocument/2006/relationships/hyperlink" Target="https://federalfinancialrelations.gov.au/" TargetMode="External"/><Relationship Id="rId17" Type="http://schemas.openxmlformats.org/officeDocument/2006/relationships/hyperlink" Target="https://libraries.tas.gov.au/get-help/reading-writing-maths-help-for-tasmanians/help-for-english-language-learners/" TargetMode="External"/><Relationship Id="rId25" Type="http://schemas.openxmlformats.org/officeDocument/2006/relationships/hyperlink" Target="https://libraries.tas.gov.au/get-help/reading-writing-maths-help-for-tasmanians/help-for-english-language-learners/" TargetMode="External"/><Relationship Id="rId33" Type="http://schemas.openxmlformats.org/officeDocument/2006/relationships/hyperlink" Target="https://www.skills.tas.gov.au/industry_partnerships_and_collaboration"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tas.gov.au/literacy/the-plan" TargetMode="External"/><Relationship Id="rId20" Type="http://schemas.openxmlformats.org/officeDocument/2006/relationships/hyperlink" Target="https://26ten.tas.gov.au/" TargetMode="External"/><Relationship Id="rId29" Type="http://schemas.openxmlformats.org/officeDocument/2006/relationships/hyperlink" Target="https://26ten.tas.gov.au/i-want-help/i-want-help-for-my-organisation/26ten-workplace-gr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deralfinancialrelations.gov.au/" TargetMode="External"/><Relationship Id="rId24" Type="http://schemas.openxmlformats.org/officeDocument/2006/relationships/hyperlink" Target="https://libraries.tas.gov.au/get-help/reading-writing-maths-help-for-tasmanians/help-for-english-language-learners/" TargetMode="External"/><Relationship Id="rId32" Type="http://schemas.openxmlformats.org/officeDocument/2006/relationships/hyperlink" Target="https://www.skills.tas.gov.au/industry_partnerships_and_collaboratio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as.gov.au/literacy/the-plan" TargetMode="External"/><Relationship Id="rId23" Type="http://schemas.openxmlformats.org/officeDocument/2006/relationships/hyperlink" Target="https://libraries.tas.gov.au/get-help/reading-writing-maths-help-for-tasmanians/help-for-english-language-learners/" TargetMode="External"/><Relationship Id="rId28" Type="http://schemas.openxmlformats.org/officeDocument/2006/relationships/hyperlink" Target="https://www.skills.tas.gov.au/strategic-documents-and-policies/skills_tasmania_skills_plan" TargetMode="External"/><Relationship Id="rId36" Type="http://schemas.openxmlformats.org/officeDocument/2006/relationships/fontTable" Target="fontTable.xml"/><Relationship Id="rId10" Type="http://schemas.openxmlformats.org/officeDocument/2006/relationships/hyperlink" Target="https://federalfinancialrelations.gov.au/" TargetMode="External"/><Relationship Id="rId19" Type="http://schemas.openxmlformats.org/officeDocument/2006/relationships/hyperlink" Target="https://26ten.tas.gov.au/" TargetMode="External"/><Relationship Id="rId3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national-skills-agreement/national-foundation-skills-strategy-2025-2035" TargetMode="External"/><Relationship Id="rId22" Type="http://schemas.openxmlformats.org/officeDocument/2006/relationships/hyperlink" Target="https://libraries.tas.gov.au/get-help/lifelong-learning/computing-and-technology-programs/" TargetMode="External"/><Relationship Id="rId27" Type="http://schemas.openxmlformats.org/officeDocument/2006/relationships/hyperlink" Target="https://www.skills.tas.gov.au/strategic-documents-and-policies/skills_tasmania_skills_plan" TargetMode="External"/><Relationship Id="rId30" Type="http://schemas.openxmlformats.org/officeDocument/2006/relationships/hyperlink" Target="https://26ten.tas.gov.au/i-want-help/i-want-help-for-my-organisation/26ten-workplace-grants/" TargetMode="External"/><Relationship Id="rId35" Type="http://schemas.openxmlformats.org/officeDocument/2006/relationships/hyperlink" Target="https://www.skills.tas.gov.au/strategic-documents-and-policies/skills_tasmania_skills_plan"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80387-F108-400E-B5AE-C628F681BF69}">
  <ds:schemaRefs>
    <ds:schemaRef ds:uri="http://schemas.microsoft.com/office/2006/documentManagement/types"/>
    <ds:schemaRef ds:uri="http://purl.org/dc/terms/"/>
    <ds:schemaRef ds:uri="http://purl.org/dc/dcmitype/"/>
    <ds:schemaRef ds:uri="780e3d77-bdb5-435a-b75f-4fc43ecbb6e3"/>
    <ds:schemaRef ds:uri="http://purl.org/dc/elements/1.1/"/>
    <ds:schemaRef ds:uri="http://schemas.microsoft.com/office/infopath/2007/PartnerControls"/>
    <ds:schemaRef ds:uri="http://schemas.openxmlformats.org/package/2006/metadata/core-properties"/>
    <ds:schemaRef ds:uri="7f0b1472-ede2-46e6-b128-8f7d0f8651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B56CF1-470F-46D4-B490-EF38FAC5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5CAFB-860D-4EF9-BE3F-08FB47B42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3788</Words>
  <Characters>21593</Characters>
  <Application>Microsoft Office Word</Application>
  <DocSecurity>4</DocSecurity>
  <Lines>179</Lines>
  <Paragraphs>50</Paragraphs>
  <ScaleCrop>false</ScaleCrop>
  <Company>Australian Government</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SMITH,Daniel</dc:creator>
  <cp:lastModifiedBy>Pennifold, Lauren</cp:lastModifiedBy>
  <cp:revision>2</cp:revision>
  <dcterms:created xsi:type="dcterms:W3CDTF">2025-07-23T22:52:00Z</dcterms:created>
  <dcterms:modified xsi:type="dcterms:W3CDTF">2025-07-23T22:52:00Z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2025-06-13T00:48:28Z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b696e5bc-d3be-4222-8626-adf1a0680d12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0x0101001EEA16474147224CBD5FB53A098FAF74</vt:lpwstr>
  </property>
  <property fmtid="{D5CDD505-2E9C-101B-9397-08002B2CF9AE}" pid="11" name="MediaServiceImageTags">
    <vt:lpwstr/>
  </property>
</Properties>
</file>