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A7F3" w14:textId="77777777" w:rsidR="00C91B5F" w:rsidRPr="00F208E2" w:rsidRDefault="00C91B5F" w:rsidP="00C91B5F">
      <w:pPr>
        <w:pStyle w:val="Heading9"/>
        <w:rPr>
          <w:i w:val="0"/>
          <w:color w:val="FF0000"/>
        </w:rPr>
      </w:pPr>
    </w:p>
    <w:p w14:paraId="04ABD006" w14:textId="77777777" w:rsidR="00C91B5F" w:rsidRPr="00F1227F" w:rsidRDefault="00317FB3" w:rsidP="00C91B5F">
      <w:pPr>
        <w:pStyle w:val="Heading9"/>
        <w:jc w:val="right"/>
        <w:rPr>
          <w:rStyle w:val="ParagraphnumberingChar"/>
          <w:rFonts w:eastAsiaTheme="majorEastAsia"/>
          <w:i w:val="0"/>
          <w:sz w:val="28"/>
          <w:szCs w:val="28"/>
        </w:rPr>
      </w:pPr>
      <w:r>
        <w:rPr>
          <w:i w:val="0"/>
          <w:sz w:val="28"/>
          <w:szCs w:val="28"/>
        </w:rPr>
        <w:t>Schedule</w:t>
      </w:r>
    </w:p>
    <w:p w14:paraId="4E58393D" w14:textId="77777777" w:rsidR="00C91B5F" w:rsidRPr="001E20F4" w:rsidRDefault="00CD7D4B" w:rsidP="00C91B5F">
      <w:pPr>
        <w:pStyle w:val="Title"/>
      </w:pPr>
      <w:r>
        <w:t xml:space="preserve">St George </w:t>
      </w:r>
      <w:r w:rsidR="0079072A">
        <w:t xml:space="preserve">Illawarra </w:t>
      </w:r>
      <w:r w:rsidR="004634C4">
        <w:t xml:space="preserve">Dragons Community and </w:t>
      </w:r>
      <w:proofErr w:type="gramStart"/>
      <w:r w:rsidR="004634C4">
        <w:t>High Perfo</w:t>
      </w:r>
      <w:r w:rsidR="00656275">
        <w:t>r</w:t>
      </w:r>
      <w:r w:rsidR="004634C4">
        <w:t>mance</w:t>
      </w:r>
      <w:proofErr w:type="gramEnd"/>
      <w:r w:rsidR="004634C4">
        <w:t xml:space="preserve"> Centre</w:t>
      </w:r>
      <w:r w:rsidR="0025322B">
        <w:t xml:space="preserve"> (CHPC) </w:t>
      </w:r>
    </w:p>
    <w:p w14:paraId="2998C8CE" w14:textId="77777777" w:rsidR="00C91B5F" w:rsidRPr="00BE249A" w:rsidRDefault="00D54783" w:rsidP="00C91B5F">
      <w:pPr>
        <w:pStyle w:val="Subtitle"/>
      </w:pPr>
      <w:r>
        <w:t xml:space="preserve">FEDERATION FUNDING AGREEMENT – </w:t>
      </w:r>
      <w:r w:rsidR="2D6552E0">
        <w:t>INFRASTRUCTURE</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91"/>
        <w:gridCol w:w="7938"/>
      </w:tblGrid>
      <w:tr w:rsidR="00C91B5F" w:rsidRPr="00F00A18" w14:paraId="21EA760F" w14:textId="77777777" w:rsidTr="17F33AF1">
        <w:tc>
          <w:tcPr>
            <w:tcW w:w="9629" w:type="dxa"/>
            <w:gridSpan w:val="2"/>
            <w:shd w:val="clear" w:color="auto" w:fill="DEEAF6" w:themeFill="accent1" w:themeFillTint="33"/>
          </w:tcPr>
          <w:p w14:paraId="655C5309" w14:textId="77777777" w:rsidR="00C91B5F" w:rsidRPr="00F00A18" w:rsidRDefault="00C91B5F" w:rsidP="005D3905">
            <w:pPr>
              <w:pStyle w:val="Tableformat"/>
              <w:rPr>
                <w:b/>
                <w:color w:val="auto"/>
              </w:rPr>
            </w:pPr>
            <w:r w:rsidRPr="00F00A18">
              <w:rPr>
                <w:b/>
                <w:color w:val="auto"/>
              </w:rPr>
              <w:t>Table 1: Formalities and operation of schedule</w:t>
            </w:r>
          </w:p>
        </w:tc>
      </w:tr>
      <w:tr w:rsidR="002B3A0D" w:rsidRPr="00F00A18" w14:paraId="34C2F045" w14:textId="77777777" w:rsidTr="17F33AF1">
        <w:tc>
          <w:tcPr>
            <w:tcW w:w="1691" w:type="dxa"/>
            <w:shd w:val="clear" w:color="auto" w:fill="auto"/>
          </w:tcPr>
          <w:p w14:paraId="3ABFE59B" w14:textId="77777777" w:rsidR="002B3A0D" w:rsidRPr="00F00A18" w:rsidRDefault="002B3A0D" w:rsidP="002B3A0D">
            <w:pPr>
              <w:pStyle w:val="Tableformat"/>
              <w:rPr>
                <w:color w:val="auto"/>
              </w:rPr>
            </w:pPr>
            <w:r w:rsidRPr="00F00A18">
              <w:rPr>
                <w:color w:val="auto"/>
              </w:rPr>
              <w:t>Parties</w:t>
            </w:r>
          </w:p>
        </w:tc>
        <w:tc>
          <w:tcPr>
            <w:tcW w:w="7938" w:type="dxa"/>
            <w:shd w:val="clear" w:color="auto" w:fill="auto"/>
          </w:tcPr>
          <w:p w14:paraId="6ED84213" w14:textId="77777777" w:rsidR="002B3A0D" w:rsidRPr="002B3A0D" w:rsidRDefault="002B3A0D" w:rsidP="002B3A0D">
            <w:pPr>
              <w:pStyle w:val="Tableformat"/>
              <w:rPr>
                <w:color w:val="auto"/>
              </w:rPr>
            </w:pPr>
            <w:r w:rsidRPr="7F01774F">
              <w:rPr>
                <w:color w:val="auto"/>
              </w:rPr>
              <w:t xml:space="preserve">Commonwealth </w:t>
            </w:r>
          </w:p>
          <w:p w14:paraId="796BB9C7" w14:textId="77777777" w:rsidR="002B3A0D" w:rsidRPr="00F00A18" w:rsidRDefault="002B3A0D" w:rsidP="002B3A0D">
            <w:pPr>
              <w:pStyle w:val="Tableformat"/>
              <w:rPr>
                <w:color w:val="auto"/>
              </w:rPr>
            </w:pPr>
            <w:r w:rsidRPr="7F01774F">
              <w:rPr>
                <w:color w:val="auto"/>
              </w:rPr>
              <w:t>N</w:t>
            </w:r>
            <w:r w:rsidR="00656275" w:rsidRPr="7F01774F">
              <w:rPr>
                <w:color w:val="auto"/>
              </w:rPr>
              <w:t>ew South Wales</w:t>
            </w:r>
            <w:r w:rsidRPr="7F01774F">
              <w:rPr>
                <w:color w:val="auto"/>
              </w:rPr>
              <w:t xml:space="preserve"> </w:t>
            </w:r>
          </w:p>
        </w:tc>
      </w:tr>
      <w:tr w:rsidR="002B3A0D" w:rsidRPr="00F00A18" w14:paraId="4D61E41D" w14:textId="77777777" w:rsidTr="17F33AF1">
        <w:tc>
          <w:tcPr>
            <w:tcW w:w="1691" w:type="dxa"/>
            <w:shd w:val="clear" w:color="auto" w:fill="auto"/>
          </w:tcPr>
          <w:p w14:paraId="35884CFA" w14:textId="77777777" w:rsidR="002B3A0D" w:rsidRPr="00F00A18" w:rsidRDefault="002B3A0D" w:rsidP="002B3A0D">
            <w:pPr>
              <w:pStyle w:val="Tableformat"/>
              <w:rPr>
                <w:color w:val="auto"/>
              </w:rPr>
            </w:pPr>
            <w:r w:rsidRPr="00F00A18">
              <w:rPr>
                <w:color w:val="auto"/>
              </w:rPr>
              <w:t>Duration</w:t>
            </w:r>
          </w:p>
        </w:tc>
        <w:tc>
          <w:tcPr>
            <w:tcW w:w="7938" w:type="dxa"/>
            <w:shd w:val="clear" w:color="auto" w:fill="auto"/>
          </w:tcPr>
          <w:p w14:paraId="48FDD85B" w14:textId="77777777" w:rsidR="002B3A0D" w:rsidRPr="00F00A18" w:rsidRDefault="002B3A0D" w:rsidP="002B3A0D">
            <w:pPr>
              <w:pStyle w:val="Tableformat"/>
              <w:rPr>
                <w:color w:val="auto"/>
              </w:rPr>
            </w:pPr>
            <w:r w:rsidRPr="002B3A0D">
              <w:rPr>
                <w:color w:val="auto"/>
              </w:rPr>
              <w:t>This schedule is expected to expire on 31 December 2026, or on completion of the initiative, including acceptance of final performance reporting and processing of final payments.</w:t>
            </w:r>
          </w:p>
        </w:tc>
      </w:tr>
      <w:tr w:rsidR="002B3A0D" w:rsidRPr="00F00A18" w14:paraId="2FAE5361" w14:textId="77777777" w:rsidTr="17F33AF1">
        <w:tc>
          <w:tcPr>
            <w:tcW w:w="1691" w:type="dxa"/>
            <w:shd w:val="clear" w:color="auto" w:fill="auto"/>
          </w:tcPr>
          <w:p w14:paraId="3F790A32" w14:textId="77777777" w:rsidR="002B3A0D" w:rsidRPr="00F00A18" w:rsidRDefault="002B3A0D" w:rsidP="002B3A0D">
            <w:pPr>
              <w:pStyle w:val="Tableformat"/>
              <w:rPr>
                <w:color w:val="auto"/>
              </w:rPr>
            </w:pPr>
            <w:r w:rsidRPr="00F00A18">
              <w:rPr>
                <w:color w:val="auto"/>
              </w:rPr>
              <w:t>Purpose</w:t>
            </w:r>
          </w:p>
        </w:tc>
        <w:tc>
          <w:tcPr>
            <w:tcW w:w="7938" w:type="dxa"/>
            <w:shd w:val="clear" w:color="auto" w:fill="auto"/>
          </w:tcPr>
          <w:p w14:paraId="2188FBF4" w14:textId="77777777" w:rsidR="002B3A0D" w:rsidRPr="002B3A0D" w:rsidRDefault="002B3A0D" w:rsidP="002B3A0D">
            <w:pPr>
              <w:rPr>
                <w:rFonts w:ascii="Corbel" w:hAnsi="Corbel"/>
                <w:sz w:val="26"/>
                <w:szCs w:val="26"/>
              </w:rPr>
            </w:pPr>
            <w:r w:rsidRPr="002B3A0D">
              <w:rPr>
                <w:rFonts w:ascii="Corbel" w:hAnsi="Corbel"/>
                <w:sz w:val="26"/>
                <w:szCs w:val="26"/>
              </w:rPr>
              <w:t xml:space="preserve">This Schedule will support the delivery of the new St George Illawarra Dragons Community and </w:t>
            </w:r>
            <w:proofErr w:type="gramStart"/>
            <w:r w:rsidRPr="002B3A0D">
              <w:rPr>
                <w:rFonts w:ascii="Corbel" w:hAnsi="Corbel"/>
                <w:sz w:val="26"/>
                <w:szCs w:val="26"/>
              </w:rPr>
              <w:t>High Performance</w:t>
            </w:r>
            <w:proofErr w:type="gramEnd"/>
            <w:r w:rsidRPr="002B3A0D">
              <w:rPr>
                <w:rFonts w:ascii="Corbel" w:hAnsi="Corbel"/>
                <w:sz w:val="26"/>
                <w:szCs w:val="26"/>
              </w:rPr>
              <w:t xml:space="preserve"> Centre. This includes the delivery of:</w:t>
            </w:r>
          </w:p>
          <w:p w14:paraId="1F3686AD"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7F01774F">
              <w:rPr>
                <w:rFonts w:ascii="Corbel" w:hAnsi="Corbel"/>
                <w:sz w:val="26"/>
                <w:szCs w:val="26"/>
              </w:rPr>
              <w:t>National Rugby Leag</w:t>
            </w:r>
            <w:r w:rsidR="74BDCC25" w:rsidRPr="7F01774F">
              <w:rPr>
                <w:rFonts w:ascii="Corbel" w:hAnsi="Corbel"/>
                <w:sz w:val="26"/>
                <w:szCs w:val="26"/>
              </w:rPr>
              <w:t>u</w:t>
            </w:r>
            <w:r w:rsidRPr="7F01774F">
              <w:rPr>
                <w:rFonts w:ascii="Corbel" w:hAnsi="Corbel"/>
                <w:sz w:val="26"/>
                <w:szCs w:val="26"/>
              </w:rPr>
              <w:t>e (NRL), NRL Women’s, and multipurpose staff and community change rooms, amenities and 'End of Trip' facilities</w:t>
            </w:r>
          </w:p>
          <w:p w14:paraId="09D955D2"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002B3A0D">
              <w:rPr>
                <w:rFonts w:ascii="Corbel" w:hAnsi="Corbel"/>
                <w:sz w:val="26"/>
                <w:szCs w:val="26"/>
              </w:rPr>
              <w:t xml:space="preserve">A </w:t>
            </w:r>
            <w:proofErr w:type="gramStart"/>
            <w:r w:rsidRPr="002B3A0D">
              <w:rPr>
                <w:rFonts w:ascii="Corbel" w:hAnsi="Corbel"/>
                <w:sz w:val="26"/>
                <w:szCs w:val="26"/>
              </w:rPr>
              <w:t>high performance</w:t>
            </w:r>
            <w:proofErr w:type="gramEnd"/>
            <w:r w:rsidRPr="002B3A0D">
              <w:rPr>
                <w:rFonts w:ascii="Corbel" w:hAnsi="Corbel"/>
                <w:sz w:val="26"/>
                <w:szCs w:val="26"/>
              </w:rPr>
              <w:t xml:space="preserve"> gym, cardio and hydration area</w:t>
            </w:r>
          </w:p>
          <w:p w14:paraId="71BE0AE4"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002B3A0D">
              <w:rPr>
                <w:rFonts w:ascii="Corbel" w:hAnsi="Corbel"/>
                <w:sz w:val="26"/>
                <w:szCs w:val="26"/>
              </w:rPr>
              <w:t>A flexible community classroom (with operable wall for dividing in two) and a lecture theatre</w:t>
            </w:r>
          </w:p>
          <w:p w14:paraId="22B4B01C"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002B3A0D">
              <w:rPr>
                <w:rFonts w:ascii="Corbel" w:hAnsi="Corbel"/>
                <w:sz w:val="26"/>
                <w:szCs w:val="26"/>
              </w:rPr>
              <w:t>Internal 'grandstand' for presentations, gatherings and casual meetings</w:t>
            </w:r>
          </w:p>
          <w:p w14:paraId="08D4EF94"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002B3A0D">
              <w:rPr>
                <w:rFonts w:ascii="Corbel" w:hAnsi="Corbel"/>
                <w:sz w:val="26"/>
                <w:szCs w:val="26"/>
              </w:rPr>
              <w:t>Medical, physio and recovery zones for player treatment, recovery and rehabilitation</w:t>
            </w:r>
          </w:p>
          <w:p w14:paraId="6BF7A63A"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002B3A0D">
              <w:rPr>
                <w:rFonts w:ascii="Corbel" w:hAnsi="Corbel"/>
                <w:sz w:val="26"/>
                <w:szCs w:val="26"/>
              </w:rPr>
              <w:t>An aquatic recovery area including a sauna, hot and cold plunge pools and an approx. 10m recovery pool</w:t>
            </w:r>
          </w:p>
          <w:p w14:paraId="16B0F862" w14:textId="77777777" w:rsidR="002B3A0D" w:rsidRPr="002B3A0D" w:rsidRDefault="002B3A0D" w:rsidP="002B3A0D">
            <w:pPr>
              <w:pStyle w:val="ListParagraph"/>
              <w:widowControl/>
              <w:numPr>
                <w:ilvl w:val="0"/>
                <w:numId w:val="3"/>
              </w:numPr>
              <w:tabs>
                <w:tab w:val="left" w:pos="340"/>
              </w:tabs>
              <w:spacing w:after="120" w:line="264" w:lineRule="auto"/>
              <w:rPr>
                <w:rFonts w:ascii="Corbel" w:hAnsi="Corbel"/>
                <w:sz w:val="26"/>
                <w:szCs w:val="26"/>
              </w:rPr>
            </w:pPr>
            <w:r w:rsidRPr="002B3A0D">
              <w:rPr>
                <w:rFonts w:ascii="Corbel" w:hAnsi="Corbel"/>
                <w:sz w:val="26"/>
                <w:szCs w:val="26"/>
              </w:rPr>
              <w:t>Property, laundry, storage, loading dock and plant rooms</w:t>
            </w:r>
          </w:p>
          <w:p w14:paraId="1E357E14" w14:textId="77777777" w:rsidR="002B3A0D" w:rsidRPr="002B3A0D" w:rsidRDefault="002B3A0D" w:rsidP="002B3A0D">
            <w:pPr>
              <w:pStyle w:val="ListParagraph"/>
              <w:widowControl/>
              <w:numPr>
                <w:ilvl w:val="0"/>
                <w:numId w:val="3"/>
              </w:numPr>
              <w:tabs>
                <w:tab w:val="left" w:pos="340"/>
              </w:tabs>
              <w:spacing w:after="120" w:line="264" w:lineRule="auto"/>
              <w:rPr>
                <w:rFonts w:ascii="Corbel" w:hAnsi="Corbel"/>
                <w:sz w:val="26"/>
                <w:szCs w:val="26"/>
              </w:rPr>
            </w:pPr>
            <w:r w:rsidRPr="002B3A0D">
              <w:rPr>
                <w:rFonts w:ascii="Corbel" w:hAnsi="Corbel"/>
                <w:sz w:val="26"/>
                <w:szCs w:val="26"/>
              </w:rPr>
              <w:t>Office accommodation for Dragons staff and community partners including open plan offices, meeting rooms, collaboration space and amenities</w:t>
            </w:r>
          </w:p>
          <w:p w14:paraId="05327AC5"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002B3A0D">
              <w:rPr>
                <w:rFonts w:ascii="Corbel" w:hAnsi="Corbel"/>
                <w:sz w:val="26"/>
                <w:szCs w:val="26"/>
              </w:rPr>
              <w:t>A multipurpose staff and player lunch / dining and function space including semi-commercial kitchen, lounge and outdoor terrace overlooking the elite and community fields</w:t>
            </w:r>
          </w:p>
          <w:p w14:paraId="7C9C7F33"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002B3A0D">
              <w:rPr>
                <w:rFonts w:ascii="Corbel" w:hAnsi="Corbel"/>
                <w:sz w:val="26"/>
                <w:szCs w:val="26"/>
              </w:rPr>
              <w:t>A multimedia studio and production area for communications and media content creation</w:t>
            </w:r>
          </w:p>
          <w:p w14:paraId="1AC8CB1B" w14:textId="77777777" w:rsidR="002B3A0D" w:rsidRPr="002B3A0D" w:rsidRDefault="002B3A0D" w:rsidP="002B3A0D">
            <w:pPr>
              <w:pStyle w:val="ListParagraph"/>
              <w:widowControl/>
              <w:numPr>
                <w:ilvl w:val="0"/>
                <w:numId w:val="3"/>
              </w:numPr>
              <w:tabs>
                <w:tab w:val="left" w:pos="340"/>
              </w:tabs>
              <w:spacing w:after="120" w:line="264" w:lineRule="auto"/>
              <w:rPr>
                <w:rFonts w:ascii="Corbel" w:hAnsi="Corbel"/>
                <w:sz w:val="26"/>
                <w:szCs w:val="26"/>
              </w:rPr>
            </w:pPr>
            <w:r w:rsidRPr="002B3A0D">
              <w:rPr>
                <w:rFonts w:ascii="Corbel" w:hAnsi="Corbel"/>
                <w:sz w:val="26"/>
                <w:szCs w:val="26"/>
              </w:rPr>
              <w:t>An allied Health area (fit-out to be completed by allied health service provider / tenant)</w:t>
            </w:r>
          </w:p>
          <w:p w14:paraId="24247CCA" w14:textId="77777777" w:rsidR="002B3A0D" w:rsidRPr="002B3A0D" w:rsidRDefault="002B3A0D" w:rsidP="002B3A0D">
            <w:pPr>
              <w:pStyle w:val="ListParagraph"/>
              <w:widowControl/>
              <w:numPr>
                <w:ilvl w:val="0"/>
                <w:numId w:val="3"/>
              </w:numPr>
              <w:tabs>
                <w:tab w:val="left" w:pos="340"/>
              </w:tabs>
              <w:spacing w:after="120" w:line="264" w:lineRule="auto"/>
              <w:contextualSpacing/>
              <w:rPr>
                <w:rFonts w:ascii="Corbel" w:hAnsi="Corbel"/>
                <w:sz w:val="26"/>
                <w:szCs w:val="26"/>
              </w:rPr>
            </w:pPr>
            <w:r w:rsidRPr="002B3A0D">
              <w:rPr>
                <w:rFonts w:ascii="Corbel" w:hAnsi="Corbel"/>
                <w:sz w:val="26"/>
                <w:szCs w:val="26"/>
              </w:rPr>
              <w:lastRenderedPageBreak/>
              <w:t>Landscape including public domain, pedestrian paths, soft and hard landscaping, and</w:t>
            </w:r>
          </w:p>
          <w:p w14:paraId="26D40AC8" w14:textId="77777777" w:rsidR="002B3A0D" w:rsidRPr="00F00A18" w:rsidRDefault="002B3A0D" w:rsidP="0035499A">
            <w:pPr>
              <w:pStyle w:val="ListParagraph"/>
              <w:widowControl/>
              <w:numPr>
                <w:ilvl w:val="0"/>
                <w:numId w:val="3"/>
              </w:numPr>
              <w:tabs>
                <w:tab w:val="left" w:pos="340"/>
              </w:tabs>
              <w:spacing w:after="120" w:line="264" w:lineRule="auto"/>
              <w:contextualSpacing/>
            </w:pPr>
            <w:r w:rsidRPr="002B3A0D">
              <w:rPr>
                <w:rFonts w:ascii="Corbel" w:hAnsi="Corbel"/>
                <w:sz w:val="26"/>
                <w:szCs w:val="26"/>
              </w:rPr>
              <w:t>Two full size rugby league fields (100m x 68m) for elite, pre-elite and community use.</w:t>
            </w:r>
          </w:p>
        </w:tc>
      </w:tr>
      <w:tr w:rsidR="00C91B5F" w:rsidRPr="00F00A18" w14:paraId="036ACA11" w14:textId="77777777" w:rsidTr="17F33AF1">
        <w:trPr>
          <w:trHeight w:val="4350"/>
        </w:trPr>
        <w:tc>
          <w:tcPr>
            <w:tcW w:w="1691" w:type="dxa"/>
            <w:shd w:val="clear" w:color="auto" w:fill="auto"/>
          </w:tcPr>
          <w:p w14:paraId="4DC176F8" w14:textId="77777777" w:rsidR="00C91B5F" w:rsidRPr="00F00A18" w:rsidRDefault="00C91B5F" w:rsidP="005D3905">
            <w:pPr>
              <w:pStyle w:val="Tableformat"/>
              <w:rPr>
                <w:color w:val="auto"/>
              </w:rPr>
            </w:pPr>
            <w:r w:rsidRPr="00F00A18">
              <w:rPr>
                <w:color w:val="auto"/>
              </w:rPr>
              <w:lastRenderedPageBreak/>
              <w:t>Estimated financial contributions</w:t>
            </w:r>
          </w:p>
        </w:tc>
        <w:tc>
          <w:tcPr>
            <w:tcW w:w="7938" w:type="dxa"/>
            <w:shd w:val="clear" w:color="auto" w:fill="auto"/>
          </w:tcPr>
          <w:p w14:paraId="11FDF3EB" w14:textId="77777777" w:rsidR="00014281" w:rsidRDefault="00014281" w:rsidP="006E412D">
            <w:pPr>
              <w:pStyle w:val="Tableformat"/>
              <w:rPr>
                <w:color w:val="auto"/>
              </w:rPr>
            </w:pPr>
            <w:r w:rsidRPr="006E412D">
              <w:rPr>
                <w:color w:val="auto"/>
              </w:rPr>
              <w:t>The Commonwealth will provide an estimated total financial contribution to the State of $13.6m in respect of this Schedule.</w:t>
            </w:r>
          </w:p>
          <w:tbl>
            <w:tblPr>
              <w:tblW w:w="0" w:type="auto"/>
              <w:tblLayout w:type="fixed"/>
              <w:tblLook w:val="01E0" w:firstRow="1" w:lastRow="1" w:firstColumn="1" w:lastColumn="1" w:noHBand="0" w:noVBand="0"/>
            </w:tblPr>
            <w:tblGrid>
              <w:gridCol w:w="2127"/>
              <w:gridCol w:w="1134"/>
              <w:gridCol w:w="992"/>
              <w:gridCol w:w="992"/>
              <w:gridCol w:w="992"/>
              <w:gridCol w:w="727"/>
            </w:tblGrid>
            <w:tr w:rsidR="00333217" w:rsidRPr="0052160C" w14:paraId="69637DC6" w14:textId="77777777" w:rsidTr="713872C1">
              <w:trPr>
                <w:cantSplit/>
              </w:trPr>
              <w:tc>
                <w:tcPr>
                  <w:tcW w:w="2127" w:type="dxa"/>
                  <w:tcBorders>
                    <w:top w:val="single" w:sz="4" w:space="0" w:color="000080"/>
                    <w:bottom w:val="single" w:sz="4" w:space="0" w:color="000080"/>
                  </w:tcBorders>
                </w:tcPr>
                <w:p w14:paraId="56834075" w14:textId="77777777" w:rsidR="00333217" w:rsidRPr="0052160C" w:rsidRDefault="00333217" w:rsidP="7F01774F">
                  <w:pPr>
                    <w:keepNext/>
                    <w:keepLines/>
                    <w:spacing w:before="40" w:after="40"/>
                    <w:ind w:left="-111"/>
                    <w:rPr>
                      <w:b/>
                      <w:bCs/>
                      <w:sz w:val="21"/>
                      <w:szCs w:val="21"/>
                    </w:rPr>
                  </w:pPr>
                  <w:r w:rsidRPr="7F01774F">
                    <w:rPr>
                      <w:b/>
                      <w:bCs/>
                      <w:sz w:val="21"/>
                      <w:szCs w:val="21"/>
                    </w:rPr>
                    <w:t>Table 1</w:t>
                  </w:r>
                </w:p>
                <w:p w14:paraId="044CAA4A" w14:textId="77777777" w:rsidR="00333217" w:rsidRPr="0052160C" w:rsidRDefault="00333217" w:rsidP="00333217">
                  <w:pPr>
                    <w:keepNext/>
                    <w:keepLines/>
                    <w:spacing w:before="40" w:after="40"/>
                    <w:ind w:left="-111"/>
                    <w:rPr>
                      <w:b/>
                      <w:sz w:val="21"/>
                      <w:szCs w:val="21"/>
                    </w:rPr>
                  </w:pPr>
                  <w:r w:rsidRPr="0052160C">
                    <w:rPr>
                      <w:b/>
                      <w:sz w:val="21"/>
                      <w:szCs w:val="21"/>
                    </w:rPr>
                    <w:t>($ million)</w:t>
                  </w:r>
                </w:p>
              </w:tc>
              <w:tc>
                <w:tcPr>
                  <w:tcW w:w="1134" w:type="dxa"/>
                  <w:tcBorders>
                    <w:top w:val="single" w:sz="4" w:space="0" w:color="000080"/>
                    <w:bottom w:val="single" w:sz="4" w:space="0" w:color="000080"/>
                  </w:tcBorders>
                </w:tcPr>
                <w:p w14:paraId="0C2D8DEF" w14:textId="77777777" w:rsidR="00333217" w:rsidRPr="00A90D18" w:rsidRDefault="00333217" w:rsidP="00333217">
                  <w:pPr>
                    <w:rPr>
                      <w:rFonts w:cstheme="minorHAnsi"/>
                      <w:b/>
                      <w:bCs/>
                      <w:sz w:val="21"/>
                      <w:szCs w:val="21"/>
                    </w:rPr>
                  </w:pPr>
                </w:p>
                <w:p w14:paraId="4AAAD461" w14:textId="77777777" w:rsidR="00333217" w:rsidRPr="0052160C" w:rsidRDefault="00333217" w:rsidP="00333217">
                  <w:pPr>
                    <w:keepNext/>
                    <w:keepLines/>
                    <w:spacing w:before="40" w:after="40"/>
                    <w:jc w:val="right"/>
                    <w:rPr>
                      <w:b/>
                      <w:sz w:val="21"/>
                      <w:szCs w:val="21"/>
                    </w:rPr>
                  </w:pPr>
                  <w:r w:rsidRPr="00A90D18">
                    <w:rPr>
                      <w:rFonts w:cstheme="minorHAnsi"/>
                      <w:b/>
                      <w:bCs/>
                      <w:sz w:val="21"/>
                      <w:szCs w:val="21"/>
                    </w:rPr>
                    <w:t>2022-23</w:t>
                  </w:r>
                </w:p>
              </w:tc>
              <w:tc>
                <w:tcPr>
                  <w:tcW w:w="992" w:type="dxa"/>
                  <w:tcBorders>
                    <w:top w:val="single" w:sz="4" w:space="0" w:color="000080"/>
                    <w:bottom w:val="single" w:sz="4" w:space="0" w:color="000080"/>
                  </w:tcBorders>
                </w:tcPr>
                <w:p w14:paraId="16A25CD1" w14:textId="77777777" w:rsidR="00333217" w:rsidRPr="00A90D18" w:rsidRDefault="00333217" w:rsidP="00333217">
                  <w:pPr>
                    <w:rPr>
                      <w:rFonts w:cstheme="minorHAnsi"/>
                      <w:b/>
                      <w:bCs/>
                      <w:sz w:val="21"/>
                      <w:szCs w:val="21"/>
                    </w:rPr>
                  </w:pPr>
                </w:p>
                <w:p w14:paraId="6DCF6DA7" w14:textId="77777777" w:rsidR="00333217" w:rsidRPr="0052160C" w:rsidRDefault="00333217" w:rsidP="00333217">
                  <w:pPr>
                    <w:keepNext/>
                    <w:keepLines/>
                    <w:spacing w:before="40" w:after="40"/>
                    <w:jc w:val="right"/>
                    <w:rPr>
                      <w:b/>
                      <w:sz w:val="21"/>
                      <w:szCs w:val="21"/>
                    </w:rPr>
                  </w:pPr>
                  <w:r w:rsidRPr="00A90D18">
                    <w:rPr>
                      <w:rFonts w:cstheme="minorHAnsi"/>
                      <w:b/>
                      <w:bCs/>
                      <w:sz w:val="21"/>
                      <w:szCs w:val="21"/>
                    </w:rPr>
                    <w:t>2023-24</w:t>
                  </w:r>
                </w:p>
              </w:tc>
              <w:tc>
                <w:tcPr>
                  <w:tcW w:w="992" w:type="dxa"/>
                  <w:tcBorders>
                    <w:top w:val="single" w:sz="4" w:space="0" w:color="000080"/>
                    <w:bottom w:val="single" w:sz="4" w:space="0" w:color="000080"/>
                  </w:tcBorders>
                </w:tcPr>
                <w:p w14:paraId="49AE948E" w14:textId="77777777" w:rsidR="00333217" w:rsidRPr="00A90D18" w:rsidRDefault="00333217" w:rsidP="00333217">
                  <w:pPr>
                    <w:rPr>
                      <w:rFonts w:cstheme="minorHAnsi"/>
                      <w:b/>
                      <w:bCs/>
                      <w:sz w:val="21"/>
                      <w:szCs w:val="21"/>
                    </w:rPr>
                  </w:pPr>
                </w:p>
                <w:p w14:paraId="4985F336" w14:textId="77777777" w:rsidR="00333217" w:rsidRPr="0052160C" w:rsidRDefault="00333217" w:rsidP="00333217">
                  <w:pPr>
                    <w:keepNext/>
                    <w:keepLines/>
                    <w:spacing w:before="40" w:after="40"/>
                    <w:jc w:val="right"/>
                    <w:rPr>
                      <w:b/>
                      <w:sz w:val="21"/>
                      <w:szCs w:val="21"/>
                    </w:rPr>
                  </w:pPr>
                  <w:r w:rsidRPr="00A90D18">
                    <w:rPr>
                      <w:rFonts w:cstheme="minorHAnsi"/>
                      <w:b/>
                      <w:bCs/>
                      <w:sz w:val="21"/>
                      <w:szCs w:val="21"/>
                    </w:rPr>
                    <w:t>2024-25</w:t>
                  </w:r>
                </w:p>
              </w:tc>
              <w:tc>
                <w:tcPr>
                  <w:tcW w:w="992" w:type="dxa"/>
                  <w:tcBorders>
                    <w:top w:val="single" w:sz="4" w:space="0" w:color="000080"/>
                    <w:bottom w:val="single" w:sz="4" w:space="0" w:color="000080"/>
                  </w:tcBorders>
                </w:tcPr>
                <w:p w14:paraId="32D0407A" w14:textId="77777777" w:rsidR="00333217" w:rsidRPr="00A90D18" w:rsidRDefault="00333217" w:rsidP="00333217">
                  <w:pPr>
                    <w:rPr>
                      <w:rFonts w:cstheme="minorHAnsi"/>
                      <w:b/>
                      <w:bCs/>
                      <w:sz w:val="21"/>
                      <w:szCs w:val="21"/>
                    </w:rPr>
                  </w:pPr>
                </w:p>
                <w:p w14:paraId="7A464456" w14:textId="77777777" w:rsidR="00333217" w:rsidRPr="0052160C" w:rsidRDefault="00333217" w:rsidP="00333217">
                  <w:pPr>
                    <w:keepNext/>
                    <w:keepLines/>
                    <w:spacing w:before="40" w:after="40"/>
                    <w:jc w:val="right"/>
                    <w:rPr>
                      <w:b/>
                      <w:sz w:val="21"/>
                      <w:szCs w:val="21"/>
                    </w:rPr>
                  </w:pPr>
                  <w:r w:rsidRPr="00A90D18">
                    <w:rPr>
                      <w:rFonts w:cstheme="minorHAnsi"/>
                      <w:b/>
                      <w:bCs/>
                      <w:sz w:val="21"/>
                      <w:szCs w:val="21"/>
                    </w:rPr>
                    <w:t>2025-26</w:t>
                  </w:r>
                </w:p>
              </w:tc>
              <w:tc>
                <w:tcPr>
                  <w:tcW w:w="727" w:type="dxa"/>
                  <w:tcBorders>
                    <w:top w:val="single" w:sz="4" w:space="0" w:color="000080"/>
                    <w:bottom w:val="single" w:sz="4" w:space="0" w:color="000080"/>
                  </w:tcBorders>
                </w:tcPr>
                <w:p w14:paraId="74B88409" w14:textId="77777777" w:rsidR="00333217" w:rsidRPr="0052160C" w:rsidRDefault="00333217" w:rsidP="00333217">
                  <w:pPr>
                    <w:keepNext/>
                    <w:keepLines/>
                    <w:spacing w:before="40" w:after="40"/>
                    <w:jc w:val="right"/>
                    <w:rPr>
                      <w:b/>
                      <w:sz w:val="21"/>
                      <w:szCs w:val="21"/>
                    </w:rPr>
                  </w:pPr>
                </w:p>
                <w:p w14:paraId="65AE4394" w14:textId="77777777" w:rsidR="00333217" w:rsidRPr="0052160C" w:rsidRDefault="00333217" w:rsidP="00333217">
                  <w:pPr>
                    <w:keepNext/>
                    <w:keepLines/>
                    <w:spacing w:before="40" w:after="40"/>
                    <w:jc w:val="right"/>
                    <w:rPr>
                      <w:b/>
                      <w:sz w:val="21"/>
                      <w:szCs w:val="21"/>
                    </w:rPr>
                  </w:pPr>
                  <w:r w:rsidRPr="0052160C">
                    <w:rPr>
                      <w:b/>
                      <w:sz w:val="21"/>
                      <w:szCs w:val="21"/>
                    </w:rPr>
                    <w:t>Total</w:t>
                  </w:r>
                </w:p>
              </w:tc>
            </w:tr>
            <w:tr w:rsidR="00333217" w:rsidRPr="0052160C" w14:paraId="4341C522" w14:textId="77777777" w:rsidTr="713872C1">
              <w:trPr>
                <w:cantSplit/>
                <w:trHeight w:val="406"/>
              </w:trPr>
              <w:tc>
                <w:tcPr>
                  <w:tcW w:w="2127" w:type="dxa"/>
                  <w:tcBorders>
                    <w:top w:val="single" w:sz="4" w:space="0" w:color="000080"/>
                  </w:tcBorders>
                </w:tcPr>
                <w:p w14:paraId="28DCFC2F" w14:textId="77777777" w:rsidR="00333217" w:rsidRPr="0052160C" w:rsidRDefault="00333217" w:rsidP="00333217">
                  <w:pPr>
                    <w:keepNext/>
                    <w:keepLines/>
                    <w:spacing w:before="60" w:after="60"/>
                    <w:ind w:left="-111"/>
                    <w:rPr>
                      <w:b/>
                      <w:sz w:val="21"/>
                      <w:szCs w:val="21"/>
                    </w:rPr>
                  </w:pPr>
                  <w:r w:rsidRPr="0052160C">
                    <w:rPr>
                      <w:b/>
                      <w:sz w:val="21"/>
                      <w:szCs w:val="21"/>
                    </w:rPr>
                    <w:t>Estimated total budget</w:t>
                  </w:r>
                </w:p>
              </w:tc>
              <w:tc>
                <w:tcPr>
                  <w:tcW w:w="1134" w:type="dxa"/>
                  <w:tcBorders>
                    <w:top w:val="single" w:sz="4" w:space="0" w:color="000080"/>
                  </w:tcBorders>
                </w:tcPr>
                <w:p w14:paraId="40C35617" w14:textId="77777777" w:rsidR="00333217" w:rsidRPr="006A7DE4" w:rsidRDefault="00333217" w:rsidP="006A7DE4">
                  <w:pPr>
                    <w:jc w:val="right"/>
                    <w:rPr>
                      <w:rFonts w:cstheme="minorHAnsi"/>
                      <w:b/>
                      <w:bCs/>
                      <w:sz w:val="21"/>
                      <w:szCs w:val="21"/>
                    </w:rPr>
                  </w:pPr>
                  <w:r w:rsidRPr="006E412D">
                    <w:rPr>
                      <w:rFonts w:cstheme="minorHAnsi"/>
                      <w:b/>
                      <w:bCs/>
                      <w:sz w:val="21"/>
                      <w:szCs w:val="21"/>
                    </w:rPr>
                    <w:t>7.0</w:t>
                  </w:r>
                </w:p>
              </w:tc>
              <w:tc>
                <w:tcPr>
                  <w:tcW w:w="992" w:type="dxa"/>
                  <w:tcBorders>
                    <w:top w:val="single" w:sz="4" w:space="0" w:color="000080"/>
                  </w:tcBorders>
                </w:tcPr>
                <w:p w14:paraId="20CA80FB" w14:textId="77777777" w:rsidR="00333217" w:rsidRPr="006A7DE4" w:rsidRDefault="00333217" w:rsidP="006A7DE4">
                  <w:pPr>
                    <w:jc w:val="right"/>
                    <w:rPr>
                      <w:rFonts w:cstheme="minorHAnsi"/>
                      <w:b/>
                      <w:bCs/>
                      <w:sz w:val="21"/>
                      <w:szCs w:val="21"/>
                    </w:rPr>
                  </w:pPr>
                  <w:r w:rsidRPr="006E412D">
                    <w:rPr>
                      <w:rFonts w:cstheme="minorHAnsi"/>
                      <w:b/>
                      <w:bCs/>
                      <w:sz w:val="21"/>
                      <w:szCs w:val="21"/>
                    </w:rPr>
                    <w:t>10.0</w:t>
                  </w:r>
                </w:p>
              </w:tc>
              <w:tc>
                <w:tcPr>
                  <w:tcW w:w="992" w:type="dxa"/>
                  <w:tcBorders>
                    <w:top w:val="single" w:sz="4" w:space="0" w:color="000080"/>
                  </w:tcBorders>
                </w:tcPr>
                <w:p w14:paraId="13C2E1BF" w14:textId="77777777" w:rsidR="00333217" w:rsidRPr="006A7DE4" w:rsidRDefault="00333217" w:rsidP="006A7DE4">
                  <w:pPr>
                    <w:jc w:val="right"/>
                    <w:rPr>
                      <w:rFonts w:cstheme="minorHAnsi"/>
                      <w:b/>
                      <w:bCs/>
                      <w:sz w:val="21"/>
                      <w:szCs w:val="21"/>
                    </w:rPr>
                  </w:pPr>
                  <w:r w:rsidRPr="006E412D">
                    <w:rPr>
                      <w:rFonts w:cstheme="minorHAnsi"/>
                      <w:b/>
                      <w:bCs/>
                      <w:sz w:val="21"/>
                      <w:szCs w:val="21"/>
                    </w:rPr>
                    <w:t>20.4</w:t>
                  </w:r>
                </w:p>
              </w:tc>
              <w:tc>
                <w:tcPr>
                  <w:tcW w:w="992" w:type="dxa"/>
                  <w:tcBorders>
                    <w:top w:val="single" w:sz="4" w:space="0" w:color="000080"/>
                  </w:tcBorders>
                </w:tcPr>
                <w:p w14:paraId="365B1795" w14:textId="77777777" w:rsidR="00333217" w:rsidRPr="006A7DE4" w:rsidRDefault="00333217" w:rsidP="006A7DE4">
                  <w:pPr>
                    <w:jc w:val="right"/>
                    <w:rPr>
                      <w:rFonts w:cstheme="minorHAnsi"/>
                      <w:b/>
                      <w:bCs/>
                      <w:sz w:val="21"/>
                      <w:szCs w:val="21"/>
                    </w:rPr>
                  </w:pPr>
                  <w:r w:rsidRPr="006E412D">
                    <w:rPr>
                      <w:rFonts w:cstheme="minorHAnsi"/>
                      <w:b/>
                      <w:bCs/>
                      <w:sz w:val="21"/>
                      <w:szCs w:val="21"/>
                    </w:rPr>
                    <w:t>28.1</w:t>
                  </w:r>
                </w:p>
              </w:tc>
              <w:tc>
                <w:tcPr>
                  <w:tcW w:w="727" w:type="dxa"/>
                  <w:tcBorders>
                    <w:top w:val="single" w:sz="4" w:space="0" w:color="000080"/>
                  </w:tcBorders>
                </w:tcPr>
                <w:p w14:paraId="5FA475A3" w14:textId="77777777" w:rsidR="00333217" w:rsidRPr="006A7DE4" w:rsidRDefault="00333217" w:rsidP="006A7DE4">
                  <w:pPr>
                    <w:jc w:val="right"/>
                    <w:rPr>
                      <w:rFonts w:cstheme="minorHAnsi"/>
                      <w:b/>
                      <w:bCs/>
                      <w:sz w:val="21"/>
                      <w:szCs w:val="21"/>
                    </w:rPr>
                  </w:pPr>
                  <w:r w:rsidRPr="006E412D">
                    <w:rPr>
                      <w:rFonts w:cstheme="minorHAnsi"/>
                      <w:b/>
                      <w:bCs/>
                      <w:sz w:val="21"/>
                      <w:szCs w:val="21"/>
                    </w:rPr>
                    <w:t>65.5</w:t>
                  </w:r>
                </w:p>
              </w:tc>
            </w:tr>
            <w:tr w:rsidR="00F50DF3" w:rsidRPr="0052160C" w14:paraId="21A88D97" w14:textId="77777777" w:rsidTr="713872C1">
              <w:trPr>
                <w:cantSplit/>
              </w:trPr>
              <w:tc>
                <w:tcPr>
                  <w:tcW w:w="2127" w:type="dxa"/>
                </w:tcPr>
                <w:p w14:paraId="4D3477CD" w14:textId="77777777" w:rsidR="0077011D" w:rsidRDefault="0077011D" w:rsidP="0077011D">
                  <w:pPr>
                    <w:keepNext/>
                    <w:keepLines/>
                    <w:spacing w:before="60"/>
                    <w:ind w:left="-113"/>
                    <w:rPr>
                      <w:i/>
                      <w:iCs/>
                      <w:sz w:val="21"/>
                      <w:szCs w:val="21"/>
                    </w:rPr>
                  </w:pPr>
                  <w:r>
                    <w:rPr>
                      <w:i/>
                      <w:iCs/>
                      <w:sz w:val="21"/>
                      <w:szCs w:val="21"/>
                    </w:rPr>
                    <w:t xml:space="preserve">   </w:t>
                  </w:r>
                  <w:r w:rsidR="00F50DF3" w:rsidRPr="0052160C">
                    <w:rPr>
                      <w:i/>
                      <w:iCs/>
                      <w:sz w:val="21"/>
                      <w:szCs w:val="21"/>
                    </w:rPr>
                    <w:t xml:space="preserve">Less estimated </w:t>
                  </w:r>
                  <w:r>
                    <w:rPr>
                      <w:i/>
                      <w:iCs/>
                      <w:sz w:val="21"/>
                      <w:szCs w:val="21"/>
                    </w:rPr>
                    <w:t xml:space="preserve">  </w:t>
                  </w:r>
                </w:p>
                <w:p w14:paraId="70E4D421" w14:textId="77777777" w:rsidR="0077011D" w:rsidRDefault="0077011D" w:rsidP="03018E2B">
                  <w:pPr>
                    <w:keepNext/>
                    <w:keepLines/>
                    <w:ind w:left="-113"/>
                    <w:rPr>
                      <w:i/>
                      <w:iCs/>
                      <w:sz w:val="21"/>
                      <w:szCs w:val="21"/>
                    </w:rPr>
                  </w:pPr>
                  <w:r w:rsidRPr="03018E2B">
                    <w:rPr>
                      <w:i/>
                      <w:iCs/>
                      <w:sz w:val="21"/>
                      <w:szCs w:val="21"/>
                    </w:rPr>
                    <w:t xml:space="preserve">   </w:t>
                  </w:r>
                  <w:r w:rsidR="00F50DF3" w:rsidRPr="03018E2B">
                    <w:rPr>
                      <w:i/>
                      <w:iCs/>
                      <w:sz w:val="21"/>
                      <w:szCs w:val="21"/>
                    </w:rPr>
                    <w:t xml:space="preserve">National </w:t>
                  </w:r>
                  <w:r w:rsidR="069E6184" w:rsidRPr="03018E2B">
                    <w:rPr>
                      <w:i/>
                      <w:iCs/>
                      <w:sz w:val="21"/>
                      <w:szCs w:val="21"/>
                    </w:rPr>
                    <w:t xml:space="preserve">  </w:t>
                  </w:r>
                </w:p>
                <w:p w14:paraId="15AADBF8" w14:textId="77777777" w:rsidR="0077011D" w:rsidRDefault="069E6184" w:rsidP="03018E2B">
                  <w:pPr>
                    <w:keepNext/>
                    <w:keepLines/>
                    <w:ind w:left="-113"/>
                    <w:rPr>
                      <w:i/>
                      <w:iCs/>
                      <w:sz w:val="21"/>
                      <w:szCs w:val="21"/>
                    </w:rPr>
                  </w:pPr>
                  <w:r w:rsidRPr="03018E2B">
                    <w:rPr>
                      <w:i/>
                      <w:iCs/>
                      <w:sz w:val="21"/>
                      <w:szCs w:val="21"/>
                    </w:rPr>
                    <w:t xml:space="preserve">   </w:t>
                  </w:r>
                  <w:r w:rsidR="00F50DF3" w:rsidRPr="03018E2B">
                    <w:rPr>
                      <w:i/>
                      <w:iCs/>
                      <w:sz w:val="21"/>
                      <w:szCs w:val="21"/>
                    </w:rPr>
                    <w:t xml:space="preserve">Partnership </w:t>
                  </w:r>
                  <w:r w:rsidR="0077011D" w:rsidRPr="03018E2B">
                    <w:rPr>
                      <w:i/>
                      <w:iCs/>
                      <w:sz w:val="21"/>
                      <w:szCs w:val="21"/>
                    </w:rPr>
                    <w:t xml:space="preserve">    </w:t>
                  </w:r>
                </w:p>
                <w:p w14:paraId="56C574CF" w14:textId="77777777" w:rsidR="00F50DF3" w:rsidRPr="0052160C" w:rsidRDefault="0077011D" w:rsidP="0077011D">
                  <w:pPr>
                    <w:keepNext/>
                    <w:keepLines/>
                    <w:spacing w:after="60"/>
                    <w:ind w:left="-111"/>
                    <w:rPr>
                      <w:i/>
                      <w:iCs/>
                      <w:sz w:val="21"/>
                      <w:szCs w:val="21"/>
                    </w:rPr>
                  </w:pPr>
                  <w:r>
                    <w:rPr>
                      <w:i/>
                      <w:iCs/>
                      <w:sz w:val="21"/>
                      <w:szCs w:val="21"/>
                    </w:rPr>
                    <w:t xml:space="preserve">   </w:t>
                  </w:r>
                  <w:r w:rsidR="00F50DF3" w:rsidRPr="0052160C">
                    <w:rPr>
                      <w:i/>
                      <w:iCs/>
                      <w:sz w:val="21"/>
                      <w:szCs w:val="21"/>
                    </w:rPr>
                    <w:t xml:space="preserve">Payments </w:t>
                  </w:r>
                </w:p>
              </w:tc>
              <w:tc>
                <w:tcPr>
                  <w:tcW w:w="1134" w:type="dxa"/>
                </w:tcPr>
                <w:p w14:paraId="701F207C" w14:textId="77777777" w:rsidR="00F50DF3" w:rsidRPr="0052160C" w:rsidRDefault="00F50DF3" w:rsidP="00F50DF3">
                  <w:pPr>
                    <w:keepNext/>
                    <w:keepLines/>
                    <w:spacing w:before="40" w:after="40"/>
                    <w:jc w:val="right"/>
                    <w:rPr>
                      <w:sz w:val="21"/>
                      <w:szCs w:val="21"/>
                    </w:rPr>
                  </w:pPr>
                  <w:r w:rsidRPr="006E412D">
                    <w:rPr>
                      <w:rFonts w:cstheme="minorHAnsi"/>
                      <w:sz w:val="21"/>
                      <w:szCs w:val="21"/>
                    </w:rPr>
                    <w:t>-</w:t>
                  </w:r>
                </w:p>
              </w:tc>
              <w:tc>
                <w:tcPr>
                  <w:tcW w:w="992" w:type="dxa"/>
                </w:tcPr>
                <w:p w14:paraId="752E157A" w14:textId="77777777" w:rsidR="00F50DF3" w:rsidRPr="0052160C" w:rsidRDefault="00F50DF3" w:rsidP="00F50DF3">
                  <w:pPr>
                    <w:keepNext/>
                    <w:keepLines/>
                    <w:spacing w:before="40" w:after="40"/>
                    <w:jc w:val="right"/>
                    <w:rPr>
                      <w:sz w:val="21"/>
                      <w:szCs w:val="21"/>
                    </w:rPr>
                  </w:pPr>
                  <w:r w:rsidRPr="006E412D">
                    <w:rPr>
                      <w:rFonts w:cstheme="minorHAnsi"/>
                      <w:sz w:val="21"/>
                      <w:szCs w:val="21"/>
                    </w:rPr>
                    <w:t>-</w:t>
                  </w:r>
                </w:p>
              </w:tc>
              <w:tc>
                <w:tcPr>
                  <w:tcW w:w="992" w:type="dxa"/>
                </w:tcPr>
                <w:p w14:paraId="03FAE0D6" w14:textId="77777777" w:rsidR="00F50DF3" w:rsidRPr="0052160C" w:rsidRDefault="00F50DF3" w:rsidP="00F50DF3">
                  <w:pPr>
                    <w:keepNext/>
                    <w:keepLines/>
                    <w:spacing w:before="40" w:after="40"/>
                    <w:jc w:val="right"/>
                    <w:rPr>
                      <w:sz w:val="21"/>
                      <w:szCs w:val="21"/>
                    </w:rPr>
                  </w:pPr>
                  <w:r w:rsidRPr="006E412D">
                    <w:rPr>
                      <w:rFonts w:cstheme="minorHAnsi"/>
                      <w:sz w:val="21"/>
                      <w:szCs w:val="21"/>
                    </w:rPr>
                    <w:t>-</w:t>
                  </w:r>
                </w:p>
              </w:tc>
              <w:tc>
                <w:tcPr>
                  <w:tcW w:w="992" w:type="dxa"/>
                </w:tcPr>
                <w:p w14:paraId="4A901A6E" w14:textId="77777777" w:rsidR="00F50DF3" w:rsidRPr="0052160C" w:rsidRDefault="00F50DF3" w:rsidP="00F50DF3">
                  <w:pPr>
                    <w:keepNext/>
                    <w:keepLines/>
                    <w:spacing w:before="40" w:after="40"/>
                    <w:jc w:val="right"/>
                    <w:rPr>
                      <w:sz w:val="21"/>
                      <w:szCs w:val="21"/>
                    </w:rPr>
                  </w:pPr>
                  <w:r w:rsidRPr="006E412D">
                    <w:rPr>
                      <w:rFonts w:cstheme="minorHAnsi"/>
                      <w:sz w:val="21"/>
                      <w:szCs w:val="21"/>
                    </w:rPr>
                    <w:t>13.6</w:t>
                  </w:r>
                </w:p>
              </w:tc>
              <w:tc>
                <w:tcPr>
                  <w:tcW w:w="727" w:type="dxa"/>
                </w:tcPr>
                <w:p w14:paraId="1552B9A4" w14:textId="77777777" w:rsidR="00F50DF3" w:rsidRPr="0052160C" w:rsidRDefault="00F50DF3" w:rsidP="00F50DF3">
                  <w:pPr>
                    <w:keepNext/>
                    <w:keepLines/>
                    <w:spacing w:before="40" w:after="40"/>
                    <w:jc w:val="right"/>
                    <w:rPr>
                      <w:sz w:val="21"/>
                      <w:szCs w:val="21"/>
                    </w:rPr>
                  </w:pPr>
                  <w:r w:rsidRPr="006E412D">
                    <w:rPr>
                      <w:rFonts w:cstheme="minorHAnsi"/>
                      <w:sz w:val="21"/>
                      <w:szCs w:val="21"/>
                    </w:rPr>
                    <w:t>13.6</w:t>
                  </w:r>
                </w:p>
              </w:tc>
            </w:tr>
            <w:tr w:rsidR="00126EED" w:rsidRPr="0052160C" w14:paraId="6B13DE92" w14:textId="77777777" w:rsidTr="713872C1">
              <w:trPr>
                <w:cantSplit/>
              </w:trPr>
              <w:tc>
                <w:tcPr>
                  <w:tcW w:w="2127" w:type="dxa"/>
                  <w:tcBorders>
                    <w:bottom w:val="single" w:sz="4" w:space="0" w:color="000080"/>
                  </w:tcBorders>
                </w:tcPr>
                <w:p w14:paraId="5A4C987F" w14:textId="77777777" w:rsidR="0077011D" w:rsidRDefault="0077011D" w:rsidP="0077011D">
                  <w:pPr>
                    <w:keepNext/>
                    <w:keepLines/>
                    <w:spacing w:before="40"/>
                    <w:ind w:left="-113"/>
                    <w:rPr>
                      <w:sz w:val="21"/>
                      <w:szCs w:val="21"/>
                    </w:rPr>
                  </w:pPr>
                  <w:r>
                    <w:rPr>
                      <w:sz w:val="21"/>
                      <w:szCs w:val="21"/>
                    </w:rPr>
                    <w:t xml:space="preserve">   </w:t>
                  </w:r>
                  <w:r w:rsidR="00126EED" w:rsidRPr="0052160C">
                    <w:rPr>
                      <w:sz w:val="21"/>
                      <w:szCs w:val="21"/>
                    </w:rPr>
                    <w:t>Balance of non-</w:t>
                  </w:r>
                  <w:r>
                    <w:rPr>
                      <w:sz w:val="21"/>
                      <w:szCs w:val="21"/>
                    </w:rPr>
                    <w:t xml:space="preserve">  </w:t>
                  </w:r>
                </w:p>
                <w:p w14:paraId="47831448" w14:textId="77777777" w:rsidR="0077011D" w:rsidRDefault="0077011D" w:rsidP="0077011D">
                  <w:pPr>
                    <w:keepNext/>
                    <w:keepLines/>
                    <w:ind w:left="-113"/>
                    <w:rPr>
                      <w:sz w:val="21"/>
                      <w:szCs w:val="21"/>
                    </w:rPr>
                  </w:pPr>
                  <w:r>
                    <w:rPr>
                      <w:sz w:val="21"/>
                      <w:szCs w:val="21"/>
                    </w:rPr>
                    <w:t xml:space="preserve">   </w:t>
                  </w:r>
                  <w:r w:rsidR="00126EED" w:rsidRPr="0052160C">
                    <w:rPr>
                      <w:sz w:val="21"/>
                      <w:szCs w:val="21"/>
                    </w:rPr>
                    <w:t xml:space="preserve">Commonwealth </w:t>
                  </w:r>
                  <w:r>
                    <w:rPr>
                      <w:sz w:val="21"/>
                      <w:szCs w:val="21"/>
                    </w:rPr>
                    <w:t xml:space="preserve">   </w:t>
                  </w:r>
                </w:p>
                <w:p w14:paraId="0AADE753" w14:textId="77777777" w:rsidR="00126EED" w:rsidRPr="0052160C" w:rsidRDefault="0077011D" w:rsidP="03018E2B">
                  <w:pPr>
                    <w:keepNext/>
                    <w:keepLines/>
                    <w:spacing w:after="40"/>
                    <w:ind w:left="-111"/>
                    <w:rPr>
                      <w:b/>
                      <w:bCs/>
                      <w:sz w:val="21"/>
                      <w:szCs w:val="21"/>
                      <w:vertAlign w:val="superscript"/>
                    </w:rPr>
                  </w:pPr>
                  <w:r w:rsidRPr="03018E2B">
                    <w:rPr>
                      <w:sz w:val="21"/>
                      <w:szCs w:val="21"/>
                    </w:rPr>
                    <w:t xml:space="preserve">   </w:t>
                  </w:r>
                  <w:r w:rsidR="00126EED" w:rsidRPr="03018E2B">
                    <w:rPr>
                      <w:sz w:val="21"/>
                      <w:szCs w:val="21"/>
                    </w:rPr>
                    <w:t>contributions</w:t>
                  </w:r>
                </w:p>
              </w:tc>
              <w:tc>
                <w:tcPr>
                  <w:tcW w:w="1134" w:type="dxa"/>
                  <w:tcBorders>
                    <w:bottom w:val="single" w:sz="4" w:space="0" w:color="000080"/>
                  </w:tcBorders>
                </w:tcPr>
                <w:p w14:paraId="4C901479" w14:textId="77777777" w:rsidR="00126EED" w:rsidRPr="0052160C" w:rsidRDefault="00126EED" w:rsidP="00126EED">
                  <w:pPr>
                    <w:keepNext/>
                    <w:keepLines/>
                    <w:spacing w:before="40" w:after="40"/>
                    <w:jc w:val="right"/>
                    <w:rPr>
                      <w:sz w:val="21"/>
                      <w:szCs w:val="21"/>
                    </w:rPr>
                  </w:pPr>
                  <w:r w:rsidRPr="006E412D">
                    <w:rPr>
                      <w:rFonts w:cstheme="minorHAnsi"/>
                      <w:sz w:val="21"/>
                      <w:szCs w:val="21"/>
                    </w:rPr>
                    <w:t>7.0</w:t>
                  </w:r>
                </w:p>
              </w:tc>
              <w:tc>
                <w:tcPr>
                  <w:tcW w:w="992" w:type="dxa"/>
                  <w:tcBorders>
                    <w:bottom w:val="single" w:sz="4" w:space="0" w:color="000080"/>
                  </w:tcBorders>
                </w:tcPr>
                <w:p w14:paraId="4E6E3E12" w14:textId="77777777" w:rsidR="00126EED" w:rsidRPr="0052160C" w:rsidRDefault="00126EED" w:rsidP="00126EED">
                  <w:pPr>
                    <w:keepNext/>
                    <w:keepLines/>
                    <w:spacing w:before="40" w:after="40"/>
                    <w:jc w:val="right"/>
                    <w:rPr>
                      <w:sz w:val="21"/>
                      <w:szCs w:val="21"/>
                    </w:rPr>
                  </w:pPr>
                  <w:r w:rsidRPr="006E412D">
                    <w:rPr>
                      <w:rFonts w:cstheme="minorHAnsi"/>
                      <w:sz w:val="21"/>
                      <w:szCs w:val="21"/>
                    </w:rPr>
                    <w:t>10.0</w:t>
                  </w:r>
                </w:p>
              </w:tc>
              <w:tc>
                <w:tcPr>
                  <w:tcW w:w="992" w:type="dxa"/>
                  <w:tcBorders>
                    <w:bottom w:val="single" w:sz="4" w:space="0" w:color="000080"/>
                  </w:tcBorders>
                </w:tcPr>
                <w:p w14:paraId="765029C1" w14:textId="77777777" w:rsidR="00126EED" w:rsidRPr="0052160C" w:rsidRDefault="00126EED" w:rsidP="00126EED">
                  <w:pPr>
                    <w:keepNext/>
                    <w:keepLines/>
                    <w:spacing w:before="40" w:after="40"/>
                    <w:jc w:val="right"/>
                    <w:rPr>
                      <w:sz w:val="21"/>
                      <w:szCs w:val="21"/>
                    </w:rPr>
                  </w:pPr>
                  <w:r w:rsidRPr="006E412D">
                    <w:rPr>
                      <w:rFonts w:cstheme="minorHAnsi"/>
                      <w:sz w:val="21"/>
                      <w:szCs w:val="21"/>
                    </w:rPr>
                    <w:t>20.4</w:t>
                  </w:r>
                </w:p>
              </w:tc>
              <w:tc>
                <w:tcPr>
                  <w:tcW w:w="992" w:type="dxa"/>
                  <w:tcBorders>
                    <w:bottom w:val="single" w:sz="4" w:space="0" w:color="000080"/>
                  </w:tcBorders>
                </w:tcPr>
                <w:p w14:paraId="7C5EBC8F" w14:textId="77777777" w:rsidR="00126EED" w:rsidRPr="0052160C" w:rsidRDefault="00126EED" w:rsidP="00126EED">
                  <w:pPr>
                    <w:keepNext/>
                    <w:keepLines/>
                    <w:spacing w:before="40" w:after="40"/>
                    <w:jc w:val="right"/>
                    <w:rPr>
                      <w:sz w:val="21"/>
                      <w:szCs w:val="21"/>
                    </w:rPr>
                  </w:pPr>
                  <w:r w:rsidRPr="006E412D">
                    <w:rPr>
                      <w:rFonts w:cstheme="minorHAnsi"/>
                      <w:sz w:val="21"/>
                      <w:szCs w:val="21"/>
                    </w:rPr>
                    <w:t>14.5</w:t>
                  </w:r>
                </w:p>
              </w:tc>
              <w:tc>
                <w:tcPr>
                  <w:tcW w:w="727" w:type="dxa"/>
                  <w:tcBorders>
                    <w:bottom w:val="single" w:sz="4" w:space="0" w:color="000080"/>
                  </w:tcBorders>
                </w:tcPr>
                <w:p w14:paraId="5974A612" w14:textId="77777777" w:rsidR="00126EED" w:rsidRPr="0052160C" w:rsidRDefault="00126EED" w:rsidP="00126EED">
                  <w:pPr>
                    <w:keepNext/>
                    <w:keepLines/>
                    <w:spacing w:before="40" w:after="40"/>
                    <w:jc w:val="right"/>
                    <w:rPr>
                      <w:sz w:val="21"/>
                      <w:szCs w:val="21"/>
                    </w:rPr>
                  </w:pPr>
                  <w:r w:rsidRPr="006E412D">
                    <w:rPr>
                      <w:rFonts w:cstheme="minorHAnsi"/>
                      <w:sz w:val="21"/>
                      <w:szCs w:val="21"/>
                    </w:rPr>
                    <w:t>51.9</w:t>
                  </w:r>
                </w:p>
              </w:tc>
            </w:tr>
          </w:tbl>
          <w:p w14:paraId="744E85AA" w14:textId="77777777" w:rsidR="00C91B5F" w:rsidRPr="00AE34DC" w:rsidRDefault="00C91B5F" w:rsidP="00AE34DC">
            <w:pPr>
              <w:rPr>
                <w:rFonts w:ascii="RL2 Light" w:hAnsi="RL2 Light"/>
                <w:sz w:val="24"/>
                <w:szCs w:val="24"/>
              </w:rPr>
            </w:pPr>
          </w:p>
        </w:tc>
      </w:tr>
      <w:tr w:rsidR="003B432D" w:rsidRPr="00F00A18" w14:paraId="6D4809DC" w14:textId="77777777" w:rsidTr="17F33AF1">
        <w:tc>
          <w:tcPr>
            <w:tcW w:w="1691" w:type="dxa"/>
            <w:shd w:val="clear" w:color="auto" w:fill="auto"/>
          </w:tcPr>
          <w:p w14:paraId="32D692AB" w14:textId="77777777" w:rsidR="003B432D" w:rsidRPr="00F00A18" w:rsidRDefault="003B432D" w:rsidP="003B432D">
            <w:pPr>
              <w:pStyle w:val="Tableformat"/>
              <w:rPr>
                <w:color w:val="auto"/>
              </w:rPr>
            </w:pPr>
            <w:r w:rsidRPr="00F00A18">
              <w:rPr>
                <w:color w:val="auto"/>
              </w:rPr>
              <w:t>Additional terms</w:t>
            </w:r>
          </w:p>
        </w:tc>
        <w:tc>
          <w:tcPr>
            <w:tcW w:w="7938" w:type="dxa"/>
            <w:shd w:val="clear" w:color="auto" w:fill="auto"/>
          </w:tcPr>
          <w:p w14:paraId="6CC56F34" w14:textId="77777777" w:rsidR="003B432D" w:rsidRPr="00F00A18" w:rsidRDefault="4BDF6419" w:rsidP="4E7C5C28">
            <w:pPr>
              <w:pStyle w:val="Tableformat"/>
              <w:rPr>
                <w:i/>
                <w:color w:val="auto"/>
              </w:rPr>
            </w:pPr>
            <w:r w:rsidRPr="4E7C5C28">
              <w:rPr>
                <w:color w:val="auto"/>
              </w:rPr>
              <w:t>New South Wales will advise the Commonwealth as soon as practicable of any significant delays with potential to impact the delivery of the performance milestones described in Table 2. Where necessary</w:t>
            </w:r>
            <w:r w:rsidR="49B84313" w:rsidRPr="4E7C5C28">
              <w:rPr>
                <w:color w:val="auto"/>
              </w:rPr>
              <w:t>,</w:t>
            </w:r>
            <w:r w:rsidRPr="4E7C5C28">
              <w:rPr>
                <w:color w:val="auto"/>
              </w:rPr>
              <w:t xml:space="preserve"> New South Wales will provide the Commonwealth with updated delivery scheduling information that reflects any significant changes.</w:t>
            </w:r>
          </w:p>
        </w:tc>
      </w:tr>
    </w:tbl>
    <w:p w14:paraId="7FAF3361" w14:textId="77777777" w:rsidR="00C91B5F" w:rsidRPr="00F00A18" w:rsidRDefault="00C91B5F" w:rsidP="00C91B5F"/>
    <w:p w14:paraId="7F53172E" w14:textId="77777777" w:rsidR="00C91B5F" w:rsidRPr="00F00A18" w:rsidRDefault="00C91B5F" w:rsidP="00C91B5F">
      <w:pPr>
        <w:sectPr w:rsidR="00C91B5F" w:rsidRPr="00F00A18" w:rsidSect="00FD7C46">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pgNumType w:chapStyle="9"/>
          <w:cols w:space="708"/>
          <w:titlePg/>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8"/>
        <w:gridCol w:w="7324"/>
        <w:gridCol w:w="1853"/>
        <w:gridCol w:w="1633"/>
      </w:tblGrid>
      <w:tr w:rsidR="00C91B5F" w:rsidRPr="00F00A18" w14:paraId="5F42FCB3" w14:textId="77777777" w:rsidTr="17F33AF1">
        <w:tc>
          <w:tcPr>
            <w:tcW w:w="14550" w:type="dxa"/>
            <w:gridSpan w:val="4"/>
            <w:shd w:val="clear" w:color="auto" w:fill="DEEAF6" w:themeFill="accent1" w:themeFillTint="33"/>
          </w:tcPr>
          <w:p w14:paraId="31AD4529" w14:textId="77777777" w:rsidR="00C91B5F" w:rsidRPr="00F00A18" w:rsidRDefault="00C91B5F" w:rsidP="005D3905">
            <w:pPr>
              <w:pStyle w:val="Tableformat"/>
              <w:rPr>
                <w:b/>
                <w:color w:val="auto"/>
              </w:rPr>
            </w:pPr>
            <w:r w:rsidRPr="00F00A18">
              <w:rPr>
                <w:b/>
                <w:color w:val="auto"/>
              </w:rPr>
              <w:lastRenderedPageBreak/>
              <w:t>Table 2: Performance requirements, reporting and payment summary</w:t>
            </w:r>
          </w:p>
        </w:tc>
      </w:tr>
      <w:tr w:rsidR="00C91B5F" w:rsidRPr="00F00A18" w14:paraId="665133D0" w14:textId="77777777" w:rsidTr="17F33AF1">
        <w:tc>
          <w:tcPr>
            <w:tcW w:w="3264" w:type="dxa"/>
            <w:shd w:val="clear" w:color="auto" w:fill="F2F2F2" w:themeFill="background1" w:themeFillShade="F2"/>
          </w:tcPr>
          <w:p w14:paraId="27E551D2" w14:textId="77777777" w:rsidR="00C91B5F" w:rsidRPr="00F00A18" w:rsidRDefault="00C91B5F" w:rsidP="005D3905">
            <w:pPr>
              <w:pStyle w:val="Tableformat"/>
              <w:rPr>
                <w:b/>
                <w:color w:val="auto"/>
              </w:rPr>
            </w:pPr>
            <w:r w:rsidRPr="00F00A18">
              <w:rPr>
                <w:b/>
                <w:color w:val="auto"/>
              </w:rPr>
              <w:t>Output</w:t>
            </w:r>
            <w:r w:rsidRPr="00F00A18">
              <w:rPr>
                <w:b/>
                <w:color w:val="auto"/>
              </w:rPr>
              <w:br/>
            </w:r>
          </w:p>
        </w:tc>
        <w:tc>
          <w:tcPr>
            <w:tcW w:w="7658" w:type="dxa"/>
            <w:shd w:val="clear" w:color="auto" w:fill="F2F2F2" w:themeFill="background1" w:themeFillShade="F2"/>
          </w:tcPr>
          <w:p w14:paraId="2380A342" w14:textId="77777777" w:rsidR="00C91B5F" w:rsidRPr="00F00A18" w:rsidRDefault="00C91B5F" w:rsidP="005D3905">
            <w:pPr>
              <w:pStyle w:val="Tableformat"/>
              <w:rPr>
                <w:b/>
                <w:color w:val="auto"/>
              </w:rPr>
            </w:pPr>
            <w:r w:rsidRPr="00F00A18">
              <w:rPr>
                <w:b/>
                <w:color w:val="auto"/>
              </w:rPr>
              <w:t>Performance milestones</w:t>
            </w:r>
          </w:p>
        </w:tc>
        <w:tc>
          <w:tcPr>
            <w:tcW w:w="1929" w:type="dxa"/>
            <w:shd w:val="clear" w:color="auto" w:fill="F2F2F2" w:themeFill="background1" w:themeFillShade="F2"/>
          </w:tcPr>
          <w:p w14:paraId="1903D6C6" w14:textId="77777777" w:rsidR="00C91B5F" w:rsidRPr="00F00A18" w:rsidRDefault="00C91B5F" w:rsidP="005D3905">
            <w:pPr>
              <w:pStyle w:val="Tableformat"/>
              <w:rPr>
                <w:b/>
                <w:color w:val="auto"/>
              </w:rPr>
            </w:pPr>
            <w:r w:rsidRPr="00F00A18">
              <w:rPr>
                <w:b/>
                <w:color w:val="auto"/>
              </w:rPr>
              <w:t>Report due</w:t>
            </w:r>
          </w:p>
        </w:tc>
        <w:tc>
          <w:tcPr>
            <w:tcW w:w="1699" w:type="dxa"/>
            <w:shd w:val="clear" w:color="auto" w:fill="F2F2F2" w:themeFill="background1" w:themeFillShade="F2"/>
          </w:tcPr>
          <w:p w14:paraId="43531B75" w14:textId="77777777" w:rsidR="00C91B5F" w:rsidRPr="00F00A18" w:rsidRDefault="00C91B5F" w:rsidP="005D3905">
            <w:pPr>
              <w:pStyle w:val="Tableformat"/>
              <w:rPr>
                <w:b/>
                <w:color w:val="auto"/>
              </w:rPr>
            </w:pPr>
            <w:r w:rsidRPr="00F00A18">
              <w:rPr>
                <w:b/>
                <w:color w:val="auto"/>
              </w:rPr>
              <w:t>Payment</w:t>
            </w:r>
          </w:p>
        </w:tc>
      </w:tr>
      <w:tr w:rsidR="00441B0F" w:rsidRPr="00F00A18" w14:paraId="6DC1E362" w14:textId="77777777" w:rsidTr="17F33AF1">
        <w:tc>
          <w:tcPr>
            <w:tcW w:w="3264" w:type="dxa"/>
            <w:vMerge w:val="restart"/>
            <w:tcBorders>
              <w:top w:val="single" w:sz="8" w:space="0" w:color="4F81BD"/>
              <w:left w:val="single" w:sz="8" w:space="0" w:color="4F81BD"/>
              <w:right w:val="single" w:sz="8" w:space="0" w:color="4F81BD"/>
            </w:tcBorders>
          </w:tcPr>
          <w:p w14:paraId="543DAA5F" w14:textId="77777777" w:rsidR="00441B0F" w:rsidRPr="00441B0F" w:rsidRDefault="00441B0F" w:rsidP="00441B0F">
            <w:pPr>
              <w:pStyle w:val="Milestonetable"/>
              <w:rPr>
                <w:color w:val="auto"/>
              </w:rPr>
            </w:pPr>
            <w:r w:rsidRPr="00441B0F">
              <w:rPr>
                <w:color w:val="auto"/>
              </w:rPr>
              <w:t xml:space="preserve">Establishment of the St George Illawarra Dragons Community and </w:t>
            </w:r>
            <w:proofErr w:type="gramStart"/>
            <w:r w:rsidRPr="00441B0F">
              <w:rPr>
                <w:color w:val="auto"/>
              </w:rPr>
              <w:t>High Performance</w:t>
            </w:r>
            <w:proofErr w:type="gramEnd"/>
            <w:r w:rsidRPr="00441B0F">
              <w:rPr>
                <w:color w:val="auto"/>
              </w:rPr>
              <w:t xml:space="preserve"> Centre</w:t>
            </w: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5CBDE95C" w14:textId="77777777" w:rsidR="00441B0F" w:rsidRPr="00441B0F" w:rsidRDefault="00441B0F" w:rsidP="00441B0F">
            <w:pPr>
              <w:pStyle w:val="Milestonetable"/>
              <w:rPr>
                <w:color w:val="auto"/>
              </w:rPr>
            </w:pPr>
            <w:r w:rsidRPr="0D572691">
              <w:rPr>
                <w:color w:val="auto"/>
              </w:rPr>
              <w:t xml:space="preserve">Substructure (Ground Floor Slab) </w:t>
            </w:r>
            <w:r w:rsidR="3C822E9E" w:rsidRPr="0D572691">
              <w:rPr>
                <w:color w:val="auto"/>
              </w:rPr>
              <w:t>Complete for</w:t>
            </w:r>
            <w:r w:rsidRPr="0D572691">
              <w:rPr>
                <w:color w:val="auto"/>
              </w:rPr>
              <w:t xml:space="preserve"> Allied Health, Aquatic Recovery Area, Community Classrooms and NRL Women’s and Community Change Rooms and Amenities (evidenced by photographic and other appropriate evidence to confirm the milestone is satisfied).</w:t>
            </w: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7CAE4902" w14:textId="77777777" w:rsidR="00441B0F" w:rsidRPr="00441B0F" w:rsidRDefault="00441B0F" w:rsidP="00441B0F">
            <w:pPr>
              <w:pStyle w:val="Milestonetable"/>
              <w:rPr>
                <w:color w:val="auto"/>
              </w:rPr>
            </w:pPr>
            <w:r w:rsidRPr="4E7C5C28">
              <w:rPr>
                <w:color w:val="auto"/>
              </w:rPr>
              <w:t>31/0</w:t>
            </w:r>
            <w:r w:rsidR="3EC557B8" w:rsidRPr="4E7C5C28">
              <w:rPr>
                <w:color w:val="auto"/>
              </w:rPr>
              <w:t>8</w:t>
            </w:r>
            <w:r w:rsidRPr="4E7C5C28">
              <w:rPr>
                <w:color w:val="auto"/>
              </w:rPr>
              <w:t>/2025</w:t>
            </w:r>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4533C2B8" w14:textId="77777777" w:rsidR="00441B0F" w:rsidRPr="00441B0F" w:rsidRDefault="00441B0F" w:rsidP="00441B0F">
            <w:pPr>
              <w:pStyle w:val="Milestonetable"/>
              <w:jc w:val="right"/>
              <w:rPr>
                <w:color w:val="auto"/>
              </w:rPr>
            </w:pPr>
            <w:r w:rsidRPr="00441B0F">
              <w:rPr>
                <w:color w:val="auto"/>
              </w:rPr>
              <w:t>$6.8</w:t>
            </w:r>
            <w:r w:rsidR="00A114AE">
              <w:rPr>
                <w:color w:val="auto"/>
              </w:rPr>
              <w:t>0</w:t>
            </w:r>
            <w:r w:rsidRPr="00441B0F">
              <w:rPr>
                <w:color w:val="auto"/>
              </w:rPr>
              <w:t>m</w:t>
            </w:r>
          </w:p>
        </w:tc>
      </w:tr>
      <w:tr w:rsidR="00441B0F" w:rsidRPr="00F00A18" w14:paraId="2E3E298A" w14:textId="77777777" w:rsidTr="17F33AF1">
        <w:tc>
          <w:tcPr>
            <w:tcW w:w="3264" w:type="dxa"/>
            <w:vMerge/>
          </w:tcPr>
          <w:p w14:paraId="423D1EF0" w14:textId="77777777" w:rsidR="00441B0F" w:rsidRPr="00441B0F" w:rsidRDefault="00441B0F" w:rsidP="00441B0F">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3DD8AC3D" w14:textId="77777777" w:rsidR="00441B0F" w:rsidRPr="00441B0F" w:rsidRDefault="00441B0F" w:rsidP="00441B0F">
            <w:pPr>
              <w:pStyle w:val="Milestonetable"/>
              <w:rPr>
                <w:color w:val="auto"/>
              </w:rPr>
            </w:pPr>
            <w:r w:rsidRPr="00441B0F">
              <w:rPr>
                <w:color w:val="auto"/>
              </w:rPr>
              <w:t>Structural Steel Complete for Allied Health, Aquatic Recovery Area, Community Classrooms and Partner Space and NRL Women’s and Community Change Rooms and Amenities including all columns and beams (evidenced by photographic and other appropriate evidence to confirm the milestone is satisfied).</w:t>
            </w: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3C546BD7" w14:textId="77777777" w:rsidR="00441B0F" w:rsidRPr="00441B0F" w:rsidRDefault="00441B0F" w:rsidP="00441B0F">
            <w:pPr>
              <w:pStyle w:val="Milestonetable"/>
              <w:rPr>
                <w:color w:val="auto"/>
              </w:rPr>
            </w:pPr>
            <w:r w:rsidRPr="4E7C5C28">
              <w:rPr>
                <w:color w:val="auto"/>
              </w:rPr>
              <w:t>30/</w:t>
            </w:r>
            <w:r w:rsidR="052D20AF" w:rsidRPr="4E7C5C28">
              <w:rPr>
                <w:color w:val="auto"/>
              </w:rPr>
              <w:t>10</w:t>
            </w:r>
            <w:r w:rsidRPr="4E7C5C28">
              <w:rPr>
                <w:color w:val="auto"/>
              </w:rPr>
              <w:t>/2025</w:t>
            </w:r>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0DB9DC1E" w14:textId="77777777" w:rsidR="00441B0F" w:rsidRPr="00441B0F" w:rsidRDefault="00441B0F" w:rsidP="00441B0F">
            <w:pPr>
              <w:pStyle w:val="Milestonetable"/>
              <w:jc w:val="right"/>
              <w:rPr>
                <w:color w:val="auto"/>
              </w:rPr>
            </w:pPr>
            <w:r w:rsidRPr="00441B0F">
              <w:rPr>
                <w:color w:val="auto"/>
              </w:rPr>
              <w:t>$4.08m</w:t>
            </w:r>
          </w:p>
        </w:tc>
      </w:tr>
      <w:tr w:rsidR="00441B0F" w:rsidRPr="00F00A18" w14:paraId="73F184F0" w14:textId="77777777" w:rsidTr="17F33AF1">
        <w:tc>
          <w:tcPr>
            <w:tcW w:w="3264" w:type="dxa"/>
            <w:vMerge/>
          </w:tcPr>
          <w:p w14:paraId="21CC6748" w14:textId="77777777" w:rsidR="00441B0F" w:rsidRPr="00441B0F" w:rsidRDefault="00441B0F" w:rsidP="00441B0F">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39A2E7F5" w14:textId="77777777" w:rsidR="00441B0F" w:rsidRPr="00441B0F" w:rsidRDefault="00441B0F" w:rsidP="00441B0F">
            <w:pPr>
              <w:pStyle w:val="Milestonetable"/>
              <w:rPr>
                <w:color w:val="auto"/>
              </w:rPr>
            </w:pPr>
            <w:r w:rsidRPr="00441B0F">
              <w:rPr>
                <w:color w:val="auto"/>
              </w:rPr>
              <w:t>Façade Complete including screening featuring Indigenous artwork; and Playing Field 2 (Community Field) turf installation completed (evidenced by photographic and other appropriate evidence to confirm the milestone is satisfied).</w:t>
            </w: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39A981B0" w14:textId="77777777" w:rsidR="00441B0F" w:rsidRPr="00441B0F" w:rsidRDefault="00441B0F" w:rsidP="00441B0F">
            <w:pPr>
              <w:pStyle w:val="Milestonetable"/>
              <w:rPr>
                <w:color w:val="auto"/>
              </w:rPr>
            </w:pPr>
            <w:r w:rsidRPr="00441B0F">
              <w:rPr>
                <w:color w:val="auto"/>
              </w:rPr>
              <w:t>31/12/2025</w:t>
            </w:r>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36E1150E" w14:textId="77777777" w:rsidR="00441B0F" w:rsidRPr="00441B0F" w:rsidRDefault="00441B0F" w:rsidP="00441B0F">
            <w:pPr>
              <w:pStyle w:val="Milestonetable"/>
              <w:jc w:val="right"/>
              <w:rPr>
                <w:color w:val="auto"/>
              </w:rPr>
            </w:pPr>
            <w:r w:rsidRPr="00441B0F">
              <w:rPr>
                <w:color w:val="auto"/>
              </w:rPr>
              <w:t>$1.36m</w:t>
            </w:r>
          </w:p>
        </w:tc>
      </w:tr>
      <w:tr w:rsidR="00441B0F" w:rsidRPr="00F00A18" w14:paraId="4B6E4E88" w14:textId="77777777" w:rsidTr="17F33AF1">
        <w:tc>
          <w:tcPr>
            <w:tcW w:w="3264" w:type="dxa"/>
            <w:vMerge/>
          </w:tcPr>
          <w:p w14:paraId="1385D6A3" w14:textId="77777777" w:rsidR="00441B0F" w:rsidRPr="00441B0F" w:rsidRDefault="00441B0F" w:rsidP="00441B0F">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1087F0FA" w14:textId="77777777" w:rsidR="00441B0F" w:rsidRPr="00441B0F" w:rsidRDefault="00441B0F" w:rsidP="00441B0F">
            <w:pPr>
              <w:pStyle w:val="Milestonetable"/>
              <w:rPr>
                <w:color w:val="auto"/>
              </w:rPr>
            </w:pPr>
            <w:r w:rsidRPr="17F33AF1">
              <w:rPr>
                <w:color w:val="auto"/>
              </w:rPr>
              <w:t xml:space="preserve">Practical completion of construction activities (St George Illawarra Dragons Community and </w:t>
            </w:r>
            <w:proofErr w:type="gramStart"/>
            <w:r w:rsidRPr="17F33AF1">
              <w:rPr>
                <w:color w:val="auto"/>
              </w:rPr>
              <w:t>High Performance</w:t>
            </w:r>
            <w:proofErr w:type="gramEnd"/>
            <w:r w:rsidRPr="17F33AF1">
              <w:rPr>
                <w:color w:val="auto"/>
              </w:rPr>
              <w:t xml:space="preserve"> Centre) and an outline of the remaining activities to facilitate operation and opening (including expected dates). This includes Playing Field 1 (NRL/NRLW) Handover and Landscaping completed including public domain, yarning circle, design with country elements and pedestrian paths (evidenced by photographic and other appropriate evidence to confirm the milestone is satisfied). </w:t>
            </w: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4A345E6B" w14:textId="77777777" w:rsidR="00441B0F" w:rsidRPr="00441B0F" w:rsidRDefault="00441B0F" w:rsidP="00441B0F">
            <w:pPr>
              <w:pStyle w:val="Milestonetable"/>
              <w:rPr>
                <w:color w:val="auto"/>
              </w:rPr>
            </w:pPr>
            <w:r w:rsidRPr="00441B0F">
              <w:rPr>
                <w:color w:val="auto"/>
              </w:rPr>
              <w:t>30/04/2026</w:t>
            </w:r>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5617002B" w14:textId="77777777" w:rsidR="00441B0F" w:rsidRPr="00441B0F" w:rsidRDefault="00441B0F" w:rsidP="00441B0F">
            <w:pPr>
              <w:pStyle w:val="Milestonetable"/>
              <w:jc w:val="right"/>
              <w:rPr>
                <w:color w:val="auto"/>
              </w:rPr>
            </w:pPr>
            <w:r w:rsidRPr="00441B0F">
              <w:rPr>
                <w:color w:val="auto"/>
              </w:rPr>
              <w:t>$1.36m</w:t>
            </w:r>
          </w:p>
        </w:tc>
      </w:tr>
      <w:tr w:rsidR="00441B0F" w:rsidRPr="00F00A18" w14:paraId="0A77306A" w14:textId="77777777" w:rsidTr="17F33AF1">
        <w:tc>
          <w:tcPr>
            <w:tcW w:w="3264" w:type="dxa"/>
            <w:vMerge/>
          </w:tcPr>
          <w:p w14:paraId="61C79A3C" w14:textId="77777777" w:rsidR="00441B0F" w:rsidRPr="00441B0F" w:rsidRDefault="00441B0F" w:rsidP="00441B0F">
            <w:pPr>
              <w:pStyle w:val="Milestonetable"/>
              <w:rPr>
                <w:color w:val="auto"/>
              </w:rPr>
            </w:pPr>
          </w:p>
        </w:tc>
        <w:tc>
          <w:tcPr>
            <w:tcW w:w="7658" w:type="dxa"/>
            <w:tcBorders>
              <w:top w:val="single" w:sz="8" w:space="0" w:color="4F81BD"/>
              <w:left w:val="single" w:sz="8" w:space="0" w:color="4F81BD"/>
              <w:bottom w:val="single" w:sz="8" w:space="0" w:color="4F81BD"/>
              <w:right w:val="single" w:sz="8" w:space="0" w:color="4F81BD"/>
            </w:tcBorders>
            <w:shd w:val="clear" w:color="auto" w:fill="auto"/>
          </w:tcPr>
          <w:p w14:paraId="4174E00A" w14:textId="77777777" w:rsidR="00441B0F" w:rsidRPr="00441B0F" w:rsidRDefault="00441B0F" w:rsidP="00441B0F">
            <w:pPr>
              <w:pStyle w:val="Milestonetable"/>
              <w:rPr>
                <w:color w:val="auto"/>
              </w:rPr>
            </w:pPr>
            <w:r w:rsidRPr="00441B0F">
              <w:rPr>
                <w:color w:val="auto"/>
              </w:rPr>
              <w:t>Final Report for the establishment of the St George Illawarra Dragons Community and High Performance Centre, including a certificate of practical completion and provision of photos as evidence of practical completion, confirmation that all elements described in the ‘Purpose’ have been delivered, opening dates and an assessment of the impacts, benefits and outcomes (including lessons learned) of the CHPC, plus any other relevant information necessary to demonstrate that the outputs are complete.</w:t>
            </w:r>
          </w:p>
        </w:tc>
        <w:tc>
          <w:tcPr>
            <w:tcW w:w="1929" w:type="dxa"/>
            <w:tcBorders>
              <w:top w:val="single" w:sz="8" w:space="0" w:color="4F81BD"/>
              <w:left w:val="single" w:sz="8" w:space="0" w:color="4F81BD"/>
              <w:bottom w:val="single" w:sz="8" w:space="0" w:color="4F81BD"/>
              <w:right w:val="single" w:sz="8" w:space="0" w:color="4F81BD"/>
            </w:tcBorders>
            <w:shd w:val="clear" w:color="auto" w:fill="auto"/>
          </w:tcPr>
          <w:p w14:paraId="3BC3BD38" w14:textId="77777777" w:rsidR="00441B0F" w:rsidRPr="00441B0F" w:rsidRDefault="00441B0F" w:rsidP="00441B0F">
            <w:pPr>
              <w:pStyle w:val="Milestonetable"/>
              <w:rPr>
                <w:color w:val="auto"/>
              </w:rPr>
            </w:pPr>
            <w:r w:rsidRPr="00441B0F">
              <w:rPr>
                <w:color w:val="auto"/>
              </w:rPr>
              <w:t>31/08/2026</w:t>
            </w:r>
          </w:p>
        </w:tc>
        <w:tc>
          <w:tcPr>
            <w:tcW w:w="1699" w:type="dxa"/>
            <w:tcBorders>
              <w:top w:val="single" w:sz="8" w:space="0" w:color="4F81BD"/>
              <w:left w:val="single" w:sz="8" w:space="0" w:color="4F81BD"/>
              <w:bottom w:val="single" w:sz="8" w:space="0" w:color="4F81BD"/>
              <w:right w:val="single" w:sz="8" w:space="0" w:color="4F81BD"/>
            </w:tcBorders>
            <w:shd w:val="clear" w:color="auto" w:fill="auto"/>
          </w:tcPr>
          <w:p w14:paraId="5F3EE229" w14:textId="77777777" w:rsidR="00441B0F" w:rsidRPr="00441B0F" w:rsidRDefault="00441B0F" w:rsidP="00441B0F">
            <w:pPr>
              <w:pStyle w:val="Milestonetable"/>
              <w:jc w:val="right"/>
              <w:rPr>
                <w:color w:val="auto"/>
              </w:rPr>
            </w:pPr>
            <w:r>
              <w:rPr>
                <w:color w:val="auto"/>
              </w:rPr>
              <w:t>$0</w:t>
            </w:r>
            <w:r w:rsidR="00A136CB">
              <w:rPr>
                <w:color w:val="auto"/>
              </w:rPr>
              <w:t>.0m</w:t>
            </w:r>
          </w:p>
        </w:tc>
      </w:tr>
    </w:tbl>
    <w:p w14:paraId="19890D1B" w14:textId="77777777" w:rsidR="00C91B5F" w:rsidRDefault="00C91B5F" w:rsidP="00C91B5F"/>
    <w:p w14:paraId="39C879EF" w14:textId="77777777" w:rsidR="00A136CB" w:rsidRDefault="00A136CB" w:rsidP="00C91B5F">
      <w:pPr>
        <w:rPr>
          <w:lang w:val="en-GB"/>
        </w:rPr>
      </w:pPr>
    </w:p>
    <w:p w14:paraId="5AFA9758" w14:textId="77777777" w:rsidR="00A136CB" w:rsidRDefault="00A136CB" w:rsidP="00C91B5F">
      <w:pPr>
        <w:rPr>
          <w:lang w:val="en-GB"/>
        </w:rPr>
      </w:pPr>
    </w:p>
    <w:p w14:paraId="5A8CFCC9" w14:textId="77777777" w:rsidR="00A136CB" w:rsidRDefault="00A136CB" w:rsidP="00C91B5F">
      <w:pPr>
        <w:rPr>
          <w:lang w:val="en-GB"/>
        </w:rPr>
      </w:pPr>
    </w:p>
    <w:p w14:paraId="6DCA817C" w14:textId="77777777" w:rsidR="00A136CB" w:rsidRDefault="00A136CB" w:rsidP="00C91B5F">
      <w:pPr>
        <w:rPr>
          <w:lang w:val="en-GB"/>
        </w:rPr>
      </w:pPr>
    </w:p>
    <w:p w14:paraId="0CD6636B" w14:textId="77777777" w:rsidR="00A136CB" w:rsidRDefault="00A136CB" w:rsidP="00C91B5F">
      <w:pPr>
        <w:rPr>
          <w:lang w:val="en-GB"/>
        </w:rPr>
      </w:pPr>
    </w:p>
    <w:p w14:paraId="17B0AC9B" w14:textId="77777777" w:rsidR="00A136CB" w:rsidRDefault="00A136CB" w:rsidP="00C91B5F">
      <w:pPr>
        <w:rPr>
          <w:lang w:val="en-GB"/>
        </w:rPr>
      </w:pPr>
    </w:p>
    <w:p w14:paraId="6FDA7AA4" w14:textId="77777777" w:rsidR="00A136CB" w:rsidRDefault="00A136CB" w:rsidP="00C91B5F">
      <w:pPr>
        <w:rPr>
          <w:lang w:val="en-GB"/>
        </w:rPr>
      </w:pPr>
    </w:p>
    <w:p w14:paraId="2B9FD898" w14:textId="77777777" w:rsidR="003036B3" w:rsidRDefault="003036B3" w:rsidP="00C91B5F">
      <w:pPr>
        <w:rPr>
          <w:lang w:val="en-GB"/>
        </w:rPr>
      </w:pPr>
    </w:p>
    <w:p w14:paraId="2E45122A" w14:textId="77777777" w:rsidR="003036B3" w:rsidRDefault="003036B3" w:rsidP="00C91B5F">
      <w:pPr>
        <w:rPr>
          <w:lang w:val="en-GB"/>
        </w:rPr>
      </w:pPr>
    </w:p>
    <w:p w14:paraId="2AD6B205" w14:textId="77777777" w:rsidR="00C91B5F" w:rsidRPr="00DB0CF3" w:rsidRDefault="00C91B5F" w:rsidP="00C91B5F">
      <w:pPr>
        <w:rPr>
          <w:rFonts w:ascii="Corbel" w:hAnsi="Corbel"/>
          <w:lang w:val="en-GB"/>
        </w:rPr>
      </w:pPr>
      <w:r w:rsidRPr="00DB0CF3">
        <w:rPr>
          <w:rFonts w:ascii="Corbel" w:hAnsi="Corbel"/>
          <w:lang w:val="en-GB"/>
        </w:rPr>
        <w:t xml:space="preserve">The </w:t>
      </w:r>
      <w:r w:rsidRPr="00DB0CF3">
        <w:rPr>
          <w:rFonts w:ascii="Corbel" w:hAnsi="Corbel"/>
          <w:sz w:val="24"/>
          <w:szCs w:val="24"/>
        </w:rPr>
        <w:t>Parties</w:t>
      </w:r>
      <w:r w:rsidRPr="00DB0CF3">
        <w:rPr>
          <w:rFonts w:ascii="Corbel" w:hAnsi="Corbel"/>
          <w:lang w:val="en-GB"/>
        </w:rPr>
        <w:t xml:space="preserve"> have confirmed their commitment to this schedule as follows:</w:t>
      </w:r>
    </w:p>
    <w:p w14:paraId="09783EB7" w14:textId="77777777" w:rsidR="00C91B5F" w:rsidRDefault="00C91B5F" w:rsidP="00C91B5F">
      <w:pPr>
        <w:rPr>
          <w:lang w:val="en-GB"/>
        </w:rPr>
      </w:pPr>
    </w:p>
    <w:tbl>
      <w:tblPr>
        <w:tblW w:w="0" w:type="auto"/>
        <w:jc w:val="center"/>
        <w:tblLayout w:type="fixed"/>
        <w:tblLook w:val="01E0" w:firstRow="1" w:lastRow="1" w:firstColumn="1" w:lastColumn="1" w:noHBand="0" w:noVBand="0"/>
      </w:tblPr>
      <w:tblGrid>
        <w:gridCol w:w="4536"/>
        <w:gridCol w:w="1701"/>
        <w:gridCol w:w="4536"/>
      </w:tblGrid>
      <w:tr w:rsidR="00C91B5F" w:rsidRPr="00A50751" w14:paraId="0494764B" w14:textId="77777777" w:rsidTr="17F33AF1">
        <w:trPr>
          <w:cantSplit/>
          <w:jc w:val="center"/>
        </w:trPr>
        <w:tc>
          <w:tcPr>
            <w:tcW w:w="4536" w:type="dxa"/>
          </w:tcPr>
          <w:p w14:paraId="650A9E3D" w14:textId="77777777" w:rsidR="00C91B5F" w:rsidRPr="004A0AE7" w:rsidRDefault="00C91B5F" w:rsidP="005D3905">
            <w:pPr>
              <w:pStyle w:val="Signed"/>
            </w:pPr>
            <w:r>
              <w:rPr>
                <w:rStyle w:val="SignedBold"/>
              </w:rPr>
              <w:t>Signed</w:t>
            </w:r>
            <w:r w:rsidRPr="004A0AE7">
              <w:t xml:space="preserve"> for and on behalf of the</w:t>
            </w:r>
            <w:r>
              <w:t xml:space="preserve"> </w:t>
            </w:r>
            <w:r w:rsidRPr="004A0AE7">
              <w:t xml:space="preserve">Commonwealth of </w:t>
            </w:r>
            <w:smartTag w:uri="urn:schemas-microsoft-com:office:smarttags" w:element="country-region">
              <w:smartTag w:uri="urn:schemas-microsoft-com:office:smarttags" w:element="place">
                <w:r w:rsidRPr="004A0AE7">
                  <w:t>Australia</w:t>
                </w:r>
              </w:smartTag>
            </w:smartTag>
            <w:r w:rsidRPr="004A0AE7">
              <w:t xml:space="preserve"> by</w:t>
            </w:r>
          </w:p>
          <w:p w14:paraId="636566FF" w14:textId="77777777" w:rsidR="00C91B5F" w:rsidRPr="00A50751" w:rsidRDefault="00C91B5F" w:rsidP="005D3905">
            <w:pPr>
              <w:pStyle w:val="LineForSignature"/>
            </w:pPr>
            <w:r>
              <w:br/>
            </w:r>
            <w:r>
              <w:tab/>
            </w:r>
          </w:p>
          <w:p w14:paraId="442D2080" w14:textId="77777777" w:rsidR="00C91B5F" w:rsidRDefault="5C11D6F0" w:rsidP="17F33AF1">
            <w:pPr>
              <w:jc w:val="both"/>
            </w:pPr>
            <w:r w:rsidRPr="17F33AF1">
              <w:rPr>
                <w:rFonts w:ascii="Corbel" w:eastAsia="Corbel" w:hAnsi="Corbel" w:cs="Corbel"/>
                <w:b/>
                <w:bCs/>
                <w:color w:val="000000" w:themeColor="text1"/>
                <w:sz w:val="23"/>
                <w:szCs w:val="23"/>
                <w:lang w:val="en-GB"/>
              </w:rPr>
              <w:t>The Honourable Anika Wells MP</w:t>
            </w:r>
          </w:p>
          <w:p w14:paraId="12449C81" w14:textId="77777777" w:rsidR="00C91B5F" w:rsidRDefault="5C11D6F0" w:rsidP="17F33AF1">
            <w:pPr>
              <w:spacing w:after="120"/>
              <w:jc w:val="both"/>
            </w:pPr>
            <w:r w:rsidRPr="17F33AF1">
              <w:rPr>
                <w:rFonts w:ascii="Corbel" w:eastAsia="Corbel" w:hAnsi="Corbel" w:cs="Corbel"/>
                <w:color w:val="000000" w:themeColor="text1"/>
                <w:sz w:val="20"/>
                <w:szCs w:val="20"/>
                <w:lang w:val="en-GB"/>
              </w:rPr>
              <w:t>Minister for Communications and Minister for Sport</w:t>
            </w:r>
          </w:p>
          <w:p w14:paraId="6D34B7B5" w14:textId="77777777" w:rsidR="00DB0CF3" w:rsidRDefault="00DB0CF3" w:rsidP="17F33AF1">
            <w:pPr>
              <w:pStyle w:val="SingleParagraph"/>
              <w:tabs>
                <w:tab w:val="num" w:pos="1134"/>
              </w:tabs>
              <w:spacing w:after="240"/>
              <w:rPr>
                <w:bCs/>
                <w:sz w:val="20"/>
                <w:lang w:val="en-GB"/>
              </w:rPr>
            </w:pPr>
          </w:p>
          <w:p w14:paraId="1A789976" w14:textId="77777777" w:rsidR="00C91B5F" w:rsidRPr="00DB0CF3" w:rsidRDefault="00DB0CF3" w:rsidP="17F33AF1">
            <w:pPr>
              <w:pStyle w:val="SingleParagraph"/>
              <w:tabs>
                <w:tab w:val="num" w:pos="1134"/>
              </w:tabs>
              <w:spacing w:after="240"/>
              <w:rPr>
                <w:sz w:val="22"/>
                <w:szCs w:val="22"/>
                <w:lang w:val="en-GB"/>
              </w:rPr>
            </w:pPr>
            <w:r>
              <w:rPr>
                <w:sz w:val="22"/>
                <w:szCs w:val="22"/>
                <w:lang w:val="en-GB"/>
              </w:rPr>
              <w:t xml:space="preserve">   </w:t>
            </w:r>
            <w:r w:rsidR="5C11D6F0" w:rsidRPr="00DB0CF3">
              <w:rPr>
                <w:sz w:val="22"/>
                <w:szCs w:val="22"/>
                <w:lang w:val="en-GB"/>
              </w:rPr>
              <w:t>August 2025</w:t>
            </w:r>
          </w:p>
        </w:tc>
        <w:tc>
          <w:tcPr>
            <w:tcW w:w="1701" w:type="dxa"/>
            <w:tcMar>
              <w:left w:w="0" w:type="dxa"/>
              <w:right w:w="0" w:type="dxa"/>
            </w:tcMar>
          </w:tcPr>
          <w:p w14:paraId="1FA3FD57" w14:textId="77777777" w:rsidR="00C91B5F" w:rsidRPr="00A50751" w:rsidRDefault="00C91B5F" w:rsidP="005D3905">
            <w:pPr>
              <w:rPr>
                <w:rFonts w:ascii="Book Antiqua" w:hAnsi="Book Antiqua"/>
                <w:lang w:val="en-GB"/>
              </w:rPr>
            </w:pPr>
          </w:p>
        </w:tc>
        <w:tc>
          <w:tcPr>
            <w:tcW w:w="4536" w:type="dxa"/>
          </w:tcPr>
          <w:p w14:paraId="713AB24B" w14:textId="77777777" w:rsidR="00C91B5F" w:rsidRPr="004A0AE7" w:rsidRDefault="00C91B5F" w:rsidP="00CB5F20">
            <w:pPr>
              <w:pStyle w:val="Signed"/>
              <w:jc w:val="left"/>
            </w:pPr>
            <w:r>
              <w:rPr>
                <w:rStyle w:val="SignedBold"/>
              </w:rPr>
              <w:t>Signed</w:t>
            </w:r>
            <w:r w:rsidRPr="004A0AE7">
              <w:t xml:space="preserve"> for and on behalf of the</w:t>
            </w:r>
            <w:r>
              <w:t xml:space="preserve"> </w:t>
            </w:r>
            <w:r w:rsidRPr="004A0AE7">
              <w:t xml:space="preserve">State of </w:t>
            </w:r>
            <w:r w:rsidR="00CB5F20">
              <w:t>New</w:t>
            </w:r>
            <w:r w:rsidR="00DB0CF3">
              <w:t xml:space="preserve"> </w:t>
            </w:r>
            <w:r w:rsidR="00CB5F20">
              <w:t>South Wales</w:t>
            </w:r>
            <w:r w:rsidRPr="004A0AE7">
              <w:t xml:space="preserve"> by</w:t>
            </w:r>
          </w:p>
          <w:p w14:paraId="73D6D038" w14:textId="77777777" w:rsidR="00C91B5F" w:rsidRPr="00A50751" w:rsidRDefault="00C91B5F" w:rsidP="005D3905">
            <w:pPr>
              <w:pStyle w:val="LineForSignature"/>
            </w:pPr>
            <w:r>
              <w:br/>
            </w:r>
            <w:r w:rsidRPr="00A50751">
              <w:tab/>
            </w:r>
          </w:p>
          <w:p w14:paraId="12FEE09E" w14:textId="77777777" w:rsidR="00C91B5F" w:rsidRDefault="00C91B5F" w:rsidP="005D3905">
            <w:pPr>
              <w:pStyle w:val="SingleParagraph"/>
              <w:rPr>
                <w:rStyle w:val="Bold"/>
              </w:rPr>
            </w:pPr>
            <w:r w:rsidRPr="16634916">
              <w:rPr>
                <w:rStyle w:val="Bold"/>
              </w:rPr>
              <w:t xml:space="preserve">The Honourable </w:t>
            </w:r>
            <w:r w:rsidR="00CD30F4" w:rsidRPr="16634916">
              <w:rPr>
                <w:rStyle w:val="Bold"/>
              </w:rPr>
              <w:t xml:space="preserve">Steve Kamper </w:t>
            </w:r>
            <w:r w:rsidRPr="16634916">
              <w:rPr>
                <w:rStyle w:val="Bold"/>
              </w:rPr>
              <w:t>MP</w:t>
            </w:r>
          </w:p>
          <w:p w14:paraId="56FBD301" w14:textId="77777777" w:rsidR="00DB0CF3" w:rsidRDefault="70BE3AEE" w:rsidP="00DB0CF3">
            <w:pPr>
              <w:pStyle w:val="Position"/>
              <w:jc w:val="left"/>
              <w:rPr>
                <w:lang w:val="en-GB"/>
              </w:rPr>
            </w:pPr>
            <w:r w:rsidRPr="16634916">
              <w:rPr>
                <w:lang w:val="en-GB"/>
              </w:rPr>
              <w:t>Minister for Lands and Property, Minister for Multiculturalism, Minister for Sport, and Minister for Jobs and Tourism</w:t>
            </w:r>
          </w:p>
          <w:p w14:paraId="15DAC3C1" w14:textId="77777777" w:rsidR="00C91B5F" w:rsidRPr="00DB0CF3" w:rsidRDefault="00DB0CF3" w:rsidP="00DB0CF3">
            <w:pPr>
              <w:pStyle w:val="Position"/>
              <w:jc w:val="left"/>
              <w:rPr>
                <w:sz w:val="22"/>
                <w:szCs w:val="22"/>
                <w:lang w:val="en-GB"/>
              </w:rPr>
            </w:pPr>
            <w:r>
              <w:rPr>
                <w:lang w:val="en-GB"/>
              </w:rPr>
              <w:t xml:space="preserve">   </w:t>
            </w:r>
            <w:r w:rsidR="2ED3B1DE" w:rsidRPr="00DB0CF3">
              <w:rPr>
                <w:sz w:val="22"/>
                <w:szCs w:val="22"/>
                <w:lang w:val="en-GB"/>
              </w:rPr>
              <w:t>August 2025</w:t>
            </w:r>
          </w:p>
        </w:tc>
      </w:tr>
    </w:tbl>
    <w:p w14:paraId="4E8AD10B" w14:textId="77777777" w:rsidR="00884E8F" w:rsidRDefault="00C91B5F" w:rsidP="00884E8F">
      <w:r>
        <w:rPr>
          <w:lang w:val="en-GB"/>
        </w:rPr>
        <w:t xml:space="preserve"> </w:t>
      </w:r>
    </w:p>
    <w:p w14:paraId="3E827CDF" w14:textId="77777777" w:rsidR="00884E8F" w:rsidRPr="00F00A18" w:rsidRDefault="00884E8F" w:rsidP="00884E8F"/>
    <w:p w14:paraId="2EFD43BD" w14:textId="77777777" w:rsidR="00C91B5F" w:rsidRDefault="00C91B5F" w:rsidP="003036B3"/>
    <w:sectPr w:rsidR="00C91B5F" w:rsidSect="00656275">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1C66" w14:textId="77777777" w:rsidR="0084136E" w:rsidRDefault="0084136E">
      <w:r>
        <w:separator/>
      </w:r>
    </w:p>
  </w:endnote>
  <w:endnote w:type="continuationSeparator" w:id="0">
    <w:p w14:paraId="187C4E47" w14:textId="77777777" w:rsidR="0084136E" w:rsidRDefault="0084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L2 Light">
    <w:altName w:val="Calibri"/>
    <w:panose1 w:val="00000000000000000000"/>
    <w:charset w:val="00"/>
    <w:family w:val="modern"/>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2A34" w14:textId="7AF101E5" w:rsidR="00656275" w:rsidRDefault="006A2143">
    <w:pPr>
      <w:pStyle w:val="FooterEven"/>
    </w:pPr>
    <w:r>
      <w:rPr>
        <w:noProof/>
      </w:rPr>
      <mc:AlternateContent>
        <mc:Choice Requires="wps">
          <w:drawing>
            <wp:anchor distT="0" distB="0" distL="0" distR="0" simplePos="0" relativeHeight="251665408" behindDoc="0" locked="0" layoutInCell="1" allowOverlap="1" wp14:anchorId="0AE2ACE6" wp14:editId="58902A05">
              <wp:simplePos x="635" y="635"/>
              <wp:positionH relativeFrom="page">
                <wp:align>center</wp:align>
              </wp:positionH>
              <wp:positionV relativeFrom="page">
                <wp:align>bottom</wp:align>
              </wp:positionV>
              <wp:extent cx="551815" cy="376555"/>
              <wp:effectExtent l="0" t="0" r="635" b="0"/>
              <wp:wrapNone/>
              <wp:docPr id="35477660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68B168" w14:textId="2D6ACEFB"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2ACE6"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A68B168" w14:textId="2D6ACEFB"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r w:rsidR="006B6E73">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8ADA" w14:textId="434CFEB4" w:rsidR="00656275" w:rsidRDefault="006A2143" w:rsidP="007E44E6">
    <w:pPr>
      <w:pStyle w:val="Footer"/>
      <w:jc w:val="right"/>
    </w:pPr>
    <w:r>
      <w:rPr>
        <w:noProof/>
      </w:rPr>
      <mc:AlternateContent>
        <mc:Choice Requires="wps">
          <w:drawing>
            <wp:anchor distT="0" distB="0" distL="0" distR="0" simplePos="0" relativeHeight="251666432" behindDoc="0" locked="0" layoutInCell="1" allowOverlap="1" wp14:anchorId="7BD40718" wp14:editId="175ED1C1">
              <wp:simplePos x="914400" y="6943725"/>
              <wp:positionH relativeFrom="page">
                <wp:align>center</wp:align>
              </wp:positionH>
              <wp:positionV relativeFrom="page">
                <wp:align>bottom</wp:align>
              </wp:positionV>
              <wp:extent cx="551815" cy="376555"/>
              <wp:effectExtent l="0" t="0" r="635" b="0"/>
              <wp:wrapNone/>
              <wp:docPr id="130172971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8500AE" w14:textId="17780D92"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40718"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68500AE" w14:textId="17780D92"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542C" w14:textId="238149E9" w:rsidR="00656275" w:rsidRPr="00CA24B0" w:rsidRDefault="006A2143" w:rsidP="007E44E6">
    <w:pPr>
      <w:pStyle w:val="Footer"/>
      <w:jc w:val="right"/>
    </w:pPr>
    <w:r>
      <w:rPr>
        <w:noProof/>
      </w:rPr>
      <mc:AlternateContent>
        <mc:Choice Requires="wps">
          <w:drawing>
            <wp:anchor distT="0" distB="0" distL="0" distR="0" simplePos="0" relativeHeight="251664384" behindDoc="0" locked="0" layoutInCell="1" allowOverlap="1" wp14:anchorId="31FD2AFE" wp14:editId="2F707130">
              <wp:simplePos x="720725" y="10071735"/>
              <wp:positionH relativeFrom="page">
                <wp:align>center</wp:align>
              </wp:positionH>
              <wp:positionV relativeFrom="page">
                <wp:align>bottom</wp:align>
              </wp:positionV>
              <wp:extent cx="551815" cy="376555"/>
              <wp:effectExtent l="0" t="0" r="635" b="0"/>
              <wp:wrapNone/>
              <wp:docPr id="183989865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DA04EF" w14:textId="50FBF800"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FD2AFE"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2DA04EF" w14:textId="50FBF800"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AC53" w14:textId="21A26766" w:rsidR="006A2143" w:rsidRDefault="006A2143">
    <w:pPr>
      <w:pStyle w:val="Footer"/>
    </w:pPr>
    <w:r>
      <w:rPr>
        <w:noProof/>
      </w:rPr>
      <mc:AlternateContent>
        <mc:Choice Requires="wps">
          <w:drawing>
            <wp:anchor distT="0" distB="0" distL="0" distR="0" simplePos="0" relativeHeight="251668480" behindDoc="0" locked="0" layoutInCell="1" allowOverlap="1" wp14:anchorId="6E656CB3" wp14:editId="0F78FAD3">
              <wp:simplePos x="635" y="635"/>
              <wp:positionH relativeFrom="page">
                <wp:align>center</wp:align>
              </wp:positionH>
              <wp:positionV relativeFrom="page">
                <wp:align>bottom</wp:align>
              </wp:positionV>
              <wp:extent cx="551815" cy="376555"/>
              <wp:effectExtent l="0" t="0" r="635" b="0"/>
              <wp:wrapNone/>
              <wp:docPr id="25607126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B6FF1E" w14:textId="3A660315"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656CB3" id="_x0000_t202" coordsize="21600,21600" o:spt="202" path="m,l,21600r21600,l21600,xe">
              <v:stroke joinstyle="miter"/>
              <v:path gradientshapeok="t" o:connecttype="rect"/>
            </v:shapetype>
            <v:shape id="Text Box 11" o:spid="_x0000_s1034"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4FB6FF1E" w14:textId="3A660315"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1B07" w14:textId="740192F8" w:rsidR="006A2143" w:rsidRDefault="006A2143">
    <w:pPr>
      <w:pStyle w:val="Footer"/>
    </w:pPr>
    <w:r>
      <w:rPr>
        <w:noProof/>
      </w:rPr>
      <mc:AlternateContent>
        <mc:Choice Requires="wps">
          <w:drawing>
            <wp:anchor distT="0" distB="0" distL="0" distR="0" simplePos="0" relativeHeight="251669504" behindDoc="0" locked="0" layoutInCell="1" allowOverlap="1" wp14:anchorId="7B703531" wp14:editId="730DC05A">
              <wp:simplePos x="914400" y="6943725"/>
              <wp:positionH relativeFrom="page">
                <wp:align>center</wp:align>
              </wp:positionH>
              <wp:positionV relativeFrom="page">
                <wp:align>bottom</wp:align>
              </wp:positionV>
              <wp:extent cx="551815" cy="376555"/>
              <wp:effectExtent l="0" t="0" r="635" b="0"/>
              <wp:wrapNone/>
              <wp:docPr id="117728119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BAAD48" w14:textId="1C966745"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703531" id="_x0000_t202" coordsize="21600,21600" o:spt="202" path="m,l,21600r21600,l21600,xe">
              <v:stroke joinstyle="miter"/>
              <v:path gradientshapeok="t" o:connecttype="rect"/>
            </v:shapetype>
            <v:shape id="Text Box 12" o:spid="_x0000_s1035"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8BAAD48" w14:textId="1C966745"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A8C3" w14:textId="1DAB6DD6" w:rsidR="006A2143" w:rsidRDefault="006A2143">
    <w:pPr>
      <w:pStyle w:val="Footer"/>
    </w:pPr>
    <w:r>
      <w:rPr>
        <w:noProof/>
      </w:rPr>
      <mc:AlternateContent>
        <mc:Choice Requires="wps">
          <w:drawing>
            <wp:anchor distT="0" distB="0" distL="0" distR="0" simplePos="0" relativeHeight="251667456" behindDoc="0" locked="0" layoutInCell="1" allowOverlap="1" wp14:anchorId="54A15EAB" wp14:editId="762FC069">
              <wp:simplePos x="635" y="635"/>
              <wp:positionH relativeFrom="page">
                <wp:align>center</wp:align>
              </wp:positionH>
              <wp:positionV relativeFrom="page">
                <wp:align>bottom</wp:align>
              </wp:positionV>
              <wp:extent cx="551815" cy="376555"/>
              <wp:effectExtent l="0" t="0" r="635" b="0"/>
              <wp:wrapNone/>
              <wp:docPr id="160331872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E1B3E8" w14:textId="6FBFCEA1"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15EAB" id="_x0000_t202" coordsize="21600,21600" o:spt="202" path="m,l,21600r21600,l21600,xe">
              <v:stroke joinstyle="miter"/>
              <v:path gradientshapeok="t" o:connecttype="rect"/>
            </v:shapetype>
            <v:shape id="Text Box 10" o:spid="_x0000_s1037"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AE1B3E8" w14:textId="6FBFCEA1"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972B" w14:textId="77777777" w:rsidR="0084136E" w:rsidRDefault="0084136E">
      <w:r>
        <w:separator/>
      </w:r>
    </w:p>
  </w:footnote>
  <w:footnote w:type="continuationSeparator" w:id="0">
    <w:p w14:paraId="58F7CD2D" w14:textId="77777777" w:rsidR="0084136E" w:rsidRDefault="0084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6119" w14:textId="63CB0E0B" w:rsidR="006A2143" w:rsidRDefault="006A2143">
    <w:pPr>
      <w:pStyle w:val="Header"/>
    </w:pPr>
    <w:r>
      <w:rPr>
        <w:noProof/>
      </w:rPr>
      <mc:AlternateContent>
        <mc:Choice Requires="wps">
          <w:drawing>
            <wp:anchor distT="0" distB="0" distL="0" distR="0" simplePos="0" relativeHeight="251659264" behindDoc="0" locked="0" layoutInCell="1" allowOverlap="1" wp14:anchorId="7FE69622" wp14:editId="745A212C">
              <wp:simplePos x="635" y="635"/>
              <wp:positionH relativeFrom="page">
                <wp:align>center</wp:align>
              </wp:positionH>
              <wp:positionV relativeFrom="page">
                <wp:align>top</wp:align>
              </wp:positionV>
              <wp:extent cx="551815" cy="376555"/>
              <wp:effectExtent l="0" t="0" r="635" b="4445"/>
              <wp:wrapNone/>
              <wp:docPr id="15059185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565956" w14:textId="7EADEDAA"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E6962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F565956" w14:textId="7EADEDAA"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4E14" w14:textId="5BB57D46" w:rsidR="006A2143" w:rsidRDefault="006A2143">
    <w:pPr>
      <w:pStyle w:val="Header"/>
    </w:pPr>
    <w:r>
      <w:rPr>
        <w:noProof/>
      </w:rPr>
      <mc:AlternateContent>
        <mc:Choice Requires="wps">
          <w:drawing>
            <wp:anchor distT="0" distB="0" distL="0" distR="0" simplePos="0" relativeHeight="251660288" behindDoc="0" locked="0" layoutInCell="1" allowOverlap="1" wp14:anchorId="5C93C0A4" wp14:editId="5B583A89">
              <wp:simplePos x="635" y="635"/>
              <wp:positionH relativeFrom="page">
                <wp:align>center</wp:align>
              </wp:positionH>
              <wp:positionV relativeFrom="page">
                <wp:align>top</wp:align>
              </wp:positionV>
              <wp:extent cx="551815" cy="376555"/>
              <wp:effectExtent l="0" t="0" r="635" b="4445"/>
              <wp:wrapNone/>
              <wp:docPr id="12171104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A275F6" w14:textId="6B943EDF"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93C0A4"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8A275F6" w14:textId="6B943EDF"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9ADB" w14:textId="0B700D04" w:rsidR="00656275" w:rsidRDefault="006A2143" w:rsidP="007E44E6">
    <w:pPr>
      <w:pStyle w:val="HeaderOdd"/>
      <w:tabs>
        <w:tab w:val="num" w:pos="1134"/>
      </w:tabs>
      <w:rPr>
        <w:color w:val="800000"/>
        <w:sz w:val="30"/>
        <w:szCs w:val="30"/>
      </w:rPr>
    </w:pPr>
    <w:r>
      <w:rPr>
        <w:noProof/>
        <w:color w:val="800000"/>
        <w:sz w:val="30"/>
        <w:szCs w:val="30"/>
      </w:rPr>
      <mc:AlternateContent>
        <mc:Choice Requires="wps">
          <w:drawing>
            <wp:anchor distT="0" distB="0" distL="0" distR="0" simplePos="0" relativeHeight="251658240" behindDoc="0" locked="0" layoutInCell="1" allowOverlap="1" wp14:anchorId="64B004CE" wp14:editId="7166004B">
              <wp:simplePos x="635" y="635"/>
              <wp:positionH relativeFrom="page">
                <wp:align>center</wp:align>
              </wp:positionH>
              <wp:positionV relativeFrom="page">
                <wp:align>top</wp:align>
              </wp:positionV>
              <wp:extent cx="551815" cy="376555"/>
              <wp:effectExtent l="0" t="0" r="635" b="4445"/>
              <wp:wrapNone/>
              <wp:docPr id="8356558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F09635" w14:textId="47BF498B"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004CE"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2BF09635" w14:textId="47BF498B"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p w14:paraId="79E0A018" w14:textId="77777777" w:rsidR="00656275" w:rsidRDefault="006562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F609" w14:textId="0811D1B8" w:rsidR="00884E8F" w:rsidRDefault="006A2143">
    <w:pPr>
      <w:pStyle w:val="Header"/>
    </w:pPr>
    <w:r>
      <w:rPr>
        <w:noProof/>
      </w:rPr>
      <mc:AlternateContent>
        <mc:Choice Requires="wps">
          <w:drawing>
            <wp:anchor distT="0" distB="0" distL="0" distR="0" simplePos="0" relativeHeight="251662336" behindDoc="0" locked="0" layoutInCell="1" allowOverlap="1" wp14:anchorId="2EA72CA7" wp14:editId="331D8AB0">
              <wp:simplePos x="635" y="635"/>
              <wp:positionH relativeFrom="page">
                <wp:align>center</wp:align>
              </wp:positionH>
              <wp:positionV relativeFrom="page">
                <wp:align>top</wp:align>
              </wp:positionV>
              <wp:extent cx="551815" cy="376555"/>
              <wp:effectExtent l="0" t="0" r="635" b="4445"/>
              <wp:wrapNone/>
              <wp:docPr id="32800865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976A27" w14:textId="71D052E0"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A72CA7"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E976A27" w14:textId="71D052E0"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FB80" w14:textId="2F86CEE7" w:rsidR="00884E8F" w:rsidRDefault="006A2143">
    <w:pPr>
      <w:pStyle w:val="Header"/>
    </w:pPr>
    <w:r>
      <w:rPr>
        <w:noProof/>
      </w:rPr>
      <mc:AlternateContent>
        <mc:Choice Requires="wps">
          <w:drawing>
            <wp:anchor distT="0" distB="0" distL="0" distR="0" simplePos="0" relativeHeight="251663360" behindDoc="0" locked="0" layoutInCell="1" allowOverlap="1" wp14:anchorId="61BC2EBC" wp14:editId="24D464DE">
              <wp:simplePos x="914400" y="447675"/>
              <wp:positionH relativeFrom="page">
                <wp:align>center</wp:align>
              </wp:positionH>
              <wp:positionV relativeFrom="page">
                <wp:align>top</wp:align>
              </wp:positionV>
              <wp:extent cx="551815" cy="376555"/>
              <wp:effectExtent l="0" t="0" r="635" b="4445"/>
              <wp:wrapNone/>
              <wp:docPr id="118055532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169C72" w14:textId="3F7C8D51"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C2EBC" id="_x0000_t202" coordsize="21600,21600" o:spt="202" path="m,l,21600r21600,l21600,xe">
              <v:stroke joinstyle="miter"/>
              <v:path gradientshapeok="t" o:connecttype="rect"/>
            </v:shapetype>
            <v:shape id="Text Box 6" o:spid="_x0000_s1033"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35169C72" w14:textId="3F7C8D51"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A2C2" w14:textId="0E7C79EC" w:rsidR="00884E8F" w:rsidRDefault="006A2143">
    <w:pPr>
      <w:pStyle w:val="Header"/>
    </w:pPr>
    <w:r>
      <w:rPr>
        <w:noProof/>
      </w:rPr>
      <mc:AlternateContent>
        <mc:Choice Requires="wps">
          <w:drawing>
            <wp:anchor distT="0" distB="0" distL="0" distR="0" simplePos="0" relativeHeight="251661312" behindDoc="0" locked="0" layoutInCell="1" allowOverlap="1" wp14:anchorId="585E01CA" wp14:editId="22EC361B">
              <wp:simplePos x="635" y="635"/>
              <wp:positionH relativeFrom="page">
                <wp:align>center</wp:align>
              </wp:positionH>
              <wp:positionV relativeFrom="page">
                <wp:align>top</wp:align>
              </wp:positionV>
              <wp:extent cx="551815" cy="376555"/>
              <wp:effectExtent l="0" t="0" r="635" b="4445"/>
              <wp:wrapNone/>
              <wp:docPr id="41681425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C90EB0" w14:textId="04457804"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5E01CA" id="_x0000_t202" coordsize="21600,21600" o:spt="202" path="m,l,21600r21600,l21600,xe">
              <v:stroke joinstyle="miter"/>
              <v:path gradientshapeok="t" o:connecttype="rect"/>
            </v:shapetype>
            <v:shape id="Text Box 4" o:spid="_x0000_s1036"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68C90EB0" w14:textId="04457804" w:rsidR="006A2143" w:rsidRPr="006A2143" w:rsidRDefault="006A2143" w:rsidP="006A2143">
                    <w:pPr>
                      <w:rPr>
                        <w:rFonts w:ascii="Calibri" w:eastAsia="Calibri" w:hAnsi="Calibri" w:cs="Calibri"/>
                        <w:noProof/>
                        <w:color w:val="FF0000"/>
                        <w:sz w:val="24"/>
                        <w:szCs w:val="24"/>
                      </w:rPr>
                    </w:pPr>
                    <w:r w:rsidRPr="006A214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4D20"/>
    <w:multiLevelType w:val="hybridMultilevel"/>
    <w:tmpl w:val="35D0F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94402637">
    <w:abstractNumId w:val="2"/>
  </w:num>
  <w:num w:numId="2" w16cid:durableId="233319659">
    <w:abstractNumId w:val="1"/>
  </w:num>
  <w:num w:numId="3" w16cid:durableId="46774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0105BE"/>
    <w:rsid w:val="000135C2"/>
    <w:rsid w:val="00014281"/>
    <w:rsid w:val="00042BC8"/>
    <w:rsid w:val="00065186"/>
    <w:rsid w:val="000F7E14"/>
    <w:rsid w:val="00101F13"/>
    <w:rsid w:val="00126EED"/>
    <w:rsid w:val="001358EB"/>
    <w:rsid w:val="00152DDA"/>
    <w:rsid w:val="00164A1E"/>
    <w:rsid w:val="00173C76"/>
    <w:rsid w:val="001A370E"/>
    <w:rsid w:val="001C1BF7"/>
    <w:rsid w:val="001D1848"/>
    <w:rsid w:val="0025322B"/>
    <w:rsid w:val="002A5F95"/>
    <w:rsid w:val="002B3A0D"/>
    <w:rsid w:val="002C6F96"/>
    <w:rsid w:val="002E74E6"/>
    <w:rsid w:val="003036B3"/>
    <w:rsid w:val="00312161"/>
    <w:rsid w:val="00316DFD"/>
    <w:rsid w:val="00317FB3"/>
    <w:rsid w:val="00333217"/>
    <w:rsid w:val="00345688"/>
    <w:rsid w:val="0035499A"/>
    <w:rsid w:val="0039202B"/>
    <w:rsid w:val="003B432D"/>
    <w:rsid w:val="004259C0"/>
    <w:rsid w:val="00441B0F"/>
    <w:rsid w:val="004634C4"/>
    <w:rsid w:val="00491677"/>
    <w:rsid w:val="00527704"/>
    <w:rsid w:val="00560C73"/>
    <w:rsid w:val="005F72D3"/>
    <w:rsid w:val="00600614"/>
    <w:rsid w:val="00623CE9"/>
    <w:rsid w:val="0064121C"/>
    <w:rsid w:val="00656275"/>
    <w:rsid w:val="006A0572"/>
    <w:rsid w:val="006A2143"/>
    <w:rsid w:val="006A7DE4"/>
    <w:rsid w:val="006B6E73"/>
    <w:rsid w:val="006E412D"/>
    <w:rsid w:val="007032D6"/>
    <w:rsid w:val="00713FD8"/>
    <w:rsid w:val="00723B30"/>
    <w:rsid w:val="00753276"/>
    <w:rsid w:val="0077011D"/>
    <w:rsid w:val="0079072A"/>
    <w:rsid w:val="007960B6"/>
    <w:rsid w:val="007F6A70"/>
    <w:rsid w:val="00803917"/>
    <w:rsid w:val="0084136E"/>
    <w:rsid w:val="00884E8F"/>
    <w:rsid w:val="008C5391"/>
    <w:rsid w:val="008E35C9"/>
    <w:rsid w:val="008E62E2"/>
    <w:rsid w:val="008F50BC"/>
    <w:rsid w:val="00916607"/>
    <w:rsid w:val="009424C5"/>
    <w:rsid w:val="00995461"/>
    <w:rsid w:val="009C3443"/>
    <w:rsid w:val="009D5BA6"/>
    <w:rsid w:val="009F0E24"/>
    <w:rsid w:val="00A020B2"/>
    <w:rsid w:val="00A114AE"/>
    <w:rsid w:val="00A136CB"/>
    <w:rsid w:val="00A2274A"/>
    <w:rsid w:val="00A65C44"/>
    <w:rsid w:val="00A7101C"/>
    <w:rsid w:val="00A90D18"/>
    <w:rsid w:val="00AB6529"/>
    <w:rsid w:val="00AE34DC"/>
    <w:rsid w:val="00B12979"/>
    <w:rsid w:val="00B63981"/>
    <w:rsid w:val="00BB0778"/>
    <w:rsid w:val="00BD6E01"/>
    <w:rsid w:val="00C704D2"/>
    <w:rsid w:val="00C91B5F"/>
    <w:rsid w:val="00CA54E0"/>
    <w:rsid w:val="00CB5F20"/>
    <w:rsid w:val="00CD30F4"/>
    <w:rsid w:val="00CD7D4B"/>
    <w:rsid w:val="00CF0B25"/>
    <w:rsid w:val="00D54783"/>
    <w:rsid w:val="00D72A49"/>
    <w:rsid w:val="00D77C00"/>
    <w:rsid w:val="00DB0CF3"/>
    <w:rsid w:val="00DE0037"/>
    <w:rsid w:val="00F50DF3"/>
    <w:rsid w:val="00FA3B8E"/>
    <w:rsid w:val="03018E2B"/>
    <w:rsid w:val="052D20AF"/>
    <w:rsid w:val="069E6184"/>
    <w:rsid w:val="0D572691"/>
    <w:rsid w:val="111AB2A0"/>
    <w:rsid w:val="16634916"/>
    <w:rsid w:val="17F33AF1"/>
    <w:rsid w:val="2CFA7397"/>
    <w:rsid w:val="2D6552E0"/>
    <w:rsid w:val="2ED3B1DE"/>
    <w:rsid w:val="3C822E9E"/>
    <w:rsid w:val="3EC557B8"/>
    <w:rsid w:val="48027FB5"/>
    <w:rsid w:val="49B84313"/>
    <w:rsid w:val="4AEE9987"/>
    <w:rsid w:val="4BDF6419"/>
    <w:rsid w:val="4E7C5C28"/>
    <w:rsid w:val="597A7F15"/>
    <w:rsid w:val="5997380A"/>
    <w:rsid w:val="5C11D6F0"/>
    <w:rsid w:val="6085DFCE"/>
    <w:rsid w:val="6521AC8F"/>
    <w:rsid w:val="6B5E22BC"/>
    <w:rsid w:val="70BE3AEE"/>
    <w:rsid w:val="713872C1"/>
    <w:rsid w:val="74BDCC25"/>
    <w:rsid w:val="75E3D582"/>
    <w:rsid w:val="7F017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39DBC0"/>
  <w15:chartTrackingRefBased/>
  <w15:docId w15:val="{9DFF7502-E5FE-4E11-B99E-E62EBCA1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Bullet point"/>
    <w:basedOn w:val="Normal"/>
    <w:uiPriority w:val="1"/>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0142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6B09D00-226B-43FA-9280-A02D1039D7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2759FB425EF6F4B843EBA1AC6C7AE16" ma:contentTypeVersion="" ma:contentTypeDescription="PDMS Document Site Content Type" ma:contentTypeScope="" ma:versionID="fc18581224af4fcd2a006782257e8ead">
  <xsd:schema xmlns:xsd="http://www.w3.org/2001/XMLSchema" xmlns:xs="http://www.w3.org/2001/XMLSchema" xmlns:p="http://schemas.microsoft.com/office/2006/metadata/properties" xmlns:ns2="86B09D00-226B-43FA-9280-A02D1039D7C0" targetNamespace="http://schemas.microsoft.com/office/2006/metadata/properties" ma:root="true" ma:fieldsID="54b79a4dde7c088c6ef88967e84fd313" ns2:_="">
    <xsd:import namespace="86B09D00-226B-43FA-9280-A02D1039D7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09D00-226B-43FA-9280-A02D1039D7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900B8-6070-407E-B433-89E316A15907}">
  <ds:schemaRefs>
    <ds:schemaRef ds:uri="http://schemas.microsoft.com/office/2006/metadata/properties"/>
    <ds:schemaRef ds:uri="http://schemas.microsoft.com/office/infopath/2007/PartnerControls"/>
    <ds:schemaRef ds:uri="86B09D00-226B-43FA-9280-A02D1039D7C0"/>
  </ds:schemaRefs>
</ds:datastoreItem>
</file>

<file path=customXml/itemProps2.xml><?xml version="1.0" encoding="utf-8"?>
<ds:datastoreItem xmlns:ds="http://schemas.openxmlformats.org/officeDocument/2006/customXml" ds:itemID="{80153D16-1542-484E-A49D-E7D67B479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09D00-226B-43FA-9280-A02D1039D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DFF39-B1A0-4D6A-871F-52A68E916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720</Words>
  <Characters>4442</Characters>
  <Application>Microsoft Office Word</Application>
  <DocSecurity>0</DocSecurity>
  <Lines>177</Lines>
  <Paragraphs>101</Paragraphs>
  <ScaleCrop>false</ScaleCrop>
  <HeadingPairs>
    <vt:vector size="2" baseType="variant">
      <vt:variant>
        <vt:lpstr>Title</vt:lpstr>
      </vt:variant>
      <vt:variant>
        <vt:i4>1</vt:i4>
      </vt:variant>
    </vt:vector>
  </HeadingPairs>
  <TitlesOfParts>
    <vt:vector size="1" baseType="lpstr">
      <vt:lpstr>Affordable Housing, Community Services and Other - Bilateral/Simple multilateral Schedule Template</vt:lpstr>
    </vt:vector>
  </TitlesOfParts>
  <Company>Department of the Prime Minister and Cabinet</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Community Services and Other - Bilateral/Simple multilateral Schedule Template</dc:title>
  <dc:subject/>
  <dc:creator>Le, Alan</dc:creator>
  <cp:keywords/>
  <dc:description/>
  <cp:lastModifiedBy>Pennifold, Lauren</cp:lastModifiedBy>
  <cp:revision>3</cp:revision>
  <dcterms:created xsi:type="dcterms:W3CDTF">2025-08-26T23:29:00Z</dcterms:created>
  <dcterms:modified xsi:type="dcterms:W3CDTF">2025-08-26T23:29:00Z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0x010100266966F133664895A6EE3632470D45F50052759FB425EF6F4B843EBA1AC6C7AE16</vt:lpwstr>
  </property>
  <property fmtid="{D5CDD505-2E9C-101B-9397-08002B2CF9AE}" pid="3" name="_ExtendedDescription">
    <vt:lpwstr/>
  </property>
  <property fmtid="{D5CDD505-2E9C-101B-9397-08002B2CF9AE}" pid="4" name="ClassificationContentMarkingHeaderShapeIds">
    <vt:lpwstr>31cf18ba,59c27e62,488ba1c1,18d814ad,138d03d2,465dd838</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6daaa023,1525761e,4d96d1b5,5f90b3c6,f435664,462be2a6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6e3dc468-5731-4ec9-b671-cf2147a52e3a_Enabled">
    <vt:lpwstr>true</vt:lpwstr>
  </property>
  <property fmtid="{D5CDD505-2E9C-101B-9397-08002B2CF9AE}" pid="11" name="MSIP_Label_6e3dc468-5731-4ec9-b671-cf2147a52e3a_SetDate">
    <vt:lpwstr>2025-08-26T23:29:52Z</vt:lpwstr>
  </property>
  <property fmtid="{D5CDD505-2E9C-101B-9397-08002B2CF9AE}" pid="12" name="MSIP_Label_6e3dc468-5731-4ec9-b671-cf2147a52e3a_Method">
    <vt:lpwstr>Privileged</vt:lpwstr>
  </property>
  <property fmtid="{D5CDD505-2E9C-101B-9397-08002B2CF9AE}" pid="13" name="MSIP_Label_6e3dc468-5731-4ec9-b671-cf2147a52e3a_Name">
    <vt:lpwstr>Official</vt:lpwstr>
  </property>
  <property fmtid="{D5CDD505-2E9C-101B-9397-08002B2CF9AE}" pid="14" name="MSIP_Label_6e3dc468-5731-4ec9-b671-cf2147a52e3a_SiteId">
    <vt:lpwstr>214f1646-2021-47cc-8397-e3d3a7ba7d9d</vt:lpwstr>
  </property>
  <property fmtid="{D5CDD505-2E9C-101B-9397-08002B2CF9AE}" pid="15" name="MSIP_Label_6e3dc468-5731-4ec9-b671-cf2147a52e3a_ActionId">
    <vt:lpwstr>252ce2ca-12a1-462c-bfca-f45bfa8f3f79</vt:lpwstr>
  </property>
  <property fmtid="{D5CDD505-2E9C-101B-9397-08002B2CF9AE}" pid="16" name="MSIP_Label_6e3dc468-5731-4ec9-b671-cf2147a52e3a_ContentBits">
    <vt:lpwstr>3</vt:lpwstr>
  </property>
  <property fmtid="{D5CDD505-2E9C-101B-9397-08002B2CF9AE}" pid="17" name="MSIP_Label_6e3dc468-5731-4ec9-b671-cf2147a52e3a_Tag">
    <vt:lpwstr>10, 0, 1, 1</vt:lpwstr>
  </property>
</Properties>
</file>