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6B3C" w14:textId="4331E24A" w:rsidR="009C2911" w:rsidRPr="00D56365" w:rsidRDefault="009C2911" w:rsidP="009C2911">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Bilateral Implementation Plan – </w:t>
      </w:r>
      <w:r>
        <w:br/>
      </w:r>
      <w:r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75C4B3DC" w14:textId="77777777" w:rsidR="009C2911" w:rsidRPr="00D56365" w:rsidRDefault="009C2911" w:rsidP="009C2911">
      <w:pPr>
        <w:rPr>
          <w:rFonts w:ascii="Corbel" w:hAnsi="Corbel"/>
          <w:b/>
          <w:bCs/>
        </w:rPr>
      </w:pPr>
    </w:p>
    <w:p w14:paraId="163501AD" w14:textId="77777777" w:rsidR="009C2911" w:rsidRDefault="009C2911" w:rsidP="009C2911">
      <w:pPr>
        <w:pStyle w:val="ImplementationPlan1"/>
        <w:keepNext/>
        <w:numPr>
          <w:ilvl w:val="0"/>
          <w:numId w:val="0"/>
        </w:numPr>
        <w:outlineLvl w:val="1"/>
      </w:pPr>
      <w:r w:rsidRPr="00D56365">
        <w:t>PRELIMINARIES</w:t>
      </w:r>
    </w:p>
    <w:p w14:paraId="0A8DFBFA" w14:textId="77777777" w:rsidR="009C2911" w:rsidRPr="00D56365" w:rsidRDefault="009C2911" w:rsidP="009C2911">
      <w:pPr>
        <w:pStyle w:val="ImplementationPlan1"/>
        <w:keepNext/>
        <w:numPr>
          <w:ilvl w:val="0"/>
          <w:numId w:val="0"/>
        </w:numPr>
        <w:outlineLvl w:val="1"/>
      </w:pPr>
      <w:r w:rsidRPr="00D56365">
        <w:t> </w:t>
      </w:r>
    </w:p>
    <w:p w14:paraId="04086D28" w14:textId="409D2E01" w:rsidR="009C2911" w:rsidRPr="00767387" w:rsidRDefault="009C2911" w:rsidP="009C2911">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77611E">
        <w:rPr>
          <w:rFonts w:ascii="Corbel" w:eastAsia="Corbel" w:hAnsi="Corbel" w:cs="Corbel"/>
          <w:color w:val="000000" w:themeColor="text1"/>
          <w:sz w:val="22"/>
          <w:szCs w:val="22"/>
        </w:rPr>
        <w:t>Queensland</w:t>
      </w:r>
      <w:r w:rsidRPr="00767387">
        <w:rPr>
          <w:rFonts w:ascii="Corbel" w:eastAsia="Corbel" w:hAnsi="Corbel" w:cs="Corbel"/>
          <w:color w:val="000000" w:themeColor="text1"/>
          <w:sz w:val="22"/>
          <w:szCs w:val="22"/>
        </w:rPr>
        <w:t xml:space="preserve"> under the 2024–2028 National Skills Agreement (the NSA) and should be read in conjunction with the NSA</w:t>
      </w:r>
      <w:r>
        <w:rPr>
          <w:rFonts w:ascii="Corbel" w:eastAsia="Corbel" w:hAnsi="Corbel" w:cs="Corbel"/>
          <w:color w:val="000000" w:themeColor="text1"/>
          <w:sz w:val="22"/>
          <w:szCs w:val="22"/>
        </w:rPr>
        <w:t xml:space="preserve"> and the NSA Bilateral Implementation Plan Guidance</w:t>
      </w:r>
      <w:r w:rsidRPr="00767387">
        <w:rPr>
          <w:rFonts w:ascii="Corbel" w:eastAsia="Corbel" w:hAnsi="Corbel" w:cs="Corbel"/>
          <w:color w:val="000000" w:themeColor="text1"/>
          <w:sz w:val="22"/>
          <w:szCs w:val="22"/>
        </w:rPr>
        <w:t xml:space="preserve">. </w:t>
      </w:r>
    </w:p>
    <w:p w14:paraId="52504802" w14:textId="77777777" w:rsidR="009C2911" w:rsidRPr="00160190" w:rsidRDefault="009C2911" w:rsidP="009C2911">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D56365">
          <w:rPr>
            <w:rStyle w:val="Hyperlink"/>
            <w:rFonts w:ascii="Corbel" w:eastAsia="Corbel" w:hAnsi="Corbel" w:cs="Corbel"/>
            <w:sz w:val="22"/>
            <w:szCs w:val="22"/>
          </w:rPr>
          <w:t>https://federalfinancialrelations.gov.au</w:t>
        </w:r>
      </w:hyperlink>
      <w:r w:rsidRPr="00D56365">
        <w:rPr>
          <w:rFonts w:ascii="Corbel" w:eastAsia="Corbel" w:hAnsi="Corbel" w:cs="Corbel"/>
          <w:sz w:val="22"/>
          <w:szCs w:val="22"/>
        </w:rPr>
        <w:t>).</w:t>
      </w:r>
    </w:p>
    <w:p w14:paraId="6CE76292" w14:textId="77777777" w:rsidR="009C2911" w:rsidRDefault="009C2911" w:rsidP="009C2911">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03BD5FD2" w14:textId="4137B0A3" w:rsidR="009C2911" w:rsidRPr="00BA4D03" w:rsidRDefault="009C2911" w:rsidP="009C2911">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DD0AB7">
        <w:rPr>
          <w:rFonts w:ascii="Corbel" w:eastAsia="Corbel" w:hAnsi="Corbel" w:cs="Corbel"/>
          <w:color w:val="000000" w:themeColor="text1"/>
          <w:sz w:val="22"/>
          <w:szCs w:val="22"/>
        </w:rPr>
        <w:t>Queensland</w:t>
      </w:r>
      <w:r w:rsidRPr="00BA4D03">
        <w:rPr>
          <w:rFonts w:ascii="Corbel" w:eastAsia="Corbel" w:hAnsi="Corbel" w:cs="Corbel"/>
          <w:color w:val="000000" w:themeColor="text1"/>
          <w:sz w:val="22"/>
          <w:szCs w:val="22"/>
        </w:rPr>
        <w:t xml:space="preserve"> will acknowledge the Commonwealth’s contribution with the following statement:</w:t>
      </w:r>
      <w:r>
        <w:rPr>
          <w:rFonts w:ascii="Corbel" w:eastAsia="Corbel" w:hAnsi="Corbel" w:cs="Corbel"/>
          <w:color w:val="000000" w:themeColor="text1"/>
          <w:sz w:val="22"/>
          <w:szCs w:val="22"/>
        </w:rPr>
        <w:t xml:space="preserve"> </w:t>
      </w:r>
      <w:r w:rsidR="004F40EA">
        <w:rPr>
          <w:rFonts w:ascii="Corbel" w:eastAsia="Corbel" w:hAnsi="Corbel" w:cs="Corbel"/>
          <w:color w:val="000000" w:themeColor="text1"/>
          <w:sz w:val="22"/>
          <w:szCs w:val="22"/>
        </w:rPr>
        <w:t>Improved Completions</w:t>
      </w:r>
      <w:r w:rsidRPr="00BA4D03">
        <w:rPr>
          <w:rFonts w:ascii="Corbel" w:eastAsia="Corbel" w:hAnsi="Corbel" w:cs="Corbel"/>
          <w:color w:val="000000" w:themeColor="text1"/>
          <w:sz w:val="22"/>
          <w:szCs w:val="22"/>
        </w:rPr>
        <w:t xml:space="preserve"> is a joint initiative between the Australian Government and </w:t>
      </w:r>
      <w:r w:rsidR="00DD0AB7">
        <w:rPr>
          <w:rFonts w:ascii="Corbel" w:eastAsia="Corbel" w:hAnsi="Corbel" w:cs="Corbel"/>
          <w:color w:val="000000" w:themeColor="text1"/>
          <w:sz w:val="22"/>
          <w:szCs w:val="22"/>
        </w:rPr>
        <w:t xml:space="preserve">Queensland </w:t>
      </w:r>
      <w:r w:rsidRPr="00BA4D03">
        <w:rPr>
          <w:rFonts w:ascii="Corbel" w:eastAsia="Corbel" w:hAnsi="Corbel" w:cs="Corbel"/>
          <w:color w:val="000000" w:themeColor="text1"/>
          <w:sz w:val="22"/>
          <w:szCs w:val="22"/>
        </w:rPr>
        <w:t>Government.</w:t>
      </w:r>
    </w:p>
    <w:p w14:paraId="1311BA9B" w14:textId="77777777" w:rsidR="009C2911" w:rsidRDefault="009C2911" w:rsidP="009C2911">
      <w:pPr>
        <w:pStyle w:val="ImplementationPlan1"/>
        <w:keepNext/>
        <w:numPr>
          <w:ilvl w:val="0"/>
          <w:numId w:val="0"/>
        </w:numPr>
        <w:outlineLvl w:val="1"/>
      </w:pPr>
    </w:p>
    <w:p w14:paraId="2A309271" w14:textId="77777777" w:rsidR="009C2911" w:rsidRPr="0085130C" w:rsidRDefault="009C2911" w:rsidP="009C2911">
      <w:pPr>
        <w:pStyle w:val="ImplementationPlan1"/>
        <w:keepNext/>
        <w:numPr>
          <w:ilvl w:val="0"/>
          <w:numId w:val="0"/>
        </w:numPr>
        <w:outlineLvl w:val="1"/>
      </w:pPr>
      <w:r w:rsidRPr="00C50167">
        <w:t xml:space="preserve">Reporting and </w:t>
      </w:r>
      <w:r>
        <w:t>P</w:t>
      </w:r>
      <w:r w:rsidRPr="00C50167">
        <w:t>ayments</w:t>
      </w:r>
    </w:p>
    <w:p w14:paraId="246ED37E" w14:textId="77777777" w:rsidR="009C2911" w:rsidRPr="00F45597" w:rsidDel="00AC4CC7" w:rsidRDefault="009C2911" w:rsidP="009C2911">
      <w:pPr>
        <w:spacing w:after="0"/>
        <w:outlineLvl w:val="2"/>
        <w:rPr>
          <w:rFonts w:ascii="Corbel" w:hAnsi="Corbel"/>
          <w:b/>
          <w:bCs/>
          <w:color w:val="000000" w:themeColor="text1"/>
        </w:rPr>
      </w:pPr>
      <w:r w:rsidRPr="4830F898">
        <w:rPr>
          <w:rFonts w:ascii="Corbel" w:hAnsi="Corbel"/>
          <w:b/>
          <w:bCs/>
          <w:color w:val="000000" w:themeColor="text1"/>
        </w:rPr>
        <w:t>Reporting</w:t>
      </w:r>
    </w:p>
    <w:p w14:paraId="4AB44577" w14:textId="77777777" w:rsidR="009C2911" w:rsidRPr="00F45597" w:rsidDel="00AC4CC7" w:rsidRDefault="009C2911" w:rsidP="009C2911">
      <w:pPr>
        <w:pStyle w:val="ScheduleA"/>
        <w:numPr>
          <w:ilvl w:val="0"/>
          <w:numId w:val="3"/>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00D9C505" w14:textId="615F278F" w:rsidR="009C2911" w:rsidRPr="00F45597" w:rsidRDefault="00DD0AB7" w:rsidP="009C2911">
      <w:pPr>
        <w:pStyle w:val="ScheduleA"/>
        <w:numPr>
          <w:ilvl w:val="0"/>
          <w:numId w:val="3"/>
        </w:numPr>
        <w:rPr>
          <w:rFonts w:ascii="Corbel" w:eastAsia="Corbel" w:hAnsi="Corbel" w:cs="Corbel"/>
          <w:color w:val="000000" w:themeColor="text1"/>
        </w:rPr>
      </w:pPr>
      <w:r>
        <w:rPr>
          <w:rFonts w:ascii="Corbel" w:eastAsia="Corbel" w:hAnsi="Corbel" w:cs="Corbel"/>
          <w:color w:val="000000" w:themeColor="text1"/>
          <w:sz w:val="22"/>
          <w:szCs w:val="22"/>
        </w:rPr>
        <w:t>Queensland</w:t>
      </w:r>
      <w:r w:rsidR="009C2911" w:rsidRPr="00F45597" w:rsidDel="00AC4CC7">
        <w:rPr>
          <w:rFonts w:ascii="Corbel" w:eastAsia="Corbel" w:hAnsi="Corbel" w:cs="Corbel"/>
          <w:color w:val="000000" w:themeColor="text1"/>
          <w:sz w:val="22"/>
          <w:szCs w:val="22"/>
        </w:rPr>
        <w:t xml:space="preserve"> </w:t>
      </w:r>
      <w:r w:rsidR="009C2911" w:rsidRPr="00F45597">
        <w:rPr>
          <w:rFonts w:ascii="Corbel" w:eastAsia="Corbel" w:hAnsi="Corbel" w:cs="Corbel"/>
          <w:color w:val="000000" w:themeColor="text1"/>
          <w:sz w:val="22"/>
          <w:szCs w:val="22"/>
        </w:rPr>
        <w:t xml:space="preserve">will </w:t>
      </w:r>
      <w:r w:rsidR="009C2911"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67FBAD" w14:textId="77777777" w:rsidR="009C2911" w:rsidRPr="00F45597" w:rsidDel="00AC4CC7" w:rsidRDefault="009C2911" w:rsidP="009C2911">
      <w:pPr>
        <w:pStyle w:val="ScheduleA"/>
        <w:numPr>
          <w:ilvl w:val="0"/>
          <w:numId w:val="3"/>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for the purposes of reporting. </w:t>
      </w:r>
    </w:p>
    <w:p w14:paraId="592EF1CA" w14:textId="77777777" w:rsidR="009C2911" w:rsidRPr="00F45597" w:rsidDel="00AC4CC7" w:rsidRDefault="009C2911" w:rsidP="009C2911">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78FEC4CC" w14:textId="4F43C363" w:rsidR="009C2911" w:rsidRPr="00F45597" w:rsidRDefault="009C2911" w:rsidP="009C2911">
      <w:pPr>
        <w:pStyle w:val="ScheduleA"/>
        <w:numPr>
          <w:ilvl w:val="0"/>
          <w:numId w:val="4"/>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w:t>
      </w:r>
      <w:r w:rsidR="00712EF4">
        <w:rPr>
          <w:rFonts w:ascii="Corbel" w:eastAsia="Corbel" w:hAnsi="Corbel" w:cs="Corbel"/>
          <w:color w:val="000000" w:themeColor="text1"/>
          <w:sz w:val="22"/>
          <w:szCs w:val="22"/>
        </w:rPr>
        <w:t>.</w:t>
      </w:r>
    </w:p>
    <w:p w14:paraId="60D0ADF5" w14:textId="197B54D4" w:rsidR="009C2911" w:rsidRPr="00F45597" w:rsidRDefault="009C2911" w:rsidP="009C2911">
      <w:pPr>
        <w:pStyle w:val="ScheduleA"/>
        <w:numPr>
          <w:ilvl w:val="0"/>
          <w:numId w:val="4"/>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DD0AB7">
        <w:rPr>
          <w:rFonts w:ascii="Corbel" w:eastAsia="Corbel" w:hAnsi="Corbel" w:cs="Corbel"/>
          <w:color w:val="000000" w:themeColor="text1"/>
          <w:sz w:val="22"/>
          <w:szCs w:val="22"/>
        </w:rPr>
        <w:t>Queensland</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47935A69" w14:textId="50C1EA7E" w:rsidR="00B6752D" w:rsidRDefault="009C2911" w:rsidP="001C64C8">
      <w:pPr>
        <w:pStyle w:val="ScheduleA"/>
        <w:numPr>
          <w:ilvl w:val="0"/>
          <w:numId w:val="4"/>
        </w:numPr>
        <w:rPr>
          <w:rFonts w:ascii="Corbel" w:eastAsia="Corbel" w:hAnsi="Corbel" w:cs="Corbel"/>
          <w:color w:val="000000" w:themeColor="text1"/>
          <w:sz w:val="22"/>
          <w:szCs w:val="22"/>
        </w:rPr>
      </w:pPr>
      <w:r w:rsidRPr="001C64C8" w:rsidDel="00AC4CC7">
        <w:rPr>
          <w:rFonts w:ascii="Corbel" w:eastAsia="Corbel" w:hAnsi="Corbel" w:cs="Corbel"/>
          <w:color w:val="000000" w:themeColor="text1"/>
          <w:sz w:val="22"/>
          <w:szCs w:val="22"/>
        </w:rPr>
        <w:t xml:space="preserve">Where a payment is due at a reporting period (31 March and/or 30 September), </w:t>
      </w:r>
      <w:r w:rsidR="00DD0AB7">
        <w:rPr>
          <w:rFonts w:ascii="Corbel" w:eastAsia="Corbel" w:hAnsi="Corbel" w:cs="Corbel"/>
          <w:color w:val="000000" w:themeColor="text1"/>
          <w:sz w:val="22"/>
          <w:szCs w:val="22"/>
        </w:rPr>
        <w:t>Queensland</w:t>
      </w:r>
      <w:r w:rsidRPr="001C64C8"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7A959FD5" w14:textId="3C19C202" w:rsidR="009C2911" w:rsidRPr="00712EF4" w:rsidRDefault="008F56E5" w:rsidP="00810B07">
      <w:pPr>
        <w:pStyle w:val="ScheduleA"/>
        <w:numPr>
          <w:ilvl w:val="0"/>
          <w:numId w:val="4"/>
        </w:numPr>
        <w:rPr>
          <w:rFonts w:ascii="Corbel" w:eastAsia="Corbel" w:hAnsi="Corbel" w:cs="Corbel"/>
          <w:color w:val="000000" w:themeColor="text1"/>
          <w:sz w:val="22"/>
          <w:szCs w:val="22"/>
        </w:rPr>
      </w:pPr>
      <w:r w:rsidRPr="00712EF4">
        <w:rPr>
          <w:rFonts w:ascii="Corbel" w:eastAsia="Corbel" w:hAnsi="Corbel"/>
          <w:sz w:val="22"/>
          <w:szCs w:val="22"/>
        </w:rPr>
        <w:t>Under A92 of the NSA, if a State is unable to expend any Commonwealth funding provided for policy initiative milestone payments, the Commonwealth may reduce a future payment by an amount equivalent to the unspent funds</w:t>
      </w:r>
      <w:r w:rsidR="006421B9" w:rsidRPr="00712EF4">
        <w:rPr>
          <w:rFonts w:ascii="Corbel" w:eastAsia="Corbel" w:hAnsi="Corbel"/>
          <w:sz w:val="22"/>
          <w:szCs w:val="22"/>
        </w:rPr>
        <w:t>.</w:t>
      </w:r>
    </w:p>
    <w:p w14:paraId="66E389C2" w14:textId="433497A6" w:rsidR="00DD0AB7" w:rsidRDefault="00DD0AB7">
      <w:pPr>
        <w:rPr>
          <w:rFonts w:ascii="Corbel" w:eastAsia="Corbel" w:hAnsi="Corbel" w:cs="Corbel"/>
          <w:b/>
          <w:bCs/>
          <w:caps/>
          <w:color w:val="980033"/>
        </w:rPr>
      </w:pPr>
    </w:p>
    <w:p w14:paraId="0E9E17A1" w14:textId="56110B18" w:rsidR="009C2911" w:rsidRPr="00D56365" w:rsidRDefault="009C2911" w:rsidP="009C2911">
      <w:pPr>
        <w:pStyle w:val="ImplementationPlan1"/>
        <w:keepNext/>
        <w:numPr>
          <w:ilvl w:val="0"/>
          <w:numId w:val="0"/>
        </w:numPr>
        <w:outlineLvl w:val="1"/>
        <w:rPr>
          <w:caps w:val="0"/>
        </w:rPr>
      </w:pPr>
      <w:r w:rsidRPr="00D56365">
        <w:lastRenderedPageBreak/>
        <w:t xml:space="preserve">IMPROVED COMPLETIONS – ESPECIALLY FOR PRIORITY GROUPS </w:t>
      </w:r>
      <w:r w:rsidRPr="00D56365">
        <w:rPr>
          <w:caps w:val="0"/>
        </w:rPr>
        <w:t>(Clause A141 to A150 of the NSA)</w:t>
      </w:r>
    </w:p>
    <w:p w14:paraId="61FD2E37" w14:textId="77777777" w:rsidR="009C2911" w:rsidRPr="00160190" w:rsidRDefault="009C2911" w:rsidP="009C2911">
      <w:pPr>
        <w:pStyle w:val="MBPoint"/>
        <w:numPr>
          <w:ilvl w:val="0"/>
          <w:numId w:val="6"/>
        </w:numPr>
        <w:rPr>
          <w:rFonts w:ascii="Corbel" w:hAnsi="Corbel"/>
        </w:rPr>
      </w:pPr>
      <w:r>
        <w:rPr>
          <w:rFonts w:ascii="Corbel" w:hAnsi="Corbel"/>
          <w:sz w:val="22"/>
          <w:szCs w:val="22"/>
        </w:rPr>
        <w:t>Outline actions to i</w:t>
      </w:r>
      <w:r w:rsidRPr="00160190">
        <w:rPr>
          <w:rFonts w:ascii="Corbel" w:hAnsi="Corbel"/>
          <w:sz w:val="22"/>
          <w:szCs w:val="22"/>
        </w:rPr>
        <w:t>mpro</w:t>
      </w:r>
      <w:r>
        <w:rPr>
          <w:rFonts w:ascii="Corbel" w:hAnsi="Corbel"/>
          <w:sz w:val="22"/>
          <w:szCs w:val="22"/>
        </w:rPr>
        <w:t>ve</w:t>
      </w:r>
      <w:r w:rsidRPr="00160190">
        <w:rPr>
          <w:rFonts w:ascii="Corbel" w:hAnsi="Corbel"/>
          <w:sz w:val="22"/>
          <w:szCs w:val="22"/>
        </w:rPr>
        <w:t xml:space="preserve"> </w:t>
      </w:r>
      <w:r>
        <w:rPr>
          <w:rFonts w:ascii="Corbel" w:hAnsi="Corbel"/>
          <w:sz w:val="22"/>
          <w:szCs w:val="22"/>
        </w:rPr>
        <w:t>c</w:t>
      </w:r>
      <w:r w:rsidRPr="00160190">
        <w:rPr>
          <w:rFonts w:ascii="Corbel" w:hAnsi="Corbel"/>
          <w:sz w:val="22"/>
          <w:szCs w:val="22"/>
        </w:rPr>
        <w:t xml:space="preserve">ompletions </w:t>
      </w:r>
      <w:r>
        <w:rPr>
          <w:rFonts w:ascii="Corbel" w:hAnsi="Corbel"/>
          <w:sz w:val="22"/>
          <w:szCs w:val="22"/>
        </w:rPr>
        <w:t>and which element of</w:t>
      </w:r>
      <w:r w:rsidRPr="00160190">
        <w:rPr>
          <w:rFonts w:ascii="Corbel" w:hAnsi="Corbel"/>
          <w:sz w:val="22"/>
          <w:szCs w:val="22"/>
        </w:rPr>
        <w:t xml:space="preserve"> clause A145 </w:t>
      </w:r>
      <w:r>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9C2911" w:rsidRPr="0036248B" w14:paraId="5221369B" w14:textId="77777777" w:rsidTr="0BA3E980">
        <w:tc>
          <w:tcPr>
            <w:tcW w:w="9016" w:type="dxa"/>
          </w:tcPr>
          <w:p w14:paraId="05DF5C5C" w14:textId="77777777" w:rsidR="00C265B5" w:rsidRPr="00810B07" w:rsidRDefault="00C265B5" w:rsidP="002F0C60">
            <w:pPr>
              <w:rPr>
                <w:rFonts w:ascii="Corbel" w:hAnsi="Corbel"/>
                <w:b/>
                <w:bCs/>
                <w:color w:val="4472C4" w:themeColor="accent1"/>
              </w:rPr>
            </w:pPr>
            <w:r w:rsidRPr="00810B07">
              <w:rPr>
                <w:rFonts w:ascii="Corbel" w:hAnsi="Corbel"/>
                <w:b/>
                <w:bCs/>
                <w:color w:val="4472C4" w:themeColor="accent1"/>
              </w:rPr>
              <w:t>Background/Summary</w:t>
            </w:r>
          </w:p>
          <w:p w14:paraId="5264E389" w14:textId="77777777" w:rsidR="00C265B5" w:rsidRDefault="00C265B5" w:rsidP="002F0C60">
            <w:pPr>
              <w:rPr>
                <w:rFonts w:ascii="Corbel" w:hAnsi="Corbel"/>
                <w:color w:val="4472C4" w:themeColor="accent1"/>
              </w:rPr>
            </w:pPr>
          </w:p>
          <w:p w14:paraId="1E978375" w14:textId="1C1AFCE7" w:rsidR="00197396" w:rsidRPr="007A63A8" w:rsidRDefault="00B942CB" w:rsidP="002F0C60">
            <w:pPr>
              <w:rPr>
                <w:rFonts w:ascii="Corbel" w:hAnsi="Corbel"/>
                <w:color w:val="4472C4" w:themeColor="accent1"/>
              </w:rPr>
            </w:pPr>
            <w:r w:rsidRPr="007A63A8">
              <w:rPr>
                <w:rFonts w:ascii="Corbel" w:hAnsi="Corbel"/>
                <w:color w:val="4472C4" w:themeColor="accent1"/>
              </w:rPr>
              <w:t>At 49.4% Queensland’s Total</w:t>
            </w:r>
            <w:r w:rsidR="00590963" w:rsidRPr="007A63A8">
              <w:rPr>
                <w:rFonts w:ascii="Corbel" w:hAnsi="Corbel"/>
                <w:color w:val="4472C4" w:themeColor="accent1"/>
              </w:rPr>
              <w:t xml:space="preserve"> vocational education and training (VET) </w:t>
            </w:r>
            <w:r w:rsidRPr="007A63A8">
              <w:rPr>
                <w:rFonts w:ascii="Corbel" w:hAnsi="Corbel"/>
                <w:color w:val="4472C4" w:themeColor="accent1"/>
              </w:rPr>
              <w:t xml:space="preserve">Activity (TVA) completion rate is </w:t>
            </w:r>
            <w:r w:rsidR="009E06F1" w:rsidRPr="007A63A8">
              <w:rPr>
                <w:rFonts w:ascii="Corbel" w:hAnsi="Corbel"/>
                <w:color w:val="4472C4" w:themeColor="accent1"/>
              </w:rPr>
              <w:t>slightly</w:t>
            </w:r>
            <w:r w:rsidRPr="007A63A8">
              <w:rPr>
                <w:rFonts w:ascii="Corbel" w:hAnsi="Corbel"/>
                <w:color w:val="4472C4" w:themeColor="accent1"/>
              </w:rPr>
              <w:t xml:space="preserve"> above the national average of 47.3% for students commencing in 2019. For government funded training for the same period Queensland is at 52%, again above the national completion rate of 48.7%. </w:t>
            </w:r>
            <w:r w:rsidR="00567681" w:rsidRPr="007A63A8">
              <w:rPr>
                <w:rFonts w:ascii="Corbel" w:hAnsi="Corbel"/>
                <w:color w:val="4472C4" w:themeColor="accent1"/>
              </w:rPr>
              <w:t xml:space="preserve">The apprentice and trainee </w:t>
            </w:r>
            <w:r w:rsidR="006D05DF" w:rsidRPr="007A63A8">
              <w:rPr>
                <w:rFonts w:ascii="Corbel" w:hAnsi="Corbel"/>
                <w:color w:val="4472C4" w:themeColor="accent1"/>
              </w:rPr>
              <w:t xml:space="preserve">(A&amp;T) </w:t>
            </w:r>
            <w:r w:rsidR="00567681" w:rsidRPr="007A63A8">
              <w:rPr>
                <w:rFonts w:ascii="Corbel" w:hAnsi="Corbel"/>
                <w:color w:val="4472C4" w:themeColor="accent1"/>
              </w:rPr>
              <w:t xml:space="preserve">completion rate </w:t>
            </w:r>
            <w:r w:rsidR="00856A53" w:rsidRPr="007A63A8">
              <w:rPr>
                <w:rFonts w:ascii="Corbel" w:hAnsi="Corbel"/>
                <w:color w:val="4472C4" w:themeColor="accent1"/>
              </w:rPr>
              <w:t>is slightly higher at</w:t>
            </w:r>
            <w:r w:rsidR="00567681" w:rsidRPr="007A63A8">
              <w:rPr>
                <w:rFonts w:ascii="Corbel" w:hAnsi="Corbel"/>
                <w:color w:val="4472C4" w:themeColor="accent1"/>
              </w:rPr>
              <w:t xml:space="preserve"> 55.3% for Queensland, which is half a percentage point higher than the national rate</w:t>
            </w:r>
            <w:r w:rsidR="003019EB" w:rsidRPr="007A63A8">
              <w:rPr>
                <w:rFonts w:ascii="Corbel" w:hAnsi="Corbel"/>
                <w:color w:val="4472C4" w:themeColor="accent1"/>
              </w:rPr>
              <w:t xml:space="preserve">. </w:t>
            </w:r>
            <w:r w:rsidR="00197396" w:rsidRPr="007A63A8">
              <w:rPr>
                <w:rFonts w:ascii="Corbel" w:hAnsi="Corbel"/>
                <w:color w:val="4472C4" w:themeColor="accent1"/>
              </w:rPr>
              <w:t>However,</w:t>
            </w:r>
            <w:r w:rsidR="004A4F2A" w:rsidRPr="007A63A8">
              <w:rPr>
                <w:rFonts w:ascii="Corbel" w:hAnsi="Corbel"/>
                <w:color w:val="4472C4" w:themeColor="accent1"/>
              </w:rPr>
              <w:t xml:space="preserve"> qualification</w:t>
            </w:r>
            <w:r w:rsidR="00197396" w:rsidRPr="007A63A8">
              <w:rPr>
                <w:rFonts w:ascii="Corbel" w:hAnsi="Corbel"/>
                <w:color w:val="4472C4" w:themeColor="accent1"/>
              </w:rPr>
              <w:t xml:space="preserve"> </w:t>
            </w:r>
            <w:r w:rsidR="004A4F2A" w:rsidRPr="007A63A8">
              <w:rPr>
                <w:rFonts w:ascii="Corbel" w:hAnsi="Corbel"/>
                <w:color w:val="4472C4" w:themeColor="accent1"/>
              </w:rPr>
              <w:t>completions</w:t>
            </w:r>
            <w:r w:rsidR="00870B33" w:rsidRPr="007A63A8">
              <w:rPr>
                <w:rFonts w:ascii="Corbel" w:hAnsi="Corbel"/>
                <w:color w:val="4472C4" w:themeColor="accent1"/>
              </w:rPr>
              <w:t xml:space="preserve"> </w:t>
            </w:r>
            <w:r w:rsidR="005D1AA9" w:rsidRPr="007A63A8">
              <w:rPr>
                <w:rFonts w:ascii="Corbel" w:hAnsi="Corbel"/>
                <w:color w:val="4472C4" w:themeColor="accent1"/>
              </w:rPr>
              <w:t>are</w:t>
            </w:r>
            <w:r w:rsidR="00870B33" w:rsidRPr="007A63A8">
              <w:rPr>
                <w:rFonts w:ascii="Corbel" w:hAnsi="Corbel"/>
                <w:color w:val="4472C4" w:themeColor="accent1"/>
              </w:rPr>
              <w:t xml:space="preserve"> a complex topic and despite Queensland’s strong position there is still more we can do</w:t>
            </w:r>
            <w:r w:rsidR="00791A1D" w:rsidRPr="007A63A8">
              <w:rPr>
                <w:rFonts w:ascii="Corbel" w:hAnsi="Corbel"/>
                <w:color w:val="4472C4" w:themeColor="accent1"/>
              </w:rPr>
              <w:t>.</w:t>
            </w:r>
          </w:p>
          <w:p w14:paraId="67622A99" w14:textId="77777777" w:rsidR="00321FE8" w:rsidRPr="007A63A8" w:rsidRDefault="00321FE8" w:rsidP="002F0C60">
            <w:pPr>
              <w:rPr>
                <w:rFonts w:ascii="Corbel" w:hAnsi="Corbel"/>
                <w:color w:val="4472C4" w:themeColor="accent1"/>
              </w:rPr>
            </w:pPr>
          </w:p>
          <w:p w14:paraId="6BB41B03" w14:textId="30CA53BD" w:rsidR="00E15B3F" w:rsidRPr="007A63A8" w:rsidRDefault="00E15B3F" w:rsidP="00E15B3F">
            <w:pPr>
              <w:rPr>
                <w:rFonts w:ascii="Corbel" w:hAnsi="Corbel"/>
                <w:color w:val="4472C4" w:themeColor="accent1"/>
              </w:rPr>
            </w:pPr>
            <w:r w:rsidRPr="007A63A8">
              <w:rPr>
                <w:rFonts w:ascii="Corbel" w:hAnsi="Corbel"/>
                <w:color w:val="4472C4" w:themeColor="accent1"/>
              </w:rPr>
              <w:t xml:space="preserve">According to Jobs Queensland's Anticipating Future Skills Series 2027 -28, employment in Queensland is projected to increase by 5.4%, or 156,240 workers, between 2023–24 and 2027–28. </w:t>
            </w:r>
            <w:r w:rsidR="00D351F4" w:rsidRPr="007A63A8">
              <w:rPr>
                <w:rFonts w:ascii="Corbel" w:hAnsi="Corbel"/>
                <w:color w:val="4472C4" w:themeColor="accent1"/>
              </w:rPr>
              <w:t xml:space="preserve">These workers will also need to be </w:t>
            </w:r>
            <w:r w:rsidR="00500806" w:rsidRPr="007A63A8">
              <w:rPr>
                <w:rFonts w:ascii="Corbel" w:hAnsi="Corbel"/>
                <w:color w:val="4472C4" w:themeColor="accent1"/>
              </w:rPr>
              <w:t>skilled, with Jobs and Skills Australia</w:t>
            </w:r>
            <w:r w:rsidR="000C09E0" w:rsidRPr="007A63A8">
              <w:rPr>
                <w:rFonts w:ascii="Corbel" w:hAnsi="Corbel"/>
                <w:color w:val="4472C4" w:themeColor="accent1"/>
              </w:rPr>
              <w:t xml:space="preserve"> </w:t>
            </w:r>
            <w:r w:rsidR="006364B1" w:rsidRPr="007A63A8">
              <w:rPr>
                <w:rFonts w:ascii="Corbel" w:hAnsi="Corbel"/>
                <w:color w:val="4472C4" w:themeColor="accent1"/>
              </w:rPr>
              <w:t>predi</w:t>
            </w:r>
            <w:r w:rsidR="006364B1">
              <w:rPr>
                <w:rFonts w:ascii="Corbel" w:hAnsi="Corbel"/>
                <w:color w:val="4472C4" w:themeColor="accent1"/>
              </w:rPr>
              <w:t xml:space="preserve">cting </w:t>
            </w:r>
            <w:r w:rsidR="000C09E0" w:rsidRPr="007A63A8">
              <w:rPr>
                <w:rFonts w:ascii="Corbel" w:hAnsi="Corbel"/>
                <w:color w:val="4472C4" w:themeColor="accent1"/>
              </w:rPr>
              <w:t xml:space="preserve">that 90% of new jobs will require post-school </w:t>
            </w:r>
            <w:r w:rsidR="00AD6A71" w:rsidRPr="007A63A8">
              <w:rPr>
                <w:rFonts w:ascii="Corbel" w:hAnsi="Corbel"/>
                <w:color w:val="4472C4" w:themeColor="accent1"/>
              </w:rPr>
              <w:t>qualifications by 2023.</w:t>
            </w:r>
            <w:r w:rsidR="00500806" w:rsidRPr="007A63A8">
              <w:rPr>
                <w:rFonts w:ascii="Corbel" w:hAnsi="Corbel"/>
                <w:color w:val="4472C4" w:themeColor="accent1"/>
              </w:rPr>
              <w:t xml:space="preserve"> </w:t>
            </w:r>
            <w:r w:rsidRPr="007A63A8">
              <w:rPr>
                <w:rFonts w:ascii="Corbel" w:hAnsi="Corbel"/>
                <w:color w:val="4472C4" w:themeColor="accent1"/>
              </w:rPr>
              <w:t xml:space="preserve"> </w:t>
            </w:r>
            <w:r w:rsidR="004E0CC1" w:rsidRPr="007A63A8">
              <w:rPr>
                <w:rFonts w:ascii="Corbel" w:hAnsi="Corbel"/>
                <w:color w:val="4472C4" w:themeColor="accent1"/>
              </w:rPr>
              <w:t>I</w:t>
            </w:r>
            <w:r w:rsidRPr="007A63A8">
              <w:rPr>
                <w:rFonts w:ascii="Corbel" w:hAnsi="Corbel"/>
                <w:color w:val="4472C4" w:themeColor="accent1"/>
              </w:rPr>
              <w:t>mprov</w:t>
            </w:r>
            <w:r w:rsidR="004E0CC1" w:rsidRPr="007A63A8">
              <w:rPr>
                <w:rFonts w:ascii="Corbel" w:hAnsi="Corbel"/>
                <w:color w:val="4472C4" w:themeColor="accent1"/>
              </w:rPr>
              <w:t>ing</w:t>
            </w:r>
            <w:r w:rsidRPr="007A63A8">
              <w:rPr>
                <w:rFonts w:ascii="Corbel" w:hAnsi="Corbel"/>
                <w:color w:val="4472C4" w:themeColor="accent1"/>
              </w:rPr>
              <w:t xml:space="preserve"> VET completion rates</w:t>
            </w:r>
            <w:r w:rsidR="006364B1">
              <w:rPr>
                <w:rFonts w:ascii="Corbel" w:hAnsi="Corbel"/>
                <w:color w:val="4472C4" w:themeColor="accent1"/>
              </w:rPr>
              <w:t xml:space="preserve"> ca</w:t>
            </w:r>
            <w:r w:rsidR="00AC1097">
              <w:rPr>
                <w:rFonts w:ascii="Corbel" w:hAnsi="Corbel"/>
                <w:color w:val="4472C4" w:themeColor="accent1"/>
              </w:rPr>
              <w:t>n</w:t>
            </w:r>
            <w:r w:rsidR="004E0CC1" w:rsidRPr="007A63A8">
              <w:rPr>
                <w:rFonts w:ascii="Corbel" w:hAnsi="Corbel"/>
                <w:color w:val="4472C4" w:themeColor="accent1"/>
              </w:rPr>
              <w:t xml:space="preserve"> </w:t>
            </w:r>
            <w:r w:rsidRPr="007A63A8">
              <w:rPr>
                <w:rFonts w:ascii="Corbel" w:hAnsi="Corbel"/>
                <w:color w:val="4472C4" w:themeColor="accent1"/>
              </w:rPr>
              <w:t xml:space="preserve">strengthen the skills pipeline </w:t>
            </w:r>
            <w:r w:rsidR="004E0CC1" w:rsidRPr="007A63A8">
              <w:rPr>
                <w:rFonts w:ascii="Corbel" w:hAnsi="Corbel"/>
                <w:color w:val="4472C4" w:themeColor="accent1"/>
              </w:rPr>
              <w:t>to deliver</w:t>
            </w:r>
            <w:r w:rsidRPr="007A63A8">
              <w:rPr>
                <w:rFonts w:ascii="Corbel" w:hAnsi="Corbel"/>
                <w:color w:val="4472C4" w:themeColor="accent1"/>
              </w:rPr>
              <w:t xml:space="preserve"> a qualified workforce to support Queensland's economic growth.</w:t>
            </w:r>
          </w:p>
          <w:p w14:paraId="28050D90" w14:textId="77777777" w:rsidR="00981477" w:rsidRPr="007A63A8" w:rsidRDefault="00981477" w:rsidP="00E15B3F">
            <w:pPr>
              <w:rPr>
                <w:rFonts w:ascii="Corbel" w:hAnsi="Corbel"/>
                <w:color w:val="4472C4" w:themeColor="accent1"/>
              </w:rPr>
            </w:pPr>
          </w:p>
          <w:p w14:paraId="36B30AD2" w14:textId="5392C70A" w:rsidR="00895D57" w:rsidRPr="007A63A8" w:rsidRDefault="00791A1D" w:rsidP="00895D57">
            <w:pPr>
              <w:rPr>
                <w:rFonts w:ascii="Corbel" w:hAnsi="Corbel"/>
                <w:color w:val="4472C4" w:themeColor="accent1"/>
              </w:rPr>
            </w:pPr>
            <w:r w:rsidRPr="0BA3E980">
              <w:rPr>
                <w:rFonts w:ascii="Corbel" w:hAnsi="Corbel"/>
                <w:color w:val="4472C4" w:themeColor="accent1"/>
              </w:rPr>
              <w:t>To inform actions to improve student outcomes and completions</w:t>
            </w:r>
            <w:r w:rsidR="007B70A2" w:rsidRPr="0BA3E980">
              <w:rPr>
                <w:rFonts w:ascii="Corbel" w:hAnsi="Corbel"/>
                <w:color w:val="4472C4" w:themeColor="accent1"/>
              </w:rPr>
              <w:t xml:space="preserve"> </w:t>
            </w:r>
            <w:r w:rsidR="00C211E1" w:rsidRPr="0BA3E980">
              <w:rPr>
                <w:rFonts w:ascii="Corbel" w:hAnsi="Corbel"/>
                <w:color w:val="4472C4" w:themeColor="accent1"/>
              </w:rPr>
              <w:t>Queensland undertook primary research and consultation to determine where</w:t>
            </w:r>
            <w:r w:rsidR="008469DE" w:rsidRPr="0BA3E980">
              <w:rPr>
                <w:rFonts w:ascii="Corbel" w:hAnsi="Corbel"/>
                <w:color w:val="4472C4" w:themeColor="accent1"/>
              </w:rPr>
              <w:t xml:space="preserve"> efforts should be focussed.</w:t>
            </w:r>
            <w:r w:rsidR="00400AC6" w:rsidRPr="0BA3E980">
              <w:rPr>
                <w:rFonts w:ascii="Corbel" w:hAnsi="Corbel"/>
                <w:color w:val="4472C4" w:themeColor="accent1"/>
              </w:rPr>
              <w:t xml:space="preserve"> </w:t>
            </w:r>
            <w:r w:rsidR="00895D57" w:rsidRPr="0BA3E980">
              <w:rPr>
                <w:rFonts w:ascii="Corbel" w:hAnsi="Corbel"/>
                <w:color w:val="4472C4" w:themeColor="accent1"/>
              </w:rPr>
              <w:t>Challenges</w:t>
            </w:r>
            <w:r w:rsidR="00612823" w:rsidRPr="0BA3E980">
              <w:rPr>
                <w:rFonts w:ascii="Corbel" w:hAnsi="Corbel"/>
                <w:color w:val="4472C4" w:themeColor="accent1"/>
              </w:rPr>
              <w:t xml:space="preserve"> identified</w:t>
            </w:r>
            <w:r w:rsidR="00895D57" w:rsidRPr="0BA3E980">
              <w:rPr>
                <w:rFonts w:ascii="Corbel" w:hAnsi="Corbel"/>
                <w:color w:val="4472C4" w:themeColor="accent1"/>
              </w:rPr>
              <w:t xml:space="preserve"> include career pathway confusion, geographical barriers, and lower completion rates for </w:t>
            </w:r>
            <w:r w:rsidR="004A14B7" w:rsidRPr="0BA3E980">
              <w:rPr>
                <w:rFonts w:ascii="Corbel" w:hAnsi="Corbel"/>
                <w:color w:val="4472C4" w:themeColor="accent1"/>
              </w:rPr>
              <w:t xml:space="preserve">some </w:t>
            </w:r>
            <w:r w:rsidR="00895D57" w:rsidRPr="0BA3E980">
              <w:rPr>
                <w:rFonts w:ascii="Corbel" w:hAnsi="Corbel"/>
                <w:color w:val="4472C4" w:themeColor="accent1"/>
              </w:rPr>
              <w:t>groups, particularly First Nations</w:t>
            </w:r>
            <w:r w:rsidR="003F3984" w:rsidRPr="0BA3E980">
              <w:rPr>
                <w:rFonts w:ascii="Corbel" w:hAnsi="Corbel"/>
                <w:color w:val="4472C4" w:themeColor="accent1"/>
              </w:rPr>
              <w:t xml:space="preserve"> </w:t>
            </w:r>
            <w:r w:rsidR="00B3615A" w:rsidRPr="0BA3E980">
              <w:rPr>
                <w:rFonts w:ascii="Corbel" w:hAnsi="Corbel"/>
                <w:color w:val="4472C4" w:themeColor="accent1"/>
              </w:rPr>
              <w:t>students</w:t>
            </w:r>
            <w:r w:rsidR="00895D57" w:rsidRPr="0BA3E980">
              <w:rPr>
                <w:rFonts w:ascii="Corbel" w:hAnsi="Corbel"/>
                <w:color w:val="4472C4" w:themeColor="accent1"/>
              </w:rPr>
              <w:t>, regional</w:t>
            </w:r>
            <w:r w:rsidR="00B65C96">
              <w:rPr>
                <w:rFonts w:ascii="Corbel" w:hAnsi="Corbel"/>
                <w:color w:val="4472C4" w:themeColor="accent1"/>
              </w:rPr>
              <w:t xml:space="preserve"> students</w:t>
            </w:r>
            <w:r w:rsidR="00895D57" w:rsidRPr="0BA3E980">
              <w:rPr>
                <w:rFonts w:ascii="Corbel" w:hAnsi="Corbel"/>
                <w:color w:val="4472C4" w:themeColor="accent1"/>
              </w:rPr>
              <w:t xml:space="preserve">, and vulnerable cohorts. Limited access to culturally appropriate support and financial constraints further impact </w:t>
            </w:r>
            <w:r w:rsidR="00612823" w:rsidRPr="0BA3E980">
              <w:rPr>
                <w:rFonts w:ascii="Corbel" w:hAnsi="Corbel"/>
                <w:color w:val="4472C4" w:themeColor="accent1"/>
              </w:rPr>
              <w:t xml:space="preserve">student </w:t>
            </w:r>
            <w:r w:rsidR="00895D57" w:rsidRPr="0BA3E980">
              <w:rPr>
                <w:rFonts w:ascii="Corbel" w:hAnsi="Corbel"/>
                <w:color w:val="4472C4" w:themeColor="accent1"/>
              </w:rPr>
              <w:t>retention.</w:t>
            </w:r>
          </w:p>
          <w:p w14:paraId="61B7AB3C" w14:textId="77777777" w:rsidR="00A26C9E" w:rsidRPr="007A63A8" w:rsidRDefault="00A26C9E" w:rsidP="00895D57">
            <w:pPr>
              <w:rPr>
                <w:rFonts w:ascii="Corbel" w:hAnsi="Corbel"/>
                <w:color w:val="4472C4" w:themeColor="accent1"/>
              </w:rPr>
            </w:pPr>
          </w:p>
          <w:p w14:paraId="3725A4CE" w14:textId="53AA9BBD" w:rsidR="00125FBD" w:rsidRPr="007A63A8" w:rsidRDefault="00297686" w:rsidP="00895D57">
            <w:pPr>
              <w:rPr>
                <w:rFonts w:ascii="Corbel" w:hAnsi="Corbel"/>
                <w:color w:val="4472C4" w:themeColor="accent1"/>
              </w:rPr>
            </w:pPr>
            <w:r w:rsidRPr="007A63A8">
              <w:rPr>
                <w:rFonts w:ascii="Corbel" w:hAnsi="Corbel"/>
                <w:color w:val="4472C4" w:themeColor="accent1"/>
              </w:rPr>
              <w:t xml:space="preserve">In addition to continuing </w:t>
            </w:r>
            <w:r w:rsidR="009D237D" w:rsidRPr="007A63A8">
              <w:rPr>
                <w:rFonts w:ascii="Corbel" w:hAnsi="Corbel"/>
                <w:color w:val="4472C4" w:themeColor="accent1"/>
              </w:rPr>
              <w:t xml:space="preserve">the </w:t>
            </w:r>
            <w:r w:rsidR="00DB59EA" w:rsidRPr="007A63A8">
              <w:rPr>
                <w:rFonts w:ascii="Corbel" w:hAnsi="Corbel"/>
                <w:color w:val="4472C4" w:themeColor="accent1"/>
              </w:rPr>
              <w:t xml:space="preserve">successful </w:t>
            </w:r>
            <w:r w:rsidR="009D237D" w:rsidRPr="007A63A8">
              <w:rPr>
                <w:rFonts w:ascii="Corbel" w:hAnsi="Corbel"/>
                <w:color w:val="4472C4" w:themeColor="accent1"/>
              </w:rPr>
              <w:t xml:space="preserve">existing </w:t>
            </w:r>
            <w:r w:rsidR="00FB10CA">
              <w:rPr>
                <w:rFonts w:ascii="Corbel" w:hAnsi="Corbel"/>
                <w:color w:val="4472C4" w:themeColor="accent1"/>
              </w:rPr>
              <w:t xml:space="preserve">student support </w:t>
            </w:r>
            <w:r w:rsidR="009D237D" w:rsidRPr="007A63A8">
              <w:rPr>
                <w:rFonts w:ascii="Corbel" w:hAnsi="Corbel"/>
                <w:color w:val="4472C4" w:themeColor="accent1"/>
              </w:rPr>
              <w:t>programs</w:t>
            </w:r>
            <w:r w:rsidR="003E141D">
              <w:rPr>
                <w:rFonts w:ascii="Corbel" w:hAnsi="Corbel"/>
                <w:color w:val="4472C4" w:themeColor="accent1"/>
              </w:rPr>
              <w:t>,</w:t>
            </w:r>
            <w:r w:rsidR="009D237D" w:rsidRPr="007A63A8">
              <w:rPr>
                <w:rFonts w:ascii="Corbel" w:hAnsi="Corbel"/>
                <w:color w:val="4472C4" w:themeColor="accent1"/>
              </w:rPr>
              <w:t xml:space="preserve"> Queensland funds</w:t>
            </w:r>
            <w:r w:rsidR="00DB59EA" w:rsidRPr="007A63A8">
              <w:rPr>
                <w:rFonts w:ascii="Corbel" w:hAnsi="Corbel"/>
                <w:color w:val="4472C4" w:themeColor="accent1"/>
              </w:rPr>
              <w:t xml:space="preserve"> providing</w:t>
            </w:r>
            <w:r w:rsidR="009D237D" w:rsidRPr="007A63A8">
              <w:rPr>
                <w:rFonts w:ascii="Corbel" w:hAnsi="Corbel"/>
                <w:color w:val="4472C4" w:themeColor="accent1"/>
              </w:rPr>
              <w:t xml:space="preserve"> o</w:t>
            </w:r>
            <w:r w:rsidR="00895D57" w:rsidRPr="007A63A8">
              <w:rPr>
                <w:rFonts w:ascii="Corbel" w:hAnsi="Corbel"/>
                <w:color w:val="4472C4" w:themeColor="accent1"/>
              </w:rPr>
              <w:t xml:space="preserve">pportunities lie in targeted interventions, </w:t>
            </w:r>
            <w:r w:rsidR="00580174" w:rsidRPr="007A63A8">
              <w:rPr>
                <w:rFonts w:ascii="Corbel" w:hAnsi="Corbel"/>
                <w:color w:val="4472C4" w:themeColor="accent1"/>
              </w:rPr>
              <w:t xml:space="preserve">more support for </w:t>
            </w:r>
            <w:r w:rsidR="00895D57" w:rsidRPr="007A63A8">
              <w:rPr>
                <w:rFonts w:ascii="Corbel" w:hAnsi="Corbel"/>
                <w:color w:val="4472C4" w:themeColor="accent1"/>
              </w:rPr>
              <w:t>employe</w:t>
            </w:r>
            <w:r w:rsidR="00580174" w:rsidRPr="007A63A8">
              <w:rPr>
                <w:rFonts w:ascii="Corbel" w:hAnsi="Corbel"/>
                <w:color w:val="4472C4" w:themeColor="accent1"/>
              </w:rPr>
              <w:t>rs</w:t>
            </w:r>
            <w:r w:rsidR="00895D57" w:rsidRPr="007A63A8">
              <w:rPr>
                <w:rFonts w:ascii="Corbel" w:hAnsi="Corbel"/>
                <w:color w:val="4472C4" w:themeColor="accent1"/>
              </w:rPr>
              <w:t>, and data-driven strategies to distinguish between positive and problematic non-completions. Embedding wraparound support into programs ensures sustainable outcomes. Stronger knowledge-sharing, evaluation frameworks, and co-designed initiatives will drive continuous improvement across Queensland’s NSA completion strategy, ensuring long-term student success.</w:t>
            </w:r>
          </w:p>
          <w:p w14:paraId="636B24DD" w14:textId="77777777" w:rsidR="00ED3897" w:rsidRPr="007A63A8" w:rsidRDefault="00ED3897" w:rsidP="00895D57">
            <w:pPr>
              <w:rPr>
                <w:rFonts w:ascii="Corbel" w:hAnsi="Corbel"/>
                <w:color w:val="4472C4" w:themeColor="accent1"/>
              </w:rPr>
            </w:pPr>
          </w:p>
          <w:p w14:paraId="31F47D96" w14:textId="2246F0B0" w:rsidR="00ED3897" w:rsidRPr="007A63A8" w:rsidRDefault="00ED3897" w:rsidP="00106DFF">
            <w:pPr>
              <w:rPr>
                <w:rFonts w:ascii="Corbel" w:hAnsi="Corbel"/>
                <w:color w:val="4472C4" w:themeColor="accent1"/>
              </w:rPr>
            </w:pPr>
            <w:r w:rsidRPr="007A63A8">
              <w:rPr>
                <w:rFonts w:ascii="Corbel" w:hAnsi="Corbel"/>
                <w:color w:val="4472C4" w:themeColor="accent1"/>
              </w:rPr>
              <w:t>By addressing these challenges and leveraging opportunities, Queensland aims to improve VET completion rates, thereby strengthening the skills pipeline to meet future workforce demands and position</w:t>
            </w:r>
            <w:r w:rsidR="006C098A" w:rsidRPr="007A63A8">
              <w:rPr>
                <w:rFonts w:ascii="Corbel" w:hAnsi="Corbel"/>
                <w:color w:val="4472C4" w:themeColor="accent1"/>
              </w:rPr>
              <w:t>ing</w:t>
            </w:r>
            <w:r w:rsidRPr="007A63A8">
              <w:rPr>
                <w:rFonts w:ascii="Corbel" w:hAnsi="Corbel"/>
                <w:color w:val="4472C4" w:themeColor="accent1"/>
              </w:rPr>
              <w:t xml:space="preserve"> more</w:t>
            </w:r>
            <w:r w:rsidR="006C098A" w:rsidRPr="007A63A8">
              <w:rPr>
                <w:rFonts w:ascii="Corbel" w:hAnsi="Corbel"/>
                <w:color w:val="4472C4" w:themeColor="accent1"/>
              </w:rPr>
              <w:t xml:space="preserve"> Queenslanders</w:t>
            </w:r>
            <w:r w:rsidRPr="007A63A8">
              <w:rPr>
                <w:rFonts w:ascii="Corbel" w:hAnsi="Corbel"/>
                <w:color w:val="4472C4" w:themeColor="accent1"/>
              </w:rPr>
              <w:t xml:space="preserve"> to </w:t>
            </w:r>
            <w:r w:rsidR="007A30A5" w:rsidRPr="007A63A8">
              <w:rPr>
                <w:rFonts w:ascii="Corbel" w:hAnsi="Corbel"/>
                <w:color w:val="4472C4" w:themeColor="accent1"/>
              </w:rPr>
              <w:t xml:space="preserve">access the benefits of a post-school qualification. </w:t>
            </w:r>
            <w:r w:rsidRPr="007A63A8">
              <w:rPr>
                <w:rFonts w:ascii="Corbel" w:hAnsi="Corbel"/>
                <w:color w:val="4472C4" w:themeColor="accent1"/>
              </w:rPr>
              <w:t xml:space="preserve"> </w:t>
            </w:r>
          </w:p>
          <w:p w14:paraId="63F61CF8" w14:textId="77777777" w:rsidR="00ED3897" w:rsidRPr="007A63A8" w:rsidRDefault="00ED3897" w:rsidP="00106DFF">
            <w:pPr>
              <w:rPr>
                <w:rFonts w:ascii="Corbel" w:hAnsi="Corbel"/>
                <w:color w:val="4472C4" w:themeColor="accent1"/>
              </w:rPr>
            </w:pPr>
          </w:p>
          <w:p w14:paraId="3A534118" w14:textId="77777777" w:rsidR="00FB087A" w:rsidRPr="007A63A8" w:rsidRDefault="00FB087A" w:rsidP="00FB087A">
            <w:pPr>
              <w:rPr>
                <w:rFonts w:ascii="Corbel" w:hAnsi="Corbel"/>
                <w:b/>
                <w:bCs/>
                <w:color w:val="4472C4" w:themeColor="accent1"/>
              </w:rPr>
            </w:pPr>
            <w:r w:rsidRPr="007A63A8">
              <w:rPr>
                <w:rFonts w:ascii="Corbel" w:hAnsi="Corbel"/>
                <w:b/>
                <w:bCs/>
                <w:color w:val="4472C4" w:themeColor="accent1"/>
              </w:rPr>
              <w:t>Four core principles</w:t>
            </w:r>
          </w:p>
          <w:p w14:paraId="138F9FEC" w14:textId="77777777" w:rsidR="00FB087A" w:rsidRPr="007A63A8" w:rsidRDefault="00FB087A" w:rsidP="00242F04">
            <w:pPr>
              <w:rPr>
                <w:rFonts w:ascii="Corbel" w:hAnsi="Corbel"/>
                <w:color w:val="4472C4" w:themeColor="accent1"/>
              </w:rPr>
            </w:pPr>
          </w:p>
          <w:p w14:paraId="70C0C8D6" w14:textId="34C8E02D" w:rsidR="009F53E9" w:rsidRPr="007A63A8" w:rsidRDefault="00B942CB" w:rsidP="00242F04">
            <w:pPr>
              <w:rPr>
                <w:rFonts w:ascii="Corbel" w:hAnsi="Corbel"/>
                <w:color w:val="4472C4" w:themeColor="accent1"/>
              </w:rPr>
            </w:pPr>
            <w:r w:rsidRPr="007A63A8">
              <w:rPr>
                <w:rFonts w:ascii="Corbel" w:hAnsi="Corbel"/>
                <w:color w:val="4472C4" w:themeColor="accent1"/>
              </w:rPr>
              <w:t>Queensland's approach to improving VET completions</w:t>
            </w:r>
            <w:r w:rsidR="004E7250" w:rsidRPr="007A63A8">
              <w:rPr>
                <w:rFonts w:ascii="Corbel" w:hAnsi="Corbel"/>
                <w:color w:val="4472C4" w:themeColor="accent1"/>
              </w:rPr>
              <w:t xml:space="preserve"> is based around</w:t>
            </w:r>
            <w:r w:rsidRPr="007A63A8">
              <w:rPr>
                <w:rFonts w:ascii="Corbel" w:hAnsi="Corbel"/>
                <w:color w:val="4472C4" w:themeColor="accent1"/>
              </w:rPr>
              <w:t xml:space="preserve"> four core principles</w:t>
            </w:r>
            <w:r w:rsidR="00431528" w:rsidRPr="007A63A8">
              <w:rPr>
                <w:rFonts w:ascii="Corbel" w:hAnsi="Corbel"/>
                <w:color w:val="4472C4" w:themeColor="accent1"/>
              </w:rPr>
              <w:t xml:space="preserve"> </w:t>
            </w:r>
            <w:r w:rsidRPr="007A63A8">
              <w:rPr>
                <w:rFonts w:ascii="Corbel" w:hAnsi="Corbel"/>
                <w:color w:val="4472C4" w:themeColor="accent1"/>
              </w:rPr>
              <w:t>(</w:t>
            </w:r>
            <w:r w:rsidR="00B016FC" w:rsidRPr="007A63A8">
              <w:rPr>
                <w:rFonts w:ascii="Corbel" w:hAnsi="Corbel"/>
                <w:b/>
                <w:bCs/>
                <w:color w:val="4472C4" w:themeColor="accent1"/>
              </w:rPr>
              <w:t>Appendix</w:t>
            </w:r>
            <w:r w:rsidR="00F16DF0" w:rsidRPr="007A63A8">
              <w:rPr>
                <w:rFonts w:ascii="Corbel" w:hAnsi="Corbel"/>
                <w:b/>
                <w:bCs/>
                <w:color w:val="4472C4" w:themeColor="accent1"/>
              </w:rPr>
              <w:t xml:space="preserve"> </w:t>
            </w:r>
            <w:r w:rsidR="00900127" w:rsidRPr="007A63A8">
              <w:rPr>
                <w:rFonts w:ascii="Corbel" w:hAnsi="Corbel"/>
                <w:b/>
                <w:bCs/>
                <w:color w:val="4472C4" w:themeColor="accent1"/>
              </w:rPr>
              <w:t>B</w:t>
            </w:r>
            <w:r w:rsidRPr="007A63A8">
              <w:rPr>
                <w:rFonts w:ascii="Corbel" w:hAnsi="Corbel"/>
                <w:b/>
                <w:bCs/>
                <w:color w:val="4472C4" w:themeColor="accent1"/>
              </w:rPr>
              <w:t xml:space="preserve"> refers</w:t>
            </w:r>
            <w:r w:rsidRPr="007A63A8">
              <w:rPr>
                <w:rFonts w:ascii="Corbel" w:hAnsi="Corbel"/>
                <w:color w:val="4472C4" w:themeColor="accent1"/>
              </w:rPr>
              <w:t>).</w:t>
            </w:r>
          </w:p>
          <w:p w14:paraId="3D361DDD" w14:textId="77777777" w:rsidR="000135EF" w:rsidRPr="007A63A8" w:rsidRDefault="000135EF" w:rsidP="00242F04">
            <w:pPr>
              <w:rPr>
                <w:rFonts w:ascii="Corbel" w:hAnsi="Corbel"/>
                <w:color w:val="4472C4" w:themeColor="accent1"/>
              </w:rPr>
            </w:pPr>
          </w:p>
          <w:p w14:paraId="25B1F138" w14:textId="770425B4" w:rsidR="00242F04" w:rsidRPr="007A63A8" w:rsidRDefault="00242F04" w:rsidP="00B942CB">
            <w:pPr>
              <w:pStyle w:val="ListParagraph"/>
              <w:numPr>
                <w:ilvl w:val="0"/>
                <w:numId w:val="17"/>
              </w:numPr>
              <w:tabs>
                <w:tab w:val="clear" w:pos="720"/>
              </w:tabs>
              <w:ind w:left="457" w:hanging="425"/>
              <w:rPr>
                <w:rFonts w:ascii="Corbel" w:hAnsi="Corbel"/>
                <w:color w:val="4472C4" w:themeColor="accent1"/>
              </w:rPr>
            </w:pPr>
            <w:r w:rsidRPr="007A63A8">
              <w:rPr>
                <w:rFonts w:ascii="Corbel" w:hAnsi="Corbel"/>
                <w:color w:val="4472C4" w:themeColor="accent1"/>
              </w:rPr>
              <w:t>Focus on at risk cohorts</w:t>
            </w:r>
            <w:r w:rsidR="006024C7" w:rsidRPr="007A63A8">
              <w:rPr>
                <w:rFonts w:ascii="Corbel" w:hAnsi="Corbel"/>
                <w:color w:val="4472C4" w:themeColor="accent1"/>
              </w:rPr>
              <w:t>.</w:t>
            </w:r>
          </w:p>
          <w:p w14:paraId="064807CA" w14:textId="77777777" w:rsidR="009F53E9" w:rsidRPr="007A63A8" w:rsidRDefault="009F53E9" w:rsidP="009F53E9">
            <w:pPr>
              <w:ind w:left="32"/>
              <w:rPr>
                <w:rFonts w:ascii="Corbel" w:hAnsi="Corbel"/>
                <w:color w:val="4472C4" w:themeColor="accent1"/>
              </w:rPr>
            </w:pPr>
          </w:p>
          <w:p w14:paraId="0F1769FC" w14:textId="77777777" w:rsidR="000135EF" w:rsidRPr="007A63A8" w:rsidRDefault="000F3542" w:rsidP="009F53E9">
            <w:pPr>
              <w:ind w:left="32"/>
              <w:rPr>
                <w:rFonts w:ascii="Corbel" w:hAnsi="Corbel"/>
                <w:color w:val="4472C4" w:themeColor="accent1"/>
              </w:rPr>
            </w:pPr>
            <w:r w:rsidRPr="0BA3E980">
              <w:rPr>
                <w:rFonts w:ascii="Corbel" w:hAnsi="Corbel"/>
                <w:color w:val="4472C4" w:themeColor="accent1"/>
              </w:rPr>
              <w:t xml:space="preserve">Queensland will embed support for regional, rural, and disadvantaged students across all programs, ensuring their needs are systematically addressed. First Nations students will </w:t>
            </w:r>
            <w:r w:rsidR="004E7250" w:rsidRPr="0BA3E980">
              <w:rPr>
                <w:rFonts w:ascii="Corbel" w:hAnsi="Corbel"/>
                <w:color w:val="4472C4" w:themeColor="accent1"/>
              </w:rPr>
              <w:t xml:space="preserve">also </w:t>
            </w:r>
          </w:p>
          <w:p w14:paraId="70B07102" w14:textId="6B67FDA1" w:rsidR="001F7961" w:rsidRDefault="000F3542" w:rsidP="009F53E9">
            <w:pPr>
              <w:ind w:left="32"/>
              <w:rPr>
                <w:rFonts w:ascii="Corbel" w:hAnsi="Corbel"/>
                <w:color w:val="4472C4" w:themeColor="accent1"/>
              </w:rPr>
            </w:pPr>
            <w:r w:rsidRPr="08352599">
              <w:rPr>
                <w:rFonts w:ascii="Corbel" w:hAnsi="Corbel"/>
                <w:color w:val="4472C4" w:themeColor="accent1"/>
              </w:rPr>
              <w:t xml:space="preserve">receive targeted support under </w:t>
            </w:r>
            <w:r w:rsidR="004E7250" w:rsidRPr="08352599">
              <w:rPr>
                <w:rFonts w:ascii="Corbel" w:hAnsi="Corbel"/>
                <w:color w:val="4472C4" w:themeColor="accent1"/>
              </w:rPr>
              <w:t xml:space="preserve">the </w:t>
            </w:r>
            <w:r w:rsidRPr="08352599">
              <w:rPr>
                <w:rFonts w:ascii="Corbel" w:hAnsi="Corbel"/>
                <w:color w:val="4472C4" w:themeColor="accent1"/>
              </w:rPr>
              <w:t>Closing the Gap</w:t>
            </w:r>
            <w:r w:rsidR="004E7250" w:rsidRPr="08352599">
              <w:rPr>
                <w:rFonts w:ascii="Corbel" w:hAnsi="Corbel"/>
                <w:color w:val="4472C4" w:themeColor="accent1"/>
              </w:rPr>
              <w:t xml:space="preserve"> policy initiative</w:t>
            </w:r>
            <w:r w:rsidRPr="08352599">
              <w:rPr>
                <w:rFonts w:ascii="Corbel" w:hAnsi="Corbel"/>
                <w:color w:val="4472C4" w:themeColor="accent1"/>
              </w:rPr>
              <w:t xml:space="preserve">, recognising the cultural </w:t>
            </w:r>
            <w:r w:rsidR="007F5FFB">
              <w:rPr>
                <w:rFonts w:ascii="Corbel" w:hAnsi="Corbel"/>
                <w:color w:val="4472C4" w:themeColor="accent1"/>
              </w:rPr>
              <w:t>context and pract</w:t>
            </w:r>
            <w:r w:rsidR="00550019">
              <w:rPr>
                <w:rFonts w:ascii="Corbel" w:hAnsi="Corbel"/>
                <w:color w:val="4472C4" w:themeColor="accent1"/>
              </w:rPr>
              <w:t>ices of Aboriginal and Torres Strait Islander communities</w:t>
            </w:r>
            <w:r w:rsidR="006024C7" w:rsidRPr="08352599">
              <w:rPr>
                <w:rFonts w:ascii="Corbel" w:hAnsi="Corbel"/>
                <w:color w:val="4472C4" w:themeColor="accent1"/>
              </w:rPr>
              <w:t>.</w:t>
            </w:r>
          </w:p>
          <w:p w14:paraId="00A117B7" w14:textId="77777777" w:rsidR="00B00607" w:rsidRDefault="00B00607" w:rsidP="009F53E9">
            <w:pPr>
              <w:ind w:left="32"/>
              <w:rPr>
                <w:rFonts w:ascii="Corbel" w:hAnsi="Corbel"/>
                <w:color w:val="4472C4" w:themeColor="accent1"/>
              </w:rPr>
            </w:pPr>
          </w:p>
          <w:p w14:paraId="01DAC5EF" w14:textId="77777777" w:rsidR="00B00607" w:rsidRPr="007A63A8" w:rsidRDefault="00B00607" w:rsidP="009F53E9">
            <w:pPr>
              <w:ind w:left="32"/>
              <w:rPr>
                <w:rFonts w:ascii="Corbel" w:hAnsi="Corbel"/>
                <w:color w:val="4472C4" w:themeColor="accent1"/>
              </w:rPr>
            </w:pPr>
          </w:p>
          <w:p w14:paraId="19D6ABBA" w14:textId="77777777" w:rsidR="003C330B" w:rsidRPr="007A63A8" w:rsidRDefault="003C330B" w:rsidP="009F53E9">
            <w:pPr>
              <w:ind w:left="32"/>
              <w:rPr>
                <w:rFonts w:ascii="Corbel" w:hAnsi="Corbel"/>
                <w:color w:val="4472C4" w:themeColor="accent1"/>
              </w:rPr>
            </w:pPr>
          </w:p>
          <w:p w14:paraId="367FC0D8" w14:textId="699022DF" w:rsidR="00242F04" w:rsidRPr="007A63A8" w:rsidRDefault="00D64ADF" w:rsidP="00B942CB">
            <w:pPr>
              <w:pStyle w:val="ListParagraph"/>
              <w:numPr>
                <w:ilvl w:val="0"/>
                <w:numId w:val="17"/>
              </w:numPr>
              <w:tabs>
                <w:tab w:val="clear" w:pos="720"/>
              </w:tabs>
              <w:ind w:left="457" w:hanging="425"/>
              <w:rPr>
                <w:rFonts w:ascii="Corbel" w:hAnsi="Corbel"/>
                <w:color w:val="4472C4" w:themeColor="accent1"/>
              </w:rPr>
            </w:pPr>
            <w:r>
              <w:rPr>
                <w:rFonts w:ascii="Corbel" w:hAnsi="Corbel"/>
                <w:color w:val="4472C4" w:themeColor="accent1"/>
              </w:rPr>
              <w:lastRenderedPageBreak/>
              <w:t>A</w:t>
            </w:r>
            <w:r w:rsidR="00242F04" w:rsidRPr="007A63A8">
              <w:rPr>
                <w:rFonts w:ascii="Corbel" w:hAnsi="Corbel"/>
                <w:color w:val="4472C4" w:themeColor="accent1"/>
              </w:rPr>
              <w:t>ctivities to support completions along the entire student journey</w:t>
            </w:r>
            <w:r w:rsidR="006024C7" w:rsidRPr="007A63A8">
              <w:rPr>
                <w:rFonts w:ascii="Corbel" w:hAnsi="Corbel"/>
                <w:color w:val="4472C4" w:themeColor="accent1"/>
              </w:rPr>
              <w:t>.</w:t>
            </w:r>
          </w:p>
          <w:p w14:paraId="10E9DCB1" w14:textId="77777777" w:rsidR="00307383" w:rsidRPr="007A63A8" w:rsidRDefault="00307383" w:rsidP="00162807">
            <w:pPr>
              <w:ind w:left="32"/>
              <w:rPr>
                <w:rFonts w:ascii="Corbel" w:hAnsi="Corbel"/>
                <w:color w:val="4472C4" w:themeColor="accent1"/>
              </w:rPr>
            </w:pPr>
          </w:p>
          <w:p w14:paraId="22881A09" w14:textId="2D17CCEA" w:rsidR="00162807" w:rsidRPr="007A63A8" w:rsidRDefault="00BE2AA6" w:rsidP="00162807">
            <w:pPr>
              <w:ind w:left="32"/>
              <w:rPr>
                <w:rFonts w:ascii="Corbel" w:hAnsi="Corbel"/>
                <w:color w:val="4472C4" w:themeColor="accent1"/>
              </w:rPr>
            </w:pPr>
            <w:r w:rsidRPr="007A63A8">
              <w:rPr>
                <w:rFonts w:ascii="Corbel" w:hAnsi="Corbel"/>
                <w:color w:val="4472C4" w:themeColor="accent1"/>
              </w:rPr>
              <w:t>A balanced, scalable approach will support students throughout their VET journey, incorporating new, enhanced, and evidence-based interventions aligned with National VET Completions Taskforce recommendations.</w:t>
            </w:r>
          </w:p>
          <w:p w14:paraId="7D649C64" w14:textId="77777777" w:rsidR="00162807" w:rsidRPr="007A63A8" w:rsidRDefault="00162807" w:rsidP="00162807">
            <w:pPr>
              <w:ind w:left="32"/>
              <w:rPr>
                <w:rFonts w:ascii="Corbel" w:hAnsi="Corbel"/>
                <w:color w:val="4472C4" w:themeColor="accent1"/>
              </w:rPr>
            </w:pPr>
          </w:p>
          <w:p w14:paraId="5E15ED97" w14:textId="5829AA9C" w:rsidR="00242F04" w:rsidRPr="007A63A8" w:rsidRDefault="00242F04" w:rsidP="00B942CB">
            <w:pPr>
              <w:pStyle w:val="ListParagraph"/>
              <w:numPr>
                <w:ilvl w:val="0"/>
                <w:numId w:val="17"/>
              </w:numPr>
              <w:tabs>
                <w:tab w:val="clear" w:pos="720"/>
              </w:tabs>
              <w:ind w:left="457" w:hanging="425"/>
              <w:rPr>
                <w:rFonts w:ascii="Corbel" w:hAnsi="Corbel"/>
                <w:color w:val="4472C4" w:themeColor="accent1"/>
              </w:rPr>
            </w:pPr>
            <w:r w:rsidRPr="007A63A8">
              <w:rPr>
                <w:rFonts w:ascii="Corbel" w:hAnsi="Corbel"/>
                <w:color w:val="4472C4" w:themeColor="accent1"/>
              </w:rPr>
              <w:t xml:space="preserve">Data driven and evidence-based information for student and system decision </w:t>
            </w:r>
            <w:r w:rsidR="006024C7" w:rsidRPr="007A63A8">
              <w:rPr>
                <w:rFonts w:ascii="Corbel" w:hAnsi="Corbel"/>
                <w:color w:val="4472C4" w:themeColor="accent1"/>
              </w:rPr>
              <w:t>making.</w:t>
            </w:r>
          </w:p>
          <w:p w14:paraId="0837EAA5" w14:textId="77777777" w:rsidR="003C330B" w:rsidRPr="007A63A8" w:rsidRDefault="003C330B" w:rsidP="003C330B">
            <w:pPr>
              <w:ind w:left="32"/>
              <w:rPr>
                <w:rFonts w:ascii="Corbel" w:hAnsi="Corbel"/>
                <w:color w:val="4472C4" w:themeColor="accent1"/>
              </w:rPr>
            </w:pPr>
          </w:p>
          <w:p w14:paraId="75A4CB71" w14:textId="73E0E61C" w:rsidR="00162807" w:rsidRPr="007A63A8" w:rsidRDefault="00A064A7" w:rsidP="00162807">
            <w:pPr>
              <w:ind w:left="32"/>
              <w:rPr>
                <w:rFonts w:ascii="Corbel" w:hAnsi="Corbel"/>
                <w:color w:val="4472C4" w:themeColor="accent1"/>
              </w:rPr>
            </w:pPr>
            <w:r w:rsidRPr="007A63A8">
              <w:rPr>
                <w:rFonts w:ascii="Corbel" w:hAnsi="Corbel"/>
                <w:color w:val="4472C4" w:themeColor="accent1"/>
              </w:rPr>
              <w:t xml:space="preserve">Queensland will refine data collection and </w:t>
            </w:r>
            <w:r w:rsidR="00D64ADF">
              <w:rPr>
                <w:rFonts w:ascii="Corbel" w:hAnsi="Corbel"/>
                <w:color w:val="4472C4" w:themeColor="accent1"/>
              </w:rPr>
              <w:t xml:space="preserve">undertake </w:t>
            </w:r>
            <w:r w:rsidRPr="007A63A8">
              <w:rPr>
                <w:rFonts w:ascii="Corbel" w:hAnsi="Corbel"/>
                <w:color w:val="4472C4" w:themeColor="accent1"/>
              </w:rPr>
              <w:t xml:space="preserve">research to distinguish between positive and problematic non-completions, ensuring targeted, real-time interventions that focus resources on </w:t>
            </w:r>
            <w:r w:rsidR="0019504D" w:rsidRPr="007A63A8">
              <w:rPr>
                <w:rFonts w:ascii="Corbel" w:hAnsi="Corbel"/>
                <w:color w:val="4472C4" w:themeColor="accent1"/>
              </w:rPr>
              <w:t xml:space="preserve">the </w:t>
            </w:r>
            <w:r w:rsidRPr="007A63A8">
              <w:rPr>
                <w:rFonts w:ascii="Corbel" w:hAnsi="Corbel"/>
                <w:color w:val="4472C4" w:themeColor="accent1"/>
              </w:rPr>
              <w:t>students</w:t>
            </w:r>
            <w:r w:rsidR="0019504D" w:rsidRPr="007A63A8">
              <w:rPr>
                <w:rFonts w:ascii="Corbel" w:hAnsi="Corbel"/>
                <w:color w:val="4472C4" w:themeColor="accent1"/>
              </w:rPr>
              <w:t xml:space="preserve"> that would benefit most from</w:t>
            </w:r>
            <w:r w:rsidRPr="007A63A8">
              <w:rPr>
                <w:rFonts w:ascii="Corbel" w:hAnsi="Corbel"/>
                <w:color w:val="4472C4" w:themeColor="accent1"/>
              </w:rPr>
              <w:t xml:space="preserve"> support.</w:t>
            </w:r>
          </w:p>
          <w:p w14:paraId="5E7E5BBE" w14:textId="77777777" w:rsidR="00A064A7" w:rsidRPr="007A63A8" w:rsidRDefault="00A064A7" w:rsidP="00162807">
            <w:pPr>
              <w:ind w:left="32"/>
              <w:rPr>
                <w:rFonts w:ascii="Corbel" w:hAnsi="Corbel"/>
                <w:color w:val="4472C4" w:themeColor="accent1"/>
              </w:rPr>
            </w:pPr>
          </w:p>
          <w:p w14:paraId="0A48B2DE" w14:textId="77777777" w:rsidR="00242F04" w:rsidRPr="007A63A8" w:rsidRDefault="00242F04" w:rsidP="00B942CB">
            <w:pPr>
              <w:pStyle w:val="ListParagraph"/>
              <w:numPr>
                <w:ilvl w:val="0"/>
                <w:numId w:val="17"/>
              </w:numPr>
              <w:tabs>
                <w:tab w:val="clear" w:pos="720"/>
              </w:tabs>
              <w:ind w:left="457" w:hanging="425"/>
              <w:rPr>
                <w:rFonts w:ascii="Corbel" w:hAnsi="Corbel"/>
                <w:color w:val="4472C4" w:themeColor="accent1"/>
              </w:rPr>
            </w:pPr>
            <w:r w:rsidRPr="007A63A8">
              <w:rPr>
                <w:rFonts w:ascii="Corbel" w:hAnsi="Corbel"/>
                <w:color w:val="4472C4" w:themeColor="accent1"/>
              </w:rPr>
              <w:t>Embedding best practice for the long term.</w:t>
            </w:r>
          </w:p>
          <w:p w14:paraId="4CB0BDC1" w14:textId="77777777" w:rsidR="000C112C" w:rsidRPr="007A63A8" w:rsidRDefault="000C112C" w:rsidP="000C112C">
            <w:pPr>
              <w:ind w:left="32"/>
              <w:rPr>
                <w:rFonts w:ascii="Corbel" w:hAnsi="Corbel"/>
                <w:color w:val="4472C4" w:themeColor="accent1"/>
              </w:rPr>
            </w:pPr>
          </w:p>
          <w:p w14:paraId="41F63DD8" w14:textId="1AA6C49F" w:rsidR="00291724" w:rsidRPr="007A63A8" w:rsidRDefault="00220BDC" w:rsidP="00106DFF">
            <w:pPr>
              <w:rPr>
                <w:rFonts w:ascii="Corbel" w:hAnsi="Corbel"/>
                <w:color w:val="4472C4" w:themeColor="accent1"/>
              </w:rPr>
            </w:pPr>
            <w:r w:rsidRPr="007A63A8">
              <w:rPr>
                <w:rFonts w:ascii="Corbel" w:hAnsi="Corbel"/>
                <w:color w:val="4472C4" w:themeColor="accent1"/>
              </w:rPr>
              <w:t>Queensland will strengthen evaluation, knowledge-sharing, and co-designed initiatives with TAFE</w:t>
            </w:r>
            <w:r w:rsidR="00C955A6">
              <w:rPr>
                <w:rFonts w:ascii="Corbel" w:hAnsi="Corbel"/>
                <w:color w:val="4472C4" w:themeColor="accent1"/>
              </w:rPr>
              <w:t>, Skills Assure Suppliers</w:t>
            </w:r>
            <w:r w:rsidRPr="007A63A8">
              <w:rPr>
                <w:rFonts w:ascii="Corbel" w:hAnsi="Corbel"/>
                <w:color w:val="4472C4" w:themeColor="accent1"/>
              </w:rPr>
              <w:t xml:space="preserve"> </w:t>
            </w:r>
            <w:r w:rsidR="005D1CAC">
              <w:rPr>
                <w:rFonts w:ascii="Corbel" w:hAnsi="Corbel"/>
                <w:color w:val="4472C4" w:themeColor="accent1"/>
              </w:rPr>
              <w:t>(SAS)</w:t>
            </w:r>
            <w:r w:rsidRPr="007A63A8">
              <w:rPr>
                <w:rFonts w:ascii="Corbel" w:hAnsi="Corbel"/>
                <w:color w:val="4472C4" w:themeColor="accent1"/>
              </w:rPr>
              <w:t xml:space="preserve"> and industry partners, ensuring continuous improvement and sustainable completion outcomes.</w:t>
            </w:r>
          </w:p>
          <w:p w14:paraId="403A74EB" w14:textId="77777777" w:rsidR="004E7250" w:rsidRPr="007A63A8" w:rsidRDefault="004E7250" w:rsidP="00106DFF">
            <w:pPr>
              <w:rPr>
                <w:rFonts w:ascii="Corbel" w:hAnsi="Corbel"/>
                <w:color w:val="4472C4" w:themeColor="accent1"/>
              </w:rPr>
            </w:pPr>
          </w:p>
          <w:p w14:paraId="6BB0A1EF" w14:textId="77777777" w:rsidR="004E7250" w:rsidRPr="007A63A8" w:rsidRDefault="004E7250" w:rsidP="004E7250">
            <w:pPr>
              <w:rPr>
                <w:rFonts w:ascii="Corbel" w:hAnsi="Corbel"/>
                <w:b/>
                <w:bCs/>
                <w:color w:val="4472C4" w:themeColor="accent1"/>
              </w:rPr>
            </w:pPr>
            <w:r w:rsidRPr="007A63A8">
              <w:rPr>
                <w:rFonts w:ascii="Corbel" w:hAnsi="Corbel"/>
                <w:b/>
                <w:bCs/>
                <w:color w:val="4472C4" w:themeColor="accent1"/>
              </w:rPr>
              <w:t xml:space="preserve">Three focus areas and their activities </w:t>
            </w:r>
          </w:p>
          <w:p w14:paraId="23399265" w14:textId="77777777" w:rsidR="004E7250" w:rsidRPr="007A63A8" w:rsidRDefault="004E7250" w:rsidP="00106DFF">
            <w:pPr>
              <w:rPr>
                <w:rFonts w:ascii="Corbel" w:hAnsi="Corbel"/>
                <w:color w:val="4472C4" w:themeColor="accent1"/>
              </w:rPr>
            </w:pPr>
          </w:p>
          <w:p w14:paraId="0A22470E" w14:textId="218232E4" w:rsidR="004E7250" w:rsidRPr="007A63A8" w:rsidRDefault="004E7250" w:rsidP="00106DFF">
            <w:pPr>
              <w:rPr>
                <w:rFonts w:ascii="Corbel" w:hAnsi="Corbel"/>
                <w:color w:val="4472C4" w:themeColor="accent1"/>
              </w:rPr>
            </w:pPr>
            <w:r w:rsidRPr="0BA3E980">
              <w:rPr>
                <w:rFonts w:ascii="Corbel" w:hAnsi="Corbel"/>
                <w:color w:val="4472C4" w:themeColor="accent1"/>
              </w:rPr>
              <w:t xml:space="preserve">Three focus areas </w:t>
            </w:r>
            <w:r w:rsidR="00EC5698" w:rsidRPr="0BA3E980">
              <w:rPr>
                <w:rFonts w:ascii="Corbel" w:hAnsi="Corbel"/>
                <w:color w:val="4472C4" w:themeColor="accent1"/>
              </w:rPr>
              <w:t xml:space="preserve">have been identified for </w:t>
            </w:r>
            <w:r w:rsidR="000A2AC3" w:rsidRPr="0BA3E980">
              <w:rPr>
                <w:rFonts w:ascii="Corbel" w:hAnsi="Corbel"/>
                <w:color w:val="4472C4" w:themeColor="accent1"/>
              </w:rPr>
              <w:t xml:space="preserve">activities that </w:t>
            </w:r>
            <w:r w:rsidRPr="0BA3E980">
              <w:rPr>
                <w:rFonts w:ascii="Corbel" w:hAnsi="Corbel"/>
                <w:color w:val="4472C4" w:themeColor="accent1"/>
              </w:rPr>
              <w:t xml:space="preserve">enhance student pathways, strengthen support services, and embed evidence-based </w:t>
            </w:r>
            <w:r w:rsidR="00C855CF" w:rsidRPr="0BA3E980">
              <w:rPr>
                <w:rFonts w:ascii="Corbel" w:hAnsi="Corbel"/>
                <w:color w:val="4472C4" w:themeColor="accent1"/>
              </w:rPr>
              <w:t>decision-making</w:t>
            </w:r>
            <w:r w:rsidR="00035F1C">
              <w:rPr>
                <w:rFonts w:ascii="Corbel" w:hAnsi="Corbel"/>
                <w:color w:val="4472C4" w:themeColor="accent1"/>
              </w:rPr>
              <w:t xml:space="preserve">: </w:t>
            </w:r>
            <w:r w:rsidR="00FB087A" w:rsidRPr="0BA3E980">
              <w:rPr>
                <w:rFonts w:ascii="Corbel" w:hAnsi="Corbel"/>
                <w:color w:val="4472C4" w:themeColor="accent1"/>
              </w:rPr>
              <w:t xml:space="preserve"> </w:t>
            </w:r>
          </w:p>
          <w:p w14:paraId="16F250C1" w14:textId="77777777" w:rsidR="00AA34D6" w:rsidRPr="007A63A8" w:rsidRDefault="00AA34D6" w:rsidP="00106DFF">
            <w:pPr>
              <w:rPr>
                <w:rFonts w:ascii="Corbel" w:hAnsi="Corbel"/>
                <w:b/>
                <w:bCs/>
                <w:color w:val="4472C4" w:themeColor="accent1"/>
              </w:rPr>
            </w:pPr>
          </w:p>
          <w:p w14:paraId="46BE40FD" w14:textId="3F13A24B" w:rsidR="00B942CB" w:rsidRPr="007A63A8" w:rsidRDefault="002A53AB" w:rsidP="006318C3">
            <w:pPr>
              <w:pStyle w:val="ListParagraph"/>
              <w:numPr>
                <w:ilvl w:val="0"/>
                <w:numId w:val="42"/>
              </w:numPr>
              <w:rPr>
                <w:rFonts w:ascii="Corbel" w:hAnsi="Corbel"/>
                <w:b/>
                <w:bCs/>
                <w:color w:val="4472C4" w:themeColor="accent1"/>
              </w:rPr>
            </w:pPr>
            <w:r w:rsidRPr="007A63A8">
              <w:rPr>
                <w:rFonts w:ascii="Corbel" w:hAnsi="Corbel"/>
                <w:color w:val="4472C4" w:themeColor="accent1"/>
              </w:rPr>
              <w:t>Informed t</w:t>
            </w:r>
            <w:r w:rsidR="005F402E" w:rsidRPr="007A63A8">
              <w:rPr>
                <w:rFonts w:ascii="Corbel" w:hAnsi="Corbel"/>
                <w:color w:val="4472C4" w:themeColor="accent1"/>
              </w:rPr>
              <w:t xml:space="preserve">raining </w:t>
            </w:r>
            <w:r w:rsidRPr="007A63A8">
              <w:rPr>
                <w:rFonts w:ascii="Corbel" w:hAnsi="Corbel"/>
                <w:color w:val="4472C4" w:themeColor="accent1"/>
              </w:rPr>
              <w:t>c</w:t>
            </w:r>
            <w:r w:rsidR="005F402E" w:rsidRPr="007A63A8">
              <w:rPr>
                <w:rFonts w:ascii="Corbel" w:hAnsi="Corbel"/>
                <w:color w:val="4472C4" w:themeColor="accent1"/>
              </w:rPr>
              <w:t>hoices</w:t>
            </w:r>
            <w:r w:rsidR="00F519D7" w:rsidRPr="007A63A8">
              <w:rPr>
                <w:rFonts w:ascii="Corbel" w:hAnsi="Corbel"/>
                <w:color w:val="4472C4" w:themeColor="accent1"/>
              </w:rPr>
              <w:t xml:space="preserve"> - </w:t>
            </w:r>
            <w:r w:rsidR="00B942CB" w:rsidRPr="007A63A8">
              <w:rPr>
                <w:rFonts w:ascii="Corbel" w:hAnsi="Corbel"/>
                <w:color w:val="4472C4" w:themeColor="accent1"/>
                <w:lang w:val="en-US"/>
              </w:rPr>
              <w:t xml:space="preserve">Queensland will expand career exploration opportunities and improve access to VET information </w:t>
            </w:r>
            <w:r w:rsidR="0019504D" w:rsidRPr="007A63A8">
              <w:rPr>
                <w:rFonts w:ascii="Corbel" w:hAnsi="Corbel"/>
                <w:color w:val="4472C4" w:themeColor="accent1"/>
                <w:lang w:val="en-US"/>
              </w:rPr>
              <w:t>to help prospective VET students make an informed decision about the right training for them</w:t>
            </w:r>
            <w:r w:rsidR="00B942CB" w:rsidRPr="007A63A8">
              <w:rPr>
                <w:rFonts w:ascii="Corbel" w:hAnsi="Corbel"/>
                <w:color w:val="4472C4" w:themeColor="accent1"/>
                <w:lang w:val="en-US"/>
              </w:rPr>
              <w:t xml:space="preserve">. </w:t>
            </w:r>
          </w:p>
          <w:p w14:paraId="458E9589" w14:textId="77777777" w:rsidR="00B942CB" w:rsidRPr="007A63A8" w:rsidRDefault="00B942CB" w:rsidP="00B942CB">
            <w:pPr>
              <w:rPr>
                <w:rFonts w:ascii="Corbel" w:hAnsi="Corbel"/>
                <w:b/>
                <w:bCs/>
                <w:color w:val="4472C4" w:themeColor="accent1"/>
              </w:rPr>
            </w:pPr>
          </w:p>
          <w:p w14:paraId="0A2EE0E0" w14:textId="391B479C" w:rsidR="00B942CB" w:rsidRPr="007A63A8" w:rsidRDefault="00A47417" w:rsidP="006318C3">
            <w:pPr>
              <w:pStyle w:val="ListParagraph"/>
              <w:numPr>
                <w:ilvl w:val="0"/>
                <w:numId w:val="42"/>
              </w:numPr>
              <w:rPr>
                <w:rFonts w:ascii="Corbel" w:hAnsi="Corbel"/>
                <w:color w:val="4472C4" w:themeColor="accent1"/>
              </w:rPr>
            </w:pPr>
            <w:r w:rsidRPr="007A63A8">
              <w:rPr>
                <w:rFonts w:ascii="Corbel" w:hAnsi="Corbel"/>
                <w:color w:val="4472C4" w:themeColor="accent1"/>
              </w:rPr>
              <w:t xml:space="preserve">Supporting </w:t>
            </w:r>
            <w:r w:rsidR="00371C64" w:rsidRPr="007A63A8">
              <w:rPr>
                <w:rFonts w:ascii="Corbel" w:hAnsi="Corbel"/>
                <w:color w:val="4472C4" w:themeColor="accent1"/>
              </w:rPr>
              <w:t xml:space="preserve">retention </w:t>
            </w:r>
            <w:r w:rsidR="00F519D7" w:rsidRPr="007A63A8">
              <w:rPr>
                <w:rFonts w:ascii="Corbel" w:hAnsi="Corbel"/>
                <w:color w:val="4472C4" w:themeColor="accent1"/>
              </w:rPr>
              <w:t xml:space="preserve">- </w:t>
            </w:r>
            <w:r w:rsidR="00B942CB" w:rsidRPr="007A63A8">
              <w:rPr>
                <w:rFonts w:ascii="Corbel" w:hAnsi="Corbel"/>
                <w:color w:val="4472C4" w:themeColor="accent1"/>
              </w:rPr>
              <w:t xml:space="preserve">Queensland will </w:t>
            </w:r>
            <w:r w:rsidR="003E1805">
              <w:rPr>
                <w:rFonts w:ascii="Corbel" w:hAnsi="Corbel"/>
                <w:color w:val="4472C4" w:themeColor="accent1"/>
              </w:rPr>
              <w:t xml:space="preserve">enhance </w:t>
            </w:r>
            <w:r w:rsidR="00B942CB" w:rsidRPr="007A63A8">
              <w:rPr>
                <w:rFonts w:ascii="Corbel" w:hAnsi="Corbel"/>
                <w:color w:val="4472C4" w:themeColor="accent1"/>
              </w:rPr>
              <w:t xml:space="preserve">targeted student support services and enhance employer engagement to reduce non-completions. </w:t>
            </w:r>
          </w:p>
          <w:p w14:paraId="0A2378AD" w14:textId="77777777" w:rsidR="00B942CB" w:rsidRPr="007A63A8" w:rsidRDefault="00B942CB" w:rsidP="00B942CB">
            <w:pPr>
              <w:pStyle w:val="ListParagraph"/>
              <w:rPr>
                <w:rFonts w:ascii="Corbel" w:hAnsi="Corbel"/>
                <w:color w:val="4472C4" w:themeColor="accent1"/>
              </w:rPr>
            </w:pPr>
          </w:p>
          <w:p w14:paraId="3E049DA9" w14:textId="15E980A6" w:rsidR="009C2911" w:rsidRPr="006318C3" w:rsidRDefault="00385978" w:rsidP="00106DFF">
            <w:pPr>
              <w:pStyle w:val="ListParagraph"/>
              <w:numPr>
                <w:ilvl w:val="0"/>
                <w:numId w:val="42"/>
              </w:numPr>
              <w:rPr>
                <w:rFonts w:ascii="Corbel" w:hAnsi="Corbel"/>
                <w:color w:val="4472C4" w:themeColor="accent1"/>
              </w:rPr>
            </w:pPr>
            <w:r w:rsidRPr="007A63A8">
              <w:rPr>
                <w:rFonts w:ascii="Corbel" w:hAnsi="Corbel"/>
                <w:color w:val="4472C4" w:themeColor="accent1"/>
              </w:rPr>
              <w:t>Insights and innovation</w:t>
            </w:r>
            <w:r w:rsidR="00F519D7" w:rsidRPr="007A63A8">
              <w:rPr>
                <w:rFonts w:ascii="Corbel" w:hAnsi="Corbel"/>
                <w:color w:val="4472C4" w:themeColor="accent1"/>
              </w:rPr>
              <w:t xml:space="preserve"> - </w:t>
            </w:r>
            <w:r w:rsidR="00B942CB" w:rsidRPr="007A63A8">
              <w:rPr>
                <w:rFonts w:ascii="Corbel" w:hAnsi="Corbel"/>
                <w:color w:val="4472C4" w:themeColor="accent1"/>
              </w:rPr>
              <w:t xml:space="preserve">To ensure targeted support, Queensland will embed data-driven strategies and best practice frameworks. </w:t>
            </w:r>
          </w:p>
        </w:tc>
      </w:tr>
    </w:tbl>
    <w:p w14:paraId="5F38CCD2" w14:textId="77777777" w:rsidR="009C2911" w:rsidRDefault="009C2911" w:rsidP="009C2911">
      <w:pPr>
        <w:rPr>
          <w:rFonts w:ascii="Corbel" w:hAnsi="Corbel"/>
        </w:rPr>
      </w:pPr>
    </w:p>
    <w:p w14:paraId="21167F70" w14:textId="77777777" w:rsidR="009C2911" w:rsidRPr="00871E29" w:rsidRDefault="009C2911" w:rsidP="009C2911">
      <w:pPr>
        <w:pStyle w:val="ListParagraph"/>
        <w:numPr>
          <w:ilvl w:val="0"/>
          <w:numId w:val="6"/>
        </w:numPr>
        <w:rPr>
          <w:rFonts w:ascii="Corbel" w:hAnsi="Corbel"/>
        </w:rPr>
      </w:pPr>
      <w:r>
        <w:rPr>
          <w:rFonts w:ascii="Corbel" w:hAnsi="Corbel"/>
        </w:rPr>
        <w:t xml:space="preserve">Outline </w:t>
      </w:r>
      <w:r w:rsidRPr="00560B10">
        <w:rPr>
          <w:rFonts w:ascii="Corbel" w:hAnsi="Corbel"/>
        </w:rPr>
        <w:t>how this proposal addresses</w:t>
      </w:r>
      <w:r>
        <w:rPr>
          <w:rFonts w:ascii="Corbel" w:hAnsi="Corbel"/>
        </w:rPr>
        <w:t xml:space="preserve"> clause A146, including links to recommendations of the National VET Completions Taskforce.</w:t>
      </w:r>
    </w:p>
    <w:p w14:paraId="112B446C" w14:textId="53B2BE4F" w:rsidR="00D219E9" w:rsidRPr="007A63A8" w:rsidRDefault="00E83110" w:rsidP="009C2911">
      <w:pPr>
        <w:pBdr>
          <w:top w:val="single" w:sz="4" w:space="1" w:color="auto"/>
          <w:left w:val="single" w:sz="4" w:space="4" w:color="auto"/>
          <w:bottom w:val="single" w:sz="4" w:space="1" w:color="auto"/>
          <w:right w:val="single" w:sz="4" w:space="4" w:color="auto"/>
        </w:pBdr>
        <w:rPr>
          <w:rFonts w:ascii="Corbel" w:hAnsi="Corbel"/>
          <w:b/>
          <w:bCs/>
          <w:color w:val="4472C4" w:themeColor="accent1"/>
        </w:rPr>
      </w:pPr>
      <w:r w:rsidRPr="007A63A8">
        <w:rPr>
          <w:rFonts w:ascii="Corbel" w:hAnsi="Corbel"/>
          <w:b/>
          <w:bCs/>
          <w:color w:val="4472C4" w:themeColor="accent1"/>
        </w:rPr>
        <w:t>Summary</w:t>
      </w:r>
    </w:p>
    <w:p w14:paraId="1677DE0F" w14:textId="08E1C493" w:rsidR="00F96E95" w:rsidRPr="007A63A8" w:rsidRDefault="00E36035" w:rsidP="009C2911">
      <w:pPr>
        <w:pBdr>
          <w:top w:val="single" w:sz="4" w:space="1" w:color="auto"/>
          <w:left w:val="single" w:sz="4" w:space="4" w:color="auto"/>
          <w:bottom w:val="single" w:sz="4" w:space="1" w:color="auto"/>
          <w:right w:val="single" w:sz="4" w:space="4" w:color="auto"/>
        </w:pBdr>
        <w:rPr>
          <w:rFonts w:ascii="Corbel" w:hAnsi="Corbel"/>
          <w:color w:val="4472C4" w:themeColor="accent1"/>
        </w:rPr>
      </w:pPr>
      <w:r w:rsidRPr="007A63A8">
        <w:rPr>
          <w:rFonts w:ascii="Corbel" w:hAnsi="Corbel"/>
          <w:color w:val="4472C4" w:themeColor="accent1"/>
        </w:rPr>
        <w:t>Queensland’s approach to supporting completions was built around the recommendations of the National VET Completions Taskforce</w:t>
      </w:r>
      <w:r w:rsidR="009147E3" w:rsidRPr="007A63A8">
        <w:rPr>
          <w:rFonts w:ascii="Corbel" w:hAnsi="Corbel"/>
          <w:color w:val="4472C4" w:themeColor="accent1"/>
        </w:rPr>
        <w:t>, in particular ensuring activities consider</w:t>
      </w:r>
      <w:r w:rsidR="0089700F" w:rsidRPr="007A63A8">
        <w:rPr>
          <w:rFonts w:ascii="Corbel" w:hAnsi="Corbel"/>
          <w:color w:val="4472C4" w:themeColor="accent1"/>
        </w:rPr>
        <w:t xml:space="preserve"> interventions along</w:t>
      </w:r>
      <w:r w:rsidR="009147E3" w:rsidRPr="007A63A8">
        <w:rPr>
          <w:rFonts w:ascii="Corbel" w:hAnsi="Corbel"/>
          <w:color w:val="4472C4" w:themeColor="accent1"/>
        </w:rPr>
        <w:t xml:space="preserve"> the whole student journey</w:t>
      </w:r>
      <w:r w:rsidR="0076466C" w:rsidRPr="007A63A8">
        <w:rPr>
          <w:rFonts w:ascii="Corbel" w:hAnsi="Corbel"/>
          <w:color w:val="4472C4" w:themeColor="accent1"/>
        </w:rPr>
        <w:t xml:space="preserve"> and the three themes of the report</w:t>
      </w:r>
      <w:r w:rsidR="002336EF" w:rsidRPr="007A63A8">
        <w:rPr>
          <w:rFonts w:ascii="Corbel" w:hAnsi="Corbel"/>
          <w:color w:val="4472C4" w:themeColor="accent1"/>
        </w:rPr>
        <w:t xml:space="preserve"> </w:t>
      </w:r>
      <w:r w:rsidR="006837EF" w:rsidRPr="007A63A8">
        <w:rPr>
          <w:rFonts w:ascii="Corbel" w:hAnsi="Corbel"/>
          <w:color w:val="4472C4" w:themeColor="accent1"/>
        </w:rPr>
        <w:t>and 17 recommendations</w:t>
      </w:r>
      <w:r w:rsidR="002336EF" w:rsidRPr="007A63A8">
        <w:rPr>
          <w:rFonts w:ascii="Corbel" w:hAnsi="Corbel"/>
          <w:color w:val="4472C4" w:themeColor="accent1"/>
        </w:rPr>
        <w:t xml:space="preserve">. </w:t>
      </w:r>
      <w:r w:rsidR="0076466C" w:rsidRPr="007A63A8">
        <w:rPr>
          <w:rFonts w:ascii="Corbel" w:hAnsi="Corbel"/>
          <w:color w:val="4472C4" w:themeColor="accent1"/>
        </w:rPr>
        <w:t xml:space="preserve"> </w:t>
      </w:r>
      <w:r w:rsidR="00D90BE8" w:rsidRPr="007A63A8">
        <w:rPr>
          <w:rFonts w:ascii="Corbel" w:hAnsi="Corbel"/>
          <w:color w:val="4472C4" w:themeColor="accent1"/>
        </w:rPr>
        <w:t xml:space="preserve">Activities </w:t>
      </w:r>
      <w:r w:rsidR="00FE072B" w:rsidRPr="007A63A8">
        <w:rPr>
          <w:rFonts w:ascii="Corbel" w:hAnsi="Corbel"/>
          <w:color w:val="4472C4" w:themeColor="accent1"/>
        </w:rPr>
        <w:t xml:space="preserve">along the </w:t>
      </w:r>
      <w:r w:rsidR="00ED1DD6" w:rsidRPr="007A63A8">
        <w:rPr>
          <w:rFonts w:ascii="Corbel" w:hAnsi="Corbel"/>
          <w:color w:val="4472C4" w:themeColor="accent1"/>
        </w:rPr>
        <w:t>student’s</w:t>
      </w:r>
      <w:r w:rsidR="00D90BE8" w:rsidRPr="007A63A8">
        <w:rPr>
          <w:rFonts w:ascii="Corbel" w:hAnsi="Corbel"/>
          <w:color w:val="4472C4" w:themeColor="accent1"/>
        </w:rPr>
        <w:t xml:space="preserve"> journey</w:t>
      </w:r>
      <w:r w:rsidR="00FE072B" w:rsidRPr="007A63A8">
        <w:rPr>
          <w:rFonts w:ascii="Corbel" w:hAnsi="Corbel"/>
          <w:color w:val="4472C4" w:themeColor="accent1"/>
        </w:rPr>
        <w:t xml:space="preserve"> are mapped out </w:t>
      </w:r>
      <w:r w:rsidR="00F96E95" w:rsidRPr="007A63A8">
        <w:rPr>
          <w:rFonts w:ascii="Corbel" w:hAnsi="Corbel"/>
          <w:color w:val="4472C4" w:themeColor="accent1"/>
        </w:rPr>
        <w:t xml:space="preserve">in </w:t>
      </w:r>
      <w:r w:rsidR="00ED1DD6" w:rsidRPr="007A63A8">
        <w:rPr>
          <w:rFonts w:ascii="Corbel" w:hAnsi="Corbel"/>
          <w:b/>
          <w:bCs/>
          <w:color w:val="4472C4" w:themeColor="accent1"/>
        </w:rPr>
        <w:t>Appendix C</w:t>
      </w:r>
      <w:r w:rsidR="00F96E95" w:rsidRPr="007A63A8">
        <w:rPr>
          <w:rFonts w:ascii="Corbel" w:hAnsi="Corbel"/>
          <w:color w:val="4472C4" w:themeColor="accent1"/>
        </w:rPr>
        <w:t>.</w:t>
      </w:r>
    </w:p>
    <w:p w14:paraId="41FE543E" w14:textId="61EF7FD2" w:rsidR="003E5561" w:rsidRPr="007A63A8" w:rsidRDefault="005D1A75" w:rsidP="003E5561">
      <w:pPr>
        <w:pBdr>
          <w:top w:val="single" w:sz="4" w:space="1" w:color="auto"/>
          <w:left w:val="single" w:sz="4" w:space="4" w:color="auto"/>
          <w:bottom w:val="single" w:sz="4" w:space="1" w:color="auto"/>
          <w:right w:val="single" w:sz="4" w:space="4" w:color="auto"/>
        </w:pBdr>
        <w:rPr>
          <w:rFonts w:ascii="Corbel" w:hAnsi="Corbel"/>
          <w:color w:val="4472C4" w:themeColor="accent1"/>
        </w:rPr>
      </w:pPr>
      <w:r w:rsidRPr="007A63A8">
        <w:rPr>
          <w:rFonts w:ascii="Corbel" w:hAnsi="Corbel"/>
          <w:color w:val="4472C4" w:themeColor="accent1"/>
        </w:rPr>
        <w:t>Under this proposal</w:t>
      </w:r>
      <w:r w:rsidR="003E5561" w:rsidRPr="007A63A8">
        <w:rPr>
          <w:rFonts w:ascii="Corbel" w:hAnsi="Corbel"/>
          <w:color w:val="4472C4" w:themeColor="accent1"/>
        </w:rPr>
        <w:t xml:space="preserve">, students from regional, rural, and remote areas, along with disadvantaged students, will remain a priority focus across all programs. Rather than relying on standalone initiatives that may be temporary, support for these groups </w:t>
      </w:r>
      <w:r w:rsidR="00715AD1" w:rsidRPr="007A63A8">
        <w:rPr>
          <w:rFonts w:ascii="Corbel" w:hAnsi="Corbel"/>
          <w:color w:val="4472C4" w:themeColor="accent1"/>
        </w:rPr>
        <w:t>will be embedded</w:t>
      </w:r>
      <w:r w:rsidR="003E5561" w:rsidRPr="007A63A8">
        <w:rPr>
          <w:rFonts w:ascii="Corbel" w:hAnsi="Corbel"/>
          <w:color w:val="4472C4" w:themeColor="accent1"/>
        </w:rPr>
        <w:t xml:space="preserve"> into the framework of all treatments. This approach ensures their needs are consistently addressed and woven into the fabric of our programs for long-term impact.</w:t>
      </w:r>
    </w:p>
    <w:p w14:paraId="54F2B3E7" w14:textId="319AFCFA" w:rsidR="003E5561" w:rsidRPr="007A63A8" w:rsidRDefault="003E5561" w:rsidP="003E5561">
      <w:pPr>
        <w:pBdr>
          <w:top w:val="single" w:sz="4" w:space="1" w:color="auto"/>
          <w:left w:val="single" w:sz="4" w:space="4" w:color="auto"/>
          <w:bottom w:val="single" w:sz="4" w:space="1" w:color="auto"/>
          <w:right w:val="single" w:sz="4" w:space="4" w:color="auto"/>
        </w:pBdr>
        <w:rPr>
          <w:rFonts w:ascii="Corbel" w:hAnsi="Corbel"/>
          <w:color w:val="4472C4" w:themeColor="accent1"/>
        </w:rPr>
      </w:pPr>
      <w:r w:rsidRPr="007A63A8">
        <w:rPr>
          <w:rFonts w:ascii="Corbel" w:hAnsi="Corbel"/>
          <w:color w:val="4472C4" w:themeColor="accent1"/>
        </w:rPr>
        <w:t xml:space="preserve">The exception to this approach is First Nations students, who are being specifically addressed through the </w:t>
      </w:r>
      <w:r w:rsidR="00580174" w:rsidRPr="007A63A8">
        <w:rPr>
          <w:rFonts w:ascii="Corbel" w:hAnsi="Corbel"/>
          <w:color w:val="4472C4" w:themeColor="accent1"/>
        </w:rPr>
        <w:t xml:space="preserve">NSA </w:t>
      </w:r>
      <w:r w:rsidRPr="007A63A8">
        <w:rPr>
          <w:rFonts w:ascii="Corbel" w:hAnsi="Corbel"/>
          <w:color w:val="4472C4" w:themeColor="accent1"/>
        </w:rPr>
        <w:t xml:space="preserve">Closing the Gap </w:t>
      </w:r>
      <w:r w:rsidR="00FF1B37" w:rsidRPr="007A63A8">
        <w:rPr>
          <w:rFonts w:ascii="Corbel" w:hAnsi="Corbel"/>
          <w:color w:val="4472C4" w:themeColor="accent1"/>
        </w:rPr>
        <w:t xml:space="preserve">policy </w:t>
      </w:r>
      <w:r w:rsidRPr="007A63A8">
        <w:rPr>
          <w:rFonts w:ascii="Corbel" w:hAnsi="Corbel"/>
          <w:color w:val="4472C4" w:themeColor="accent1"/>
        </w:rPr>
        <w:t>initiative, reflecting the need for dedicated strategies to support unique cultural circumstances and aspirations.</w:t>
      </w:r>
    </w:p>
    <w:p w14:paraId="00776B8C" w14:textId="6B5A0315" w:rsidR="00DC506F" w:rsidRPr="007A63A8" w:rsidRDefault="003E5561" w:rsidP="0BA3E980">
      <w:pPr>
        <w:pBdr>
          <w:top w:val="single" w:sz="4" w:space="1" w:color="auto"/>
          <w:left w:val="single" w:sz="4" w:space="4" w:color="auto"/>
          <w:bottom w:val="single" w:sz="4" w:space="1" w:color="auto"/>
          <w:right w:val="single" w:sz="4" w:space="4" w:color="auto"/>
        </w:pBdr>
        <w:rPr>
          <w:rFonts w:ascii="Corbel" w:hAnsi="Corbel"/>
          <w:color w:val="4472C4" w:themeColor="accent1"/>
        </w:rPr>
      </w:pPr>
      <w:r w:rsidRPr="0BA3E980">
        <w:rPr>
          <w:rFonts w:ascii="Corbel" w:hAnsi="Corbel"/>
          <w:color w:val="4472C4" w:themeColor="accent1"/>
        </w:rPr>
        <w:lastRenderedPageBreak/>
        <w:t xml:space="preserve">The Queensland Student Outcomes Survey is a new specific activity designed </w:t>
      </w:r>
      <w:r w:rsidR="001B4BEB" w:rsidRPr="0BA3E980">
        <w:rPr>
          <w:rFonts w:ascii="Corbel" w:hAnsi="Corbel"/>
          <w:color w:val="4472C4" w:themeColor="accent1"/>
        </w:rPr>
        <w:t>so that</w:t>
      </w:r>
      <w:r w:rsidRPr="0BA3E980">
        <w:rPr>
          <w:rFonts w:ascii="Corbel" w:hAnsi="Corbel"/>
          <w:color w:val="4472C4" w:themeColor="accent1"/>
        </w:rPr>
        <w:t xml:space="preserve"> the student voice</w:t>
      </w:r>
      <w:r w:rsidR="001B4BEB" w:rsidRPr="0BA3E980">
        <w:rPr>
          <w:rFonts w:ascii="Corbel" w:hAnsi="Corbel"/>
          <w:color w:val="4472C4" w:themeColor="accent1"/>
        </w:rPr>
        <w:t xml:space="preserve"> is heard and informs policy development and implementation</w:t>
      </w:r>
      <w:r w:rsidRPr="0BA3E980">
        <w:rPr>
          <w:rFonts w:ascii="Corbel" w:hAnsi="Corbel"/>
          <w:color w:val="4472C4" w:themeColor="accent1"/>
        </w:rPr>
        <w:t xml:space="preserve">. In addition to a new annual survey, there will be additional complementary surveys on various activities. </w:t>
      </w:r>
    </w:p>
    <w:p w14:paraId="1170B700" w14:textId="79017F9D" w:rsidR="00E66860" w:rsidRPr="007A63A8" w:rsidRDefault="00E66860" w:rsidP="009C2911">
      <w:pPr>
        <w:pBdr>
          <w:top w:val="single" w:sz="4" w:space="1" w:color="auto"/>
          <w:left w:val="single" w:sz="4" w:space="4" w:color="auto"/>
          <w:bottom w:val="single" w:sz="4" w:space="1" w:color="auto"/>
          <w:right w:val="single" w:sz="4" w:space="4" w:color="auto"/>
        </w:pBdr>
        <w:rPr>
          <w:rFonts w:ascii="Corbel" w:hAnsi="Corbel"/>
          <w:color w:val="4472C4" w:themeColor="accent1"/>
        </w:rPr>
      </w:pPr>
      <w:r w:rsidRPr="007A63A8">
        <w:rPr>
          <w:rFonts w:ascii="Corbel" w:hAnsi="Corbel"/>
          <w:color w:val="4472C4" w:themeColor="accent1"/>
        </w:rPr>
        <w:t xml:space="preserve">While </w:t>
      </w:r>
      <w:r w:rsidRPr="007A63A8">
        <w:rPr>
          <w:rFonts w:ascii="Corbel" w:hAnsi="Corbel"/>
          <w:b/>
          <w:bCs/>
          <w:color w:val="4472C4" w:themeColor="accent1"/>
        </w:rPr>
        <w:t>Tables 1–3</w:t>
      </w:r>
      <w:r w:rsidRPr="007A63A8">
        <w:rPr>
          <w:rFonts w:ascii="Corbel" w:hAnsi="Corbel"/>
          <w:color w:val="4472C4" w:themeColor="accent1"/>
        </w:rPr>
        <w:t xml:space="preserve"> outline the evaluation mechanisms for each Focus Area and its associated activities, funding from this proposal </w:t>
      </w:r>
      <w:r w:rsidR="00B53810" w:rsidRPr="007A63A8">
        <w:rPr>
          <w:rFonts w:ascii="Corbel" w:hAnsi="Corbel"/>
          <w:color w:val="4472C4" w:themeColor="accent1"/>
        </w:rPr>
        <w:t>and other</w:t>
      </w:r>
      <w:r w:rsidR="00FF1B37" w:rsidRPr="007A63A8">
        <w:rPr>
          <w:rFonts w:ascii="Corbel" w:hAnsi="Corbel"/>
          <w:color w:val="4472C4" w:themeColor="accent1"/>
        </w:rPr>
        <w:t xml:space="preserve"> NSA</w:t>
      </w:r>
      <w:r w:rsidR="00B53810" w:rsidRPr="007A63A8">
        <w:rPr>
          <w:rFonts w:ascii="Corbel" w:hAnsi="Corbel"/>
          <w:color w:val="4472C4" w:themeColor="accent1"/>
        </w:rPr>
        <w:t xml:space="preserve"> Policy Initiative</w:t>
      </w:r>
      <w:r w:rsidR="00724EB4" w:rsidRPr="007A63A8">
        <w:rPr>
          <w:rFonts w:ascii="Corbel" w:hAnsi="Corbel"/>
          <w:color w:val="4472C4" w:themeColor="accent1"/>
        </w:rPr>
        <w:t xml:space="preserve"> proposals </w:t>
      </w:r>
      <w:r w:rsidRPr="007A63A8">
        <w:rPr>
          <w:rFonts w:ascii="Corbel" w:hAnsi="Corbel"/>
          <w:color w:val="4472C4" w:themeColor="accent1"/>
        </w:rPr>
        <w:t xml:space="preserve">will also contribute to a broader evaluation of all Bilateral Implementation Plans under the </w:t>
      </w:r>
      <w:r w:rsidR="00590963" w:rsidRPr="007A63A8">
        <w:rPr>
          <w:rFonts w:ascii="Corbel" w:hAnsi="Corbel"/>
          <w:color w:val="4472C4" w:themeColor="accent1"/>
        </w:rPr>
        <w:t>NSA.</w:t>
      </w:r>
      <w:r w:rsidRPr="007A63A8">
        <w:rPr>
          <w:rFonts w:ascii="Corbel" w:hAnsi="Corbel"/>
          <w:color w:val="4472C4" w:themeColor="accent1"/>
        </w:rPr>
        <w:t xml:space="preserve"> This overarching evaluation will assess the initiative’s Effectiveness, Efficiency, and Appropriateness, ensuring that insights gained inform continuous improvements and best practices across the national VET landscape. By embedding a </w:t>
      </w:r>
      <w:r w:rsidR="006A012F" w:rsidRPr="007A63A8">
        <w:rPr>
          <w:rFonts w:ascii="Corbel" w:hAnsi="Corbel"/>
          <w:color w:val="4472C4" w:themeColor="accent1"/>
        </w:rPr>
        <w:t xml:space="preserve">state </w:t>
      </w:r>
      <w:r w:rsidRPr="007A63A8">
        <w:rPr>
          <w:rFonts w:ascii="Corbel" w:hAnsi="Corbel"/>
          <w:color w:val="4472C4" w:themeColor="accent1"/>
        </w:rPr>
        <w:t>system-wide assessment framework, this initiative will contribute to a robust evidence base that supports long-term policy and program refinements at both state and national levels</w:t>
      </w:r>
      <w:r w:rsidR="009B1D8E" w:rsidRPr="007A63A8">
        <w:rPr>
          <w:rFonts w:ascii="Corbel" w:hAnsi="Corbel"/>
          <w:color w:val="4472C4" w:themeColor="accent1"/>
        </w:rPr>
        <w:t xml:space="preserve"> to </w:t>
      </w:r>
      <w:r w:rsidR="005D1A75" w:rsidRPr="007A63A8">
        <w:rPr>
          <w:rFonts w:ascii="Corbel" w:hAnsi="Corbel"/>
          <w:color w:val="4472C4" w:themeColor="accent1"/>
        </w:rPr>
        <w:t>inform future funding agreements</w:t>
      </w:r>
      <w:r w:rsidR="003A6006" w:rsidRPr="007A63A8">
        <w:rPr>
          <w:rFonts w:ascii="Corbel" w:hAnsi="Corbel"/>
          <w:color w:val="4472C4" w:themeColor="accent1"/>
        </w:rPr>
        <w:t>, ensuring continuous improvement and best practice adoption across the national VET system.</w:t>
      </w:r>
    </w:p>
    <w:p w14:paraId="0BF0A827" w14:textId="1D44B2E1" w:rsidR="00E83110" w:rsidRPr="007A63A8" w:rsidRDefault="00E83110" w:rsidP="009C2911">
      <w:pPr>
        <w:pBdr>
          <w:top w:val="single" w:sz="4" w:space="1" w:color="auto"/>
          <w:left w:val="single" w:sz="4" w:space="4" w:color="auto"/>
          <w:bottom w:val="single" w:sz="4" w:space="1" w:color="auto"/>
          <w:right w:val="single" w:sz="4" w:space="4" w:color="auto"/>
        </w:pBdr>
        <w:rPr>
          <w:rFonts w:ascii="Corbel" w:hAnsi="Corbel"/>
          <w:b/>
          <w:bCs/>
          <w:color w:val="4472C4" w:themeColor="accent1"/>
        </w:rPr>
      </w:pPr>
      <w:r w:rsidRPr="007A63A8">
        <w:rPr>
          <w:rFonts w:ascii="Corbel" w:hAnsi="Corbel"/>
          <w:b/>
          <w:bCs/>
          <w:color w:val="4472C4" w:themeColor="accent1"/>
        </w:rPr>
        <w:t>Detail</w:t>
      </w:r>
    </w:p>
    <w:p w14:paraId="19C2E0BB" w14:textId="532572BB" w:rsidR="00D90435" w:rsidRPr="00420E3E" w:rsidRDefault="00D90435" w:rsidP="009C2911">
      <w:pPr>
        <w:pBdr>
          <w:top w:val="single" w:sz="4" w:space="1" w:color="auto"/>
          <w:left w:val="single" w:sz="4" w:space="4" w:color="auto"/>
          <w:bottom w:val="single" w:sz="4" w:space="1" w:color="auto"/>
          <w:right w:val="single" w:sz="4" w:space="4" w:color="auto"/>
        </w:pBdr>
        <w:rPr>
          <w:rFonts w:ascii="Corbel" w:hAnsi="Corbel"/>
          <w:color w:val="000000" w:themeColor="text1"/>
        </w:rPr>
      </w:pPr>
      <w:r w:rsidRPr="007A63A8">
        <w:rPr>
          <w:rFonts w:ascii="Corbel" w:hAnsi="Corbel"/>
          <w:color w:val="4472C4" w:themeColor="accent1"/>
        </w:rPr>
        <w:t xml:space="preserve">To outline further how this proposal </w:t>
      </w:r>
      <w:r w:rsidR="005D620E" w:rsidRPr="007A63A8">
        <w:rPr>
          <w:rFonts w:ascii="Corbel" w:hAnsi="Corbel"/>
          <w:color w:val="4472C4" w:themeColor="accent1"/>
        </w:rPr>
        <w:t>meet</w:t>
      </w:r>
      <w:r w:rsidR="005D620E">
        <w:rPr>
          <w:rFonts w:ascii="Corbel" w:hAnsi="Corbel"/>
          <w:color w:val="4472C4" w:themeColor="accent1"/>
        </w:rPr>
        <w:t>s</w:t>
      </w:r>
      <w:r w:rsidR="005D620E" w:rsidRPr="007A63A8">
        <w:rPr>
          <w:rFonts w:ascii="Corbel" w:hAnsi="Corbel"/>
          <w:color w:val="4472C4" w:themeColor="accent1"/>
        </w:rPr>
        <w:t xml:space="preserve"> </w:t>
      </w:r>
      <w:r w:rsidRPr="007A63A8">
        <w:rPr>
          <w:rFonts w:ascii="Corbel" w:hAnsi="Corbel"/>
          <w:color w:val="4472C4" w:themeColor="accent1"/>
        </w:rPr>
        <w:t xml:space="preserve">the requirements under the </w:t>
      </w:r>
      <w:r w:rsidR="00590963" w:rsidRPr="007A63A8">
        <w:rPr>
          <w:rFonts w:ascii="Corbel" w:hAnsi="Corbel"/>
          <w:color w:val="4472C4" w:themeColor="accent1"/>
        </w:rPr>
        <w:t>NSA</w:t>
      </w:r>
      <w:r w:rsidRPr="007A63A8">
        <w:rPr>
          <w:rFonts w:ascii="Corbel" w:hAnsi="Corbel"/>
          <w:color w:val="4472C4" w:themeColor="accent1"/>
        </w:rPr>
        <w:t xml:space="preserve"> and to address the criteria outlined in the Bilateral Implementation Plan guidance drafting guidance</w:t>
      </w:r>
      <w:r w:rsidR="0018198F">
        <w:rPr>
          <w:rFonts w:ascii="Corbel" w:hAnsi="Corbel"/>
          <w:color w:val="4472C4" w:themeColor="accent1"/>
        </w:rPr>
        <w:t>,</w:t>
      </w:r>
      <w:r w:rsidRPr="007A63A8">
        <w:rPr>
          <w:rFonts w:ascii="Corbel" w:hAnsi="Corbel"/>
          <w:color w:val="4472C4" w:themeColor="accent1"/>
        </w:rPr>
        <w:t xml:space="preserve"> please refer to </w:t>
      </w:r>
      <w:r w:rsidRPr="007A63A8">
        <w:rPr>
          <w:rFonts w:ascii="Corbel" w:hAnsi="Corbel"/>
          <w:b/>
          <w:bCs/>
          <w:color w:val="4472C4" w:themeColor="accent1"/>
        </w:rPr>
        <w:t>Table</w:t>
      </w:r>
      <w:r w:rsidR="0018198F">
        <w:rPr>
          <w:rFonts w:ascii="Corbel" w:hAnsi="Corbel"/>
          <w:b/>
          <w:bCs/>
          <w:color w:val="4472C4" w:themeColor="accent1"/>
        </w:rPr>
        <w:t>s</w:t>
      </w:r>
      <w:r w:rsidRPr="007A63A8">
        <w:rPr>
          <w:rFonts w:ascii="Corbel" w:hAnsi="Corbel"/>
          <w:b/>
          <w:bCs/>
          <w:color w:val="4472C4" w:themeColor="accent1"/>
        </w:rPr>
        <w:t xml:space="preserve"> 1 – 3</w:t>
      </w:r>
      <w:r w:rsidRPr="007A63A8">
        <w:rPr>
          <w:rFonts w:ascii="Corbel" w:hAnsi="Corbel"/>
          <w:color w:val="4472C4" w:themeColor="accent1"/>
        </w:rPr>
        <w:t xml:space="preserve"> below.</w:t>
      </w:r>
    </w:p>
    <w:p w14:paraId="07B484F2" w14:textId="5B1C8D62" w:rsidR="009C2911" w:rsidRDefault="00D123C6" w:rsidP="009C2911">
      <w:pPr>
        <w:rPr>
          <w:rFonts w:ascii="Corbel" w:hAnsi="Corbel"/>
        </w:rPr>
      </w:pPr>
      <w:r>
        <w:rPr>
          <w:rFonts w:ascii="Corbel" w:hAnsi="Corbel"/>
        </w:rPr>
        <w:t>Table 1</w:t>
      </w:r>
    </w:p>
    <w:tbl>
      <w:tblPr>
        <w:tblStyle w:val="TableGrid"/>
        <w:tblW w:w="9356" w:type="dxa"/>
        <w:tblInd w:w="-147" w:type="dxa"/>
        <w:tblLook w:val="04A0" w:firstRow="1" w:lastRow="0" w:firstColumn="1" w:lastColumn="0" w:noHBand="0" w:noVBand="1"/>
      </w:tblPr>
      <w:tblGrid>
        <w:gridCol w:w="2594"/>
        <w:gridCol w:w="2268"/>
        <w:gridCol w:w="2228"/>
        <w:gridCol w:w="2266"/>
      </w:tblGrid>
      <w:tr w:rsidR="006A7A54" w:rsidRPr="008F1196" w14:paraId="677D1C3B" w14:textId="77777777" w:rsidTr="008C7933">
        <w:tc>
          <w:tcPr>
            <w:tcW w:w="2594" w:type="dxa"/>
          </w:tcPr>
          <w:p w14:paraId="55E22835" w14:textId="700A62E3"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 xml:space="preserve">Focus </w:t>
            </w:r>
            <w:r w:rsidR="00D77D7C">
              <w:rPr>
                <w:rFonts w:ascii="Corbel" w:hAnsi="Corbel"/>
                <w:b/>
                <w:bCs/>
                <w:color w:val="4472C4" w:themeColor="accent1"/>
              </w:rPr>
              <w:t>a</w:t>
            </w:r>
            <w:r w:rsidRPr="007A63A8">
              <w:rPr>
                <w:rFonts w:ascii="Corbel" w:hAnsi="Corbel"/>
                <w:b/>
                <w:bCs/>
                <w:color w:val="4472C4" w:themeColor="accent1"/>
              </w:rPr>
              <w:t>rea 1</w:t>
            </w:r>
          </w:p>
        </w:tc>
        <w:tc>
          <w:tcPr>
            <w:tcW w:w="6762" w:type="dxa"/>
            <w:gridSpan w:val="3"/>
            <w:vAlign w:val="bottom"/>
          </w:tcPr>
          <w:p w14:paraId="602D6D77" w14:textId="0C3FF6C6" w:rsidR="006A7A54" w:rsidRPr="007A63A8" w:rsidRDefault="00860712" w:rsidP="005D523E">
            <w:pPr>
              <w:pStyle w:val="ListParagraph"/>
              <w:spacing w:before="120" w:after="120"/>
              <w:ind w:left="0"/>
              <w:contextualSpacing w:val="0"/>
              <w:rPr>
                <w:rFonts w:ascii="Corbel" w:hAnsi="Corbel"/>
                <w:b/>
                <w:bCs/>
                <w:color w:val="4472C4" w:themeColor="accent1"/>
              </w:rPr>
            </w:pPr>
            <w:r w:rsidRPr="007A63A8">
              <w:rPr>
                <w:rFonts w:ascii="Corbel" w:hAnsi="Corbel"/>
                <w:b/>
                <w:bCs/>
                <w:color w:val="4472C4" w:themeColor="accent1"/>
              </w:rPr>
              <w:t xml:space="preserve">Informed </w:t>
            </w:r>
            <w:r w:rsidR="00D77D7C">
              <w:rPr>
                <w:rFonts w:ascii="Corbel" w:hAnsi="Corbel"/>
                <w:b/>
                <w:bCs/>
                <w:color w:val="4472C4" w:themeColor="accent1"/>
              </w:rPr>
              <w:t>t</w:t>
            </w:r>
            <w:r w:rsidR="006A7A54" w:rsidRPr="007A63A8">
              <w:rPr>
                <w:rFonts w:ascii="Corbel" w:hAnsi="Corbel"/>
                <w:b/>
                <w:bCs/>
                <w:color w:val="4472C4" w:themeColor="accent1"/>
              </w:rPr>
              <w:t xml:space="preserve">raining </w:t>
            </w:r>
            <w:r w:rsidR="00D77D7C">
              <w:rPr>
                <w:rFonts w:ascii="Corbel" w:hAnsi="Corbel"/>
                <w:b/>
                <w:bCs/>
                <w:color w:val="4472C4" w:themeColor="accent1"/>
              </w:rPr>
              <w:t>c</w:t>
            </w:r>
            <w:r w:rsidR="006A7A54" w:rsidRPr="007A63A8">
              <w:rPr>
                <w:rFonts w:ascii="Corbel" w:hAnsi="Corbel"/>
                <w:b/>
                <w:bCs/>
                <w:color w:val="4472C4" w:themeColor="accent1"/>
              </w:rPr>
              <w:t xml:space="preserve">hoices </w:t>
            </w:r>
          </w:p>
          <w:p w14:paraId="49CD63DE" w14:textId="77777777" w:rsidR="006A7A54" w:rsidRPr="007A63A8" w:rsidRDefault="006A7A54" w:rsidP="005D523E">
            <w:pPr>
              <w:pStyle w:val="ListParagraph"/>
              <w:spacing w:before="120" w:after="120"/>
              <w:ind w:left="0"/>
              <w:contextualSpacing w:val="0"/>
              <w:rPr>
                <w:rFonts w:ascii="Corbel" w:hAnsi="Corbel"/>
                <w:i/>
                <w:iCs/>
                <w:color w:val="4472C4" w:themeColor="accent1"/>
              </w:rPr>
            </w:pPr>
            <w:r w:rsidRPr="007A63A8">
              <w:rPr>
                <w:rFonts w:ascii="Corbel" w:hAnsi="Corbel"/>
                <w:i/>
                <w:iCs/>
                <w:color w:val="4472C4" w:themeColor="accent1"/>
              </w:rPr>
              <w:t>All activities under this focus area are potentially scalable</w:t>
            </w:r>
          </w:p>
        </w:tc>
      </w:tr>
      <w:tr w:rsidR="00581AC5" w:rsidRPr="008F1196" w14:paraId="46E2064E" w14:textId="77777777" w:rsidTr="008C7933">
        <w:tc>
          <w:tcPr>
            <w:tcW w:w="2594" w:type="dxa"/>
          </w:tcPr>
          <w:p w14:paraId="5C7452EB" w14:textId="025DC8E4" w:rsidR="00581AC5" w:rsidRPr="007A63A8" w:rsidRDefault="00581AC5" w:rsidP="00581AC5">
            <w:pPr>
              <w:pStyle w:val="ListParagraph"/>
              <w:ind w:left="0"/>
              <w:contextualSpacing w:val="0"/>
              <w:rPr>
                <w:rFonts w:ascii="Corbel" w:hAnsi="Corbel"/>
                <w:b/>
                <w:bCs/>
                <w:color w:val="4472C4" w:themeColor="accent1"/>
              </w:rPr>
            </w:pPr>
            <w:r w:rsidRPr="007A63A8">
              <w:rPr>
                <w:rFonts w:ascii="Corbel" w:hAnsi="Corbel"/>
                <w:b/>
                <w:bCs/>
                <w:color w:val="4472C4" w:themeColor="accent1"/>
              </w:rPr>
              <w:t>Objective</w:t>
            </w:r>
          </w:p>
        </w:tc>
        <w:tc>
          <w:tcPr>
            <w:tcW w:w="6762" w:type="dxa"/>
            <w:gridSpan w:val="3"/>
            <w:vAlign w:val="bottom"/>
          </w:tcPr>
          <w:p w14:paraId="759DEEE0" w14:textId="474191F6" w:rsidR="00581AC5" w:rsidRPr="007A63A8" w:rsidRDefault="00581AC5" w:rsidP="00581AC5">
            <w:pPr>
              <w:pStyle w:val="ListParagraph"/>
              <w:spacing w:before="120" w:after="120"/>
              <w:ind w:left="0"/>
              <w:contextualSpacing w:val="0"/>
              <w:rPr>
                <w:rFonts w:ascii="Corbel" w:hAnsi="Corbel"/>
                <w:b/>
                <w:bCs/>
                <w:color w:val="4472C4" w:themeColor="accent1"/>
              </w:rPr>
            </w:pPr>
            <w:r w:rsidRPr="007A63A8">
              <w:rPr>
                <w:rFonts w:ascii="Corbel" w:hAnsi="Corbel"/>
                <w:i/>
                <w:color w:val="4472C4" w:themeColor="accent1"/>
              </w:rPr>
              <w:t xml:space="preserve">Improved </w:t>
            </w:r>
            <w:r w:rsidR="00A63B30" w:rsidRPr="007A63A8">
              <w:rPr>
                <w:rFonts w:ascii="Corbel" w:hAnsi="Corbel"/>
                <w:i/>
                <w:iCs/>
                <w:color w:val="4472C4" w:themeColor="accent1"/>
              </w:rPr>
              <w:t>c</w:t>
            </w:r>
            <w:r w:rsidRPr="007A63A8">
              <w:rPr>
                <w:rFonts w:ascii="Corbel" w:hAnsi="Corbel"/>
                <w:i/>
                <w:iCs/>
                <w:color w:val="4472C4" w:themeColor="accent1"/>
              </w:rPr>
              <w:t xml:space="preserve">areer </w:t>
            </w:r>
            <w:r w:rsidR="00A63B30" w:rsidRPr="007A63A8">
              <w:rPr>
                <w:rFonts w:ascii="Corbel" w:hAnsi="Corbel"/>
                <w:i/>
                <w:iCs/>
                <w:color w:val="4472C4" w:themeColor="accent1"/>
              </w:rPr>
              <w:t>a</w:t>
            </w:r>
            <w:r w:rsidRPr="007A63A8">
              <w:rPr>
                <w:rFonts w:ascii="Corbel" w:hAnsi="Corbel"/>
                <w:i/>
                <w:color w:val="4472C4" w:themeColor="accent1"/>
              </w:rPr>
              <w:t xml:space="preserve">wareness and </w:t>
            </w:r>
            <w:r w:rsidR="00A63B30" w:rsidRPr="007A63A8">
              <w:rPr>
                <w:rFonts w:ascii="Corbel" w:hAnsi="Corbel"/>
                <w:i/>
                <w:iCs/>
                <w:color w:val="4472C4" w:themeColor="accent1"/>
              </w:rPr>
              <w:t>p</w:t>
            </w:r>
            <w:r w:rsidRPr="007A63A8">
              <w:rPr>
                <w:rFonts w:ascii="Corbel" w:hAnsi="Corbel"/>
                <w:i/>
                <w:iCs/>
                <w:color w:val="4472C4" w:themeColor="accent1"/>
              </w:rPr>
              <w:t>athways</w:t>
            </w:r>
            <w:r w:rsidRPr="007A63A8">
              <w:rPr>
                <w:rFonts w:ascii="Corbel" w:hAnsi="Corbel"/>
                <w:color w:val="4472C4" w:themeColor="accent1"/>
              </w:rPr>
              <w:t xml:space="preserve">: </w:t>
            </w:r>
            <w:r w:rsidR="00A63B30" w:rsidRPr="007A63A8">
              <w:rPr>
                <w:rFonts w:ascii="Corbel" w:hAnsi="Corbel"/>
                <w:color w:val="4472C4" w:themeColor="accent1"/>
              </w:rPr>
              <w:t>e</w:t>
            </w:r>
            <w:r w:rsidRPr="007A63A8">
              <w:rPr>
                <w:rFonts w:ascii="Corbel" w:hAnsi="Corbel"/>
                <w:color w:val="4472C4" w:themeColor="accent1"/>
              </w:rPr>
              <w:t>nhance student understanding of VET pathways, improve career information access, and increase engagement in VET programs, particularly among at-risk and disadvantaged cohorts</w:t>
            </w:r>
          </w:p>
        </w:tc>
      </w:tr>
      <w:tr w:rsidR="006A7A54" w:rsidRPr="008F1196" w14:paraId="62A32678" w14:textId="77777777" w:rsidTr="008C7933">
        <w:tc>
          <w:tcPr>
            <w:tcW w:w="2594" w:type="dxa"/>
          </w:tcPr>
          <w:p w14:paraId="45B0E271" w14:textId="607812AB"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 xml:space="preserve">Activity </w:t>
            </w:r>
            <w:r w:rsidR="002F6A1B" w:rsidRPr="007A63A8">
              <w:rPr>
                <w:rFonts w:ascii="Corbel" w:hAnsi="Corbel"/>
                <w:b/>
                <w:bCs/>
                <w:color w:val="4472C4" w:themeColor="accent1"/>
              </w:rPr>
              <w:t>a</w:t>
            </w:r>
            <w:r w:rsidR="00B12AE6" w:rsidRPr="007A63A8">
              <w:rPr>
                <w:rFonts w:ascii="Corbel" w:hAnsi="Corbel"/>
                <w:b/>
                <w:bCs/>
                <w:color w:val="4472C4" w:themeColor="accent1"/>
              </w:rPr>
              <w:t>nd delivery</w:t>
            </w:r>
            <w:r w:rsidRPr="007A63A8">
              <w:rPr>
                <w:rFonts w:ascii="Corbel" w:hAnsi="Corbel"/>
                <w:b/>
                <w:bCs/>
                <w:color w:val="4472C4" w:themeColor="accent1"/>
              </w:rPr>
              <w:t xml:space="preserve"> </w:t>
            </w:r>
          </w:p>
          <w:p w14:paraId="2DEBEF2E" w14:textId="77777777" w:rsidR="006A7A54" w:rsidRPr="007A63A8" w:rsidRDefault="006A7A54" w:rsidP="005D523E">
            <w:pPr>
              <w:pStyle w:val="ListParagraph"/>
              <w:ind w:left="0"/>
              <w:contextualSpacing w:val="0"/>
              <w:rPr>
                <w:rFonts w:ascii="Corbel" w:hAnsi="Corbel"/>
                <w:b/>
                <w:bCs/>
                <w:color w:val="4472C4" w:themeColor="accent1"/>
              </w:rPr>
            </w:pPr>
          </w:p>
        </w:tc>
        <w:tc>
          <w:tcPr>
            <w:tcW w:w="6762" w:type="dxa"/>
            <w:gridSpan w:val="3"/>
            <w:vAlign w:val="bottom"/>
          </w:tcPr>
          <w:p w14:paraId="4F43814A" w14:textId="0703FD61" w:rsidR="006A7A54" w:rsidRPr="00810B07" w:rsidRDefault="006A7A54" w:rsidP="00D367A8">
            <w:pPr>
              <w:pStyle w:val="ListParagraph"/>
              <w:ind w:left="0"/>
              <w:contextualSpacing w:val="0"/>
              <w:rPr>
                <w:rFonts w:ascii="Corbel" w:eastAsia="Times New Roman" w:hAnsi="Corbel" w:cs="Times New Roman"/>
                <w:color w:val="4472C4" w:themeColor="accent1"/>
                <w:kern w:val="0"/>
                <w:lang w:eastAsia="en-AU"/>
                <w14:ligatures w14:val="none"/>
              </w:rPr>
            </w:pPr>
            <w:r w:rsidRPr="00810B07">
              <w:rPr>
                <w:rFonts w:ascii="Corbel" w:eastAsia="Times New Roman" w:hAnsi="Corbel" w:cs="Times New Roman"/>
                <w:color w:val="4472C4" w:themeColor="accent1"/>
                <w:kern w:val="0"/>
                <w:lang w:eastAsia="en-AU"/>
                <w14:ligatures w14:val="none"/>
              </w:rPr>
              <w:t xml:space="preserve">Queensland will expand career exploration opportunities and improve access to VET information across all regions. Activities </w:t>
            </w:r>
            <w:r w:rsidR="00955BC1" w:rsidRPr="00810B07">
              <w:rPr>
                <w:rFonts w:ascii="Corbel" w:eastAsia="Times New Roman" w:hAnsi="Corbel" w:cs="Times New Roman"/>
                <w:color w:val="4472C4" w:themeColor="accent1"/>
                <w:kern w:val="0"/>
                <w:lang w:eastAsia="en-AU"/>
                <w14:ligatures w14:val="none"/>
              </w:rPr>
              <w:t xml:space="preserve">will </w:t>
            </w:r>
            <w:r w:rsidRPr="00810B07">
              <w:rPr>
                <w:rFonts w:ascii="Corbel" w:eastAsia="Times New Roman" w:hAnsi="Corbel" w:cs="Times New Roman"/>
                <w:color w:val="4472C4" w:themeColor="accent1"/>
                <w:kern w:val="0"/>
                <w:lang w:eastAsia="en-AU"/>
                <w14:ligatures w14:val="none"/>
              </w:rPr>
              <w:t>align with National VET Completions Taskforce Recommendations:</w:t>
            </w:r>
          </w:p>
          <w:p w14:paraId="53DA2B4E" w14:textId="27D845AD" w:rsidR="006A7A54" w:rsidRPr="00F10182" w:rsidRDefault="006A7A54" w:rsidP="00232FE1">
            <w:pPr>
              <w:pStyle w:val="ListParagraph"/>
              <w:numPr>
                <w:ilvl w:val="1"/>
                <w:numId w:val="37"/>
              </w:numPr>
              <w:rPr>
                <w:rFonts w:ascii="Corbel" w:eastAsia="Times New Roman" w:hAnsi="Corbel" w:cs="Times New Roman"/>
                <w:color w:val="4472C4" w:themeColor="accent1"/>
                <w:kern w:val="0"/>
                <w:lang w:eastAsia="en-AU"/>
                <w14:ligatures w14:val="none"/>
              </w:rPr>
            </w:pPr>
            <w:r w:rsidRPr="007F6803">
              <w:rPr>
                <w:rFonts w:ascii="Corbel" w:eastAsia="Times New Roman" w:hAnsi="Corbel" w:cs="Times New Roman"/>
                <w:color w:val="4472C4" w:themeColor="accent1"/>
                <w:kern w:val="0"/>
                <w:lang w:eastAsia="en-AU"/>
                <w14:ligatures w14:val="none"/>
              </w:rPr>
              <w:t>New</w:t>
            </w:r>
            <w:r w:rsidRPr="00810B07">
              <w:rPr>
                <w:rFonts w:ascii="Corbel" w:eastAsia="Times New Roman" w:hAnsi="Corbel" w:cs="Times New Roman"/>
                <w:color w:val="4472C4" w:themeColor="accent1"/>
                <w:kern w:val="0"/>
                <w:lang w:eastAsia="en-AU"/>
                <w14:ligatures w14:val="none"/>
              </w:rPr>
              <w:t xml:space="preserve"> </w:t>
            </w:r>
            <w:r w:rsidR="007E2164" w:rsidRPr="00810B07">
              <w:rPr>
                <w:rFonts w:ascii="Corbel" w:eastAsia="Times New Roman" w:hAnsi="Corbel" w:cs="Times New Roman"/>
                <w:color w:val="4472C4" w:themeColor="accent1"/>
                <w:kern w:val="0"/>
                <w:lang w:eastAsia="en-AU"/>
                <w14:ligatures w14:val="none"/>
              </w:rPr>
              <w:t>s</w:t>
            </w:r>
            <w:r w:rsidRPr="00810B07">
              <w:rPr>
                <w:rFonts w:ascii="Corbel" w:eastAsia="Times New Roman" w:hAnsi="Corbel" w:cs="Times New Roman"/>
                <w:color w:val="4472C4" w:themeColor="accent1"/>
                <w:kern w:val="0"/>
                <w:lang w:eastAsia="en-AU"/>
                <w14:ligatures w14:val="none"/>
              </w:rPr>
              <w:t>kills web presence</w:t>
            </w:r>
            <w:r w:rsidRPr="00F10182">
              <w:rPr>
                <w:rFonts w:ascii="Corbel" w:eastAsia="Times New Roman" w:hAnsi="Corbel" w:cs="Times New Roman"/>
                <w:color w:val="4472C4" w:themeColor="accent1"/>
                <w:kern w:val="0"/>
                <w:lang w:eastAsia="en-AU"/>
                <w14:ligatures w14:val="none"/>
              </w:rPr>
              <w:t xml:space="preserve"> – </w:t>
            </w:r>
            <w:r w:rsidR="003E093F" w:rsidRPr="00F10182">
              <w:rPr>
                <w:rFonts w:ascii="Corbel" w:eastAsia="Times New Roman" w:hAnsi="Corbel" w:cs="Times New Roman"/>
                <w:color w:val="4472C4" w:themeColor="accent1"/>
                <w:kern w:val="0"/>
                <w:lang w:eastAsia="en-AU"/>
                <w14:ligatures w14:val="none"/>
              </w:rPr>
              <w:t xml:space="preserve">A </w:t>
            </w:r>
            <w:r w:rsidR="008509E6" w:rsidRPr="00F10182">
              <w:rPr>
                <w:rFonts w:ascii="Corbel" w:eastAsia="Times New Roman" w:hAnsi="Corbel" w:cs="Times New Roman"/>
                <w:color w:val="4472C4" w:themeColor="accent1"/>
                <w:kern w:val="0"/>
                <w:lang w:eastAsia="en-AU"/>
                <w14:ligatures w14:val="none"/>
              </w:rPr>
              <w:t xml:space="preserve">single website experience </w:t>
            </w:r>
            <w:r w:rsidR="001446EC" w:rsidRPr="00F10182">
              <w:rPr>
                <w:rFonts w:ascii="Corbel" w:eastAsia="Times New Roman" w:hAnsi="Corbel" w:cs="Times New Roman"/>
                <w:color w:val="4472C4" w:themeColor="accent1"/>
                <w:kern w:val="0"/>
                <w:lang w:eastAsia="en-AU"/>
                <w14:ligatures w14:val="none"/>
              </w:rPr>
              <w:t>that helps all</w:t>
            </w:r>
            <w:r w:rsidR="008509E6" w:rsidRPr="00F10182">
              <w:rPr>
                <w:rFonts w:ascii="Corbel" w:eastAsia="Times New Roman" w:hAnsi="Corbel" w:cs="Times New Roman"/>
                <w:color w:val="4472C4" w:themeColor="accent1"/>
                <w:kern w:val="0"/>
                <w:lang w:eastAsia="en-AU"/>
                <w14:ligatures w14:val="none"/>
              </w:rPr>
              <w:t xml:space="preserve"> Queenslanders, including those in rural and remote areas</w:t>
            </w:r>
            <w:r w:rsidR="0027143C" w:rsidRPr="00F10182">
              <w:rPr>
                <w:rFonts w:ascii="Corbel" w:eastAsia="Times New Roman" w:hAnsi="Corbel" w:cs="Times New Roman"/>
                <w:color w:val="4472C4" w:themeColor="accent1"/>
                <w:kern w:val="0"/>
                <w:lang w:eastAsia="en-AU"/>
                <w14:ligatures w14:val="none"/>
              </w:rPr>
              <w:t xml:space="preserve">, make good career </w:t>
            </w:r>
            <w:r w:rsidR="004E3F38" w:rsidRPr="00F10182">
              <w:rPr>
                <w:rFonts w:ascii="Corbel" w:eastAsia="Times New Roman" w:hAnsi="Corbel" w:cs="Times New Roman"/>
                <w:color w:val="4472C4" w:themeColor="accent1"/>
                <w:kern w:val="0"/>
                <w:lang w:eastAsia="en-AU"/>
                <w14:ligatures w14:val="none"/>
              </w:rPr>
              <w:t>and training choices</w:t>
            </w:r>
            <w:r w:rsidR="00A04F52" w:rsidRPr="00F10182">
              <w:rPr>
                <w:rFonts w:ascii="Corbel" w:eastAsia="Times New Roman" w:hAnsi="Corbel" w:cs="Times New Roman"/>
                <w:color w:val="4472C4" w:themeColor="accent1"/>
                <w:kern w:val="0"/>
                <w:lang w:eastAsia="en-AU"/>
                <w14:ligatures w14:val="none"/>
              </w:rPr>
              <w:t xml:space="preserve">. </w:t>
            </w:r>
            <w:r w:rsidR="00EB126D" w:rsidRPr="00F10182">
              <w:rPr>
                <w:rFonts w:ascii="Corbel" w:eastAsia="Times New Roman" w:hAnsi="Corbel" w:cs="Times New Roman"/>
                <w:color w:val="4472C4" w:themeColor="accent1"/>
                <w:kern w:val="0"/>
                <w:lang w:eastAsia="en-AU"/>
                <w14:ligatures w14:val="none"/>
              </w:rPr>
              <w:t xml:space="preserve">Designed </w:t>
            </w:r>
            <w:r w:rsidR="00C341BD" w:rsidRPr="00F10182">
              <w:rPr>
                <w:rFonts w:ascii="Corbel" w:eastAsia="Times New Roman" w:hAnsi="Corbel" w:cs="Times New Roman"/>
                <w:color w:val="4472C4" w:themeColor="accent1"/>
                <w:kern w:val="0"/>
                <w:lang w:eastAsia="en-AU"/>
                <w14:ligatures w14:val="none"/>
              </w:rPr>
              <w:t>in a</w:t>
            </w:r>
            <w:r w:rsidR="005F0B98" w:rsidRPr="00F10182">
              <w:rPr>
                <w:rFonts w:ascii="Corbel" w:eastAsia="Times New Roman" w:hAnsi="Corbel" w:cs="Times New Roman"/>
                <w:color w:val="4472C4" w:themeColor="accent1"/>
                <w:kern w:val="0"/>
                <w:lang w:eastAsia="en-AU"/>
                <w14:ligatures w14:val="none"/>
              </w:rPr>
              <w:t xml:space="preserve"> user-centred</w:t>
            </w:r>
            <w:r w:rsidR="00EF2CCF" w:rsidRPr="00F10182">
              <w:rPr>
                <w:rFonts w:ascii="Corbel" w:eastAsia="Times New Roman" w:hAnsi="Corbel" w:cs="Times New Roman"/>
                <w:color w:val="4472C4" w:themeColor="accent1"/>
                <w:kern w:val="0"/>
                <w:lang w:eastAsia="en-AU"/>
                <w14:ligatures w14:val="none"/>
              </w:rPr>
              <w:t xml:space="preserve"> </w:t>
            </w:r>
            <w:r w:rsidR="00FD568D" w:rsidRPr="00F10182">
              <w:rPr>
                <w:rFonts w:ascii="Corbel" w:eastAsia="Times New Roman" w:hAnsi="Corbel" w:cs="Times New Roman"/>
                <w:color w:val="4472C4" w:themeColor="accent1"/>
                <w:kern w:val="0"/>
                <w:lang w:eastAsia="en-AU"/>
                <w14:ligatures w14:val="none"/>
              </w:rPr>
              <w:t xml:space="preserve">and </w:t>
            </w:r>
            <w:r w:rsidR="00A32A88" w:rsidRPr="00F10182">
              <w:rPr>
                <w:rFonts w:ascii="Corbel" w:eastAsia="Times New Roman" w:hAnsi="Corbel" w:cs="Times New Roman"/>
                <w:color w:val="4472C4" w:themeColor="accent1"/>
                <w:kern w:val="0"/>
                <w:lang w:eastAsia="en-AU"/>
                <w14:ligatures w14:val="none"/>
              </w:rPr>
              <w:t xml:space="preserve">collaborative way with </w:t>
            </w:r>
            <w:r w:rsidR="00C73D56" w:rsidRPr="00F10182">
              <w:rPr>
                <w:rFonts w:ascii="Corbel" w:eastAsia="Times New Roman" w:hAnsi="Corbel" w:cs="Times New Roman"/>
                <w:color w:val="4472C4" w:themeColor="accent1"/>
                <w:kern w:val="0"/>
                <w:lang w:eastAsia="en-AU"/>
                <w14:ligatures w14:val="none"/>
              </w:rPr>
              <w:t>content</w:t>
            </w:r>
            <w:r w:rsidR="00A32A88" w:rsidRPr="00F10182">
              <w:rPr>
                <w:rFonts w:ascii="Corbel" w:eastAsia="Times New Roman" w:hAnsi="Corbel" w:cs="Times New Roman"/>
                <w:color w:val="4472C4" w:themeColor="accent1"/>
                <w:kern w:val="0"/>
                <w:lang w:eastAsia="en-AU"/>
                <w14:ligatures w14:val="none"/>
              </w:rPr>
              <w:t xml:space="preserve"> partners</w:t>
            </w:r>
            <w:r w:rsidR="002878EB" w:rsidRPr="00F10182">
              <w:rPr>
                <w:rFonts w:ascii="Corbel" w:eastAsia="Times New Roman" w:hAnsi="Corbel" w:cs="Times New Roman"/>
                <w:color w:val="4472C4" w:themeColor="accent1"/>
                <w:kern w:val="0"/>
                <w:lang w:eastAsia="en-AU"/>
                <w14:ligatures w14:val="none"/>
              </w:rPr>
              <w:t xml:space="preserve">, </w:t>
            </w:r>
            <w:r w:rsidR="00EC3277" w:rsidRPr="00F10182">
              <w:rPr>
                <w:rFonts w:ascii="Corbel" w:eastAsia="Times New Roman" w:hAnsi="Corbel" w:cs="Times New Roman"/>
                <w:color w:val="4472C4" w:themeColor="accent1"/>
                <w:kern w:val="0"/>
                <w:lang w:eastAsia="en-AU"/>
                <w14:ligatures w14:val="none"/>
              </w:rPr>
              <w:t xml:space="preserve">the </w:t>
            </w:r>
            <w:r w:rsidR="00121DDD" w:rsidRPr="00F10182">
              <w:rPr>
                <w:rFonts w:ascii="Corbel" w:eastAsia="Times New Roman" w:hAnsi="Corbel" w:cs="Times New Roman"/>
                <w:color w:val="4472C4" w:themeColor="accent1"/>
                <w:kern w:val="0"/>
                <w:lang w:eastAsia="en-AU"/>
                <w14:ligatures w14:val="none"/>
              </w:rPr>
              <w:t xml:space="preserve">site </w:t>
            </w:r>
            <w:r w:rsidR="00136AF6" w:rsidRPr="00F10182">
              <w:rPr>
                <w:rFonts w:ascii="Corbel" w:eastAsia="Times New Roman" w:hAnsi="Corbel" w:cs="Times New Roman"/>
                <w:color w:val="4472C4" w:themeColor="accent1"/>
                <w:kern w:val="0"/>
                <w:lang w:eastAsia="en-AU"/>
                <w14:ligatures w14:val="none"/>
              </w:rPr>
              <w:t xml:space="preserve">will </w:t>
            </w:r>
            <w:r w:rsidR="005E7015" w:rsidRPr="00F10182">
              <w:rPr>
                <w:rFonts w:ascii="Corbel" w:eastAsia="Times New Roman" w:hAnsi="Corbel" w:cs="Times New Roman"/>
                <w:color w:val="4472C4" w:themeColor="accent1"/>
                <w:kern w:val="0"/>
                <w:lang w:eastAsia="en-AU"/>
                <w14:ligatures w14:val="none"/>
              </w:rPr>
              <w:t xml:space="preserve">deliver </w:t>
            </w:r>
            <w:r w:rsidR="00121DDD" w:rsidRPr="00F10182">
              <w:rPr>
                <w:rFonts w:ascii="Corbel" w:eastAsia="Times New Roman" w:hAnsi="Corbel" w:cs="Times New Roman"/>
                <w:color w:val="4472C4" w:themeColor="accent1"/>
                <w:kern w:val="0"/>
                <w:lang w:eastAsia="en-AU"/>
                <w14:ligatures w14:val="none"/>
              </w:rPr>
              <w:t xml:space="preserve">relevant </w:t>
            </w:r>
            <w:r w:rsidR="00136AF6" w:rsidRPr="00F10182">
              <w:rPr>
                <w:rFonts w:ascii="Corbel" w:eastAsia="Times New Roman" w:hAnsi="Corbel" w:cs="Times New Roman"/>
                <w:color w:val="4472C4" w:themeColor="accent1"/>
                <w:kern w:val="0"/>
                <w:lang w:eastAsia="en-AU"/>
                <w14:ligatures w14:val="none"/>
              </w:rPr>
              <w:t xml:space="preserve">and </w:t>
            </w:r>
            <w:r w:rsidR="00121DDD" w:rsidRPr="00F10182">
              <w:rPr>
                <w:rFonts w:ascii="Corbel" w:eastAsia="Times New Roman" w:hAnsi="Corbel" w:cs="Times New Roman"/>
                <w:color w:val="4472C4" w:themeColor="accent1"/>
                <w:kern w:val="0"/>
                <w:lang w:eastAsia="en-AU"/>
                <w14:ligatures w14:val="none"/>
              </w:rPr>
              <w:t xml:space="preserve">up-to-date information </w:t>
            </w:r>
            <w:r w:rsidR="00F80770" w:rsidRPr="00F10182">
              <w:rPr>
                <w:rFonts w:ascii="Corbel" w:eastAsia="Times New Roman" w:hAnsi="Corbel" w:cs="Times New Roman"/>
                <w:color w:val="4472C4" w:themeColor="accent1"/>
                <w:kern w:val="0"/>
                <w:lang w:eastAsia="en-AU"/>
                <w14:ligatures w14:val="none"/>
              </w:rPr>
              <w:t xml:space="preserve">about </w:t>
            </w:r>
            <w:r w:rsidR="005E7015" w:rsidRPr="00F10182">
              <w:rPr>
                <w:rFonts w:ascii="Corbel" w:eastAsia="Times New Roman" w:hAnsi="Corbel" w:cs="Times New Roman"/>
                <w:color w:val="4472C4" w:themeColor="accent1"/>
                <w:kern w:val="0"/>
                <w:lang w:eastAsia="en-AU"/>
                <w14:ligatures w14:val="none"/>
              </w:rPr>
              <w:t xml:space="preserve">local </w:t>
            </w:r>
            <w:r w:rsidR="00121DDD" w:rsidRPr="00F10182">
              <w:rPr>
                <w:rFonts w:ascii="Corbel" w:eastAsia="Times New Roman" w:hAnsi="Corbel" w:cs="Times New Roman"/>
                <w:color w:val="4472C4" w:themeColor="accent1"/>
                <w:kern w:val="0"/>
                <w:lang w:eastAsia="en-AU"/>
                <w14:ligatures w14:val="none"/>
              </w:rPr>
              <w:t xml:space="preserve">jobs in demand, training pathways and </w:t>
            </w:r>
            <w:r w:rsidR="00E570C4">
              <w:rPr>
                <w:rFonts w:ascii="Corbel" w:eastAsia="Times New Roman" w:hAnsi="Corbel" w:cs="Times New Roman"/>
                <w:color w:val="4472C4" w:themeColor="accent1"/>
                <w:kern w:val="0"/>
                <w:lang w:eastAsia="en-AU"/>
                <w14:ligatures w14:val="none"/>
              </w:rPr>
              <w:t xml:space="preserve">available </w:t>
            </w:r>
            <w:r w:rsidR="00121DDD" w:rsidRPr="00F10182">
              <w:rPr>
                <w:rFonts w:ascii="Corbel" w:eastAsia="Times New Roman" w:hAnsi="Corbel" w:cs="Times New Roman"/>
                <w:color w:val="4472C4" w:themeColor="accent1"/>
                <w:kern w:val="0"/>
                <w:lang w:eastAsia="en-AU"/>
                <w14:ligatures w14:val="none"/>
              </w:rPr>
              <w:t>support, including funded options, in a</w:t>
            </w:r>
            <w:r w:rsidR="002E4A90" w:rsidRPr="00810B07">
              <w:rPr>
                <w:rFonts w:ascii="Corbel" w:eastAsia="Times New Roman" w:hAnsi="Corbel" w:cs="Times New Roman"/>
                <w:color w:val="4472C4" w:themeColor="accent1"/>
                <w:kern w:val="0"/>
                <w:lang w:eastAsia="en-AU"/>
                <w14:ligatures w14:val="none"/>
              </w:rPr>
              <w:t xml:space="preserve"> clearer </w:t>
            </w:r>
            <w:r w:rsidR="003258BD" w:rsidRPr="00810B07">
              <w:rPr>
                <w:rFonts w:ascii="Corbel" w:eastAsia="Times New Roman" w:hAnsi="Corbel" w:cs="Times New Roman"/>
                <w:color w:val="4472C4" w:themeColor="accent1"/>
                <w:kern w:val="0"/>
                <w:lang w:eastAsia="en-AU"/>
                <w14:ligatures w14:val="none"/>
              </w:rPr>
              <w:t xml:space="preserve">and more </w:t>
            </w:r>
            <w:r w:rsidR="007712AE" w:rsidRPr="00F10182">
              <w:rPr>
                <w:rFonts w:ascii="Corbel" w:eastAsia="Times New Roman" w:hAnsi="Corbel" w:cs="Times New Roman"/>
                <w:color w:val="4472C4" w:themeColor="accent1"/>
                <w:kern w:val="0"/>
                <w:lang w:eastAsia="en-AU"/>
                <w14:ligatures w14:val="none"/>
              </w:rPr>
              <w:t>user-friendly</w:t>
            </w:r>
            <w:r w:rsidR="002E4A90" w:rsidRPr="00F10182">
              <w:rPr>
                <w:rFonts w:ascii="Corbel" w:eastAsia="Times New Roman" w:hAnsi="Corbel" w:cs="Times New Roman"/>
                <w:color w:val="4472C4" w:themeColor="accent1"/>
                <w:kern w:val="0"/>
                <w:lang w:eastAsia="en-AU"/>
                <w14:ligatures w14:val="none"/>
              </w:rPr>
              <w:t xml:space="preserve"> wa</w:t>
            </w:r>
            <w:r w:rsidR="003258BD" w:rsidRPr="00F10182">
              <w:rPr>
                <w:rFonts w:ascii="Corbel" w:eastAsia="Times New Roman" w:hAnsi="Corbel" w:cs="Times New Roman"/>
                <w:color w:val="4472C4" w:themeColor="accent1"/>
                <w:kern w:val="0"/>
                <w:lang w:eastAsia="en-AU"/>
                <w14:ligatures w14:val="none"/>
              </w:rPr>
              <w:t>y</w:t>
            </w:r>
            <w:r w:rsidR="00964B8D" w:rsidRPr="00F10182">
              <w:rPr>
                <w:rFonts w:ascii="Corbel" w:eastAsia="Times New Roman" w:hAnsi="Corbel" w:cs="Times New Roman"/>
                <w:color w:val="4472C4" w:themeColor="accent1"/>
                <w:kern w:val="0"/>
                <w:lang w:eastAsia="en-AU"/>
                <w14:ligatures w14:val="none"/>
              </w:rPr>
              <w:t xml:space="preserve"> for Queenslande</w:t>
            </w:r>
            <w:r w:rsidR="000C443B" w:rsidRPr="00F10182">
              <w:rPr>
                <w:rFonts w:ascii="Corbel" w:eastAsia="Times New Roman" w:hAnsi="Corbel" w:cs="Times New Roman"/>
                <w:color w:val="4472C4" w:themeColor="accent1"/>
                <w:kern w:val="0"/>
                <w:lang w:eastAsia="en-AU"/>
                <w14:ligatures w14:val="none"/>
              </w:rPr>
              <w:t>rs</w:t>
            </w:r>
            <w:r w:rsidR="00B332CD" w:rsidRPr="00F10182">
              <w:rPr>
                <w:rFonts w:ascii="Corbel" w:eastAsia="Times New Roman" w:hAnsi="Corbel" w:cs="Times New Roman"/>
                <w:color w:val="4472C4" w:themeColor="accent1"/>
                <w:kern w:val="0"/>
                <w:lang w:eastAsia="en-AU"/>
                <w14:ligatures w14:val="none"/>
              </w:rPr>
              <w:t>.</w:t>
            </w:r>
            <w:r w:rsidR="00F10182" w:rsidRPr="00F10182">
              <w:rPr>
                <w:rFonts w:ascii="Corbel" w:eastAsia="Times New Roman" w:hAnsi="Corbel" w:cs="Times New Roman"/>
                <w:color w:val="4472C4" w:themeColor="accent1"/>
                <w:kern w:val="0"/>
                <w:lang w:eastAsia="en-AU"/>
                <w14:ligatures w14:val="none"/>
              </w:rPr>
              <w:t xml:space="preserve"> </w:t>
            </w:r>
            <w:r w:rsidRPr="00F10182">
              <w:rPr>
                <w:rFonts w:ascii="Corbel" w:eastAsia="Times New Roman" w:hAnsi="Corbel" w:cs="Times New Roman"/>
                <w:color w:val="4472C4" w:themeColor="accent1"/>
                <w:kern w:val="0"/>
                <w:lang w:eastAsia="en-AU"/>
                <w14:ligatures w14:val="none"/>
              </w:rPr>
              <w:t xml:space="preserve">Aligns with </w:t>
            </w:r>
            <w:r w:rsidRPr="00810B07">
              <w:rPr>
                <w:rFonts w:ascii="Corbel" w:eastAsia="Times New Roman" w:hAnsi="Corbel" w:cs="Times New Roman"/>
                <w:color w:val="4472C4" w:themeColor="accent1"/>
                <w:kern w:val="0"/>
                <w:lang w:eastAsia="en-AU"/>
                <w14:ligatures w14:val="none"/>
              </w:rPr>
              <w:t xml:space="preserve">Taskforce </w:t>
            </w:r>
            <w:r w:rsidRPr="00F10182">
              <w:rPr>
                <w:rFonts w:ascii="Corbel" w:eastAsia="Times New Roman" w:hAnsi="Corbel" w:cs="Times New Roman"/>
                <w:color w:val="4472C4" w:themeColor="accent1"/>
                <w:kern w:val="0"/>
                <w:lang w:eastAsia="en-AU"/>
                <w14:ligatures w14:val="none"/>
              </w:rPr>
              <w:t>Recommendations: 1, 5, 6, 10</w:t>
            </w:r>
          </w:p>
          <w:p w14:paraId="56DAA820" w14:textId="13CB2E8E" w:rsidR="005704D6" w:rsidRPr="00810B07" w:rsidRDefault="004E1429" w:rsidP="00810B07">
            <w:pPr>
              <w:pStyle w:val="ListParagraph"/>
              <w:numPr>
                <w:ilvl w:val="0"/>
                <w:numId w:val="37"/>
              </w:numPr>
              <w:rPr>
                <w:rFonts w:ascii="Corbel" w:eastAsia="Times New Roman" w:hAnsi="Corbel" w:cs="Times New Roman"/>
                <w:color w:val="4472C4" w:themeColor="accent1"/>
                <w:kern w:val="0"/>
                <w:lang w:eastAsia="en-AU"/>
                <w14:ligatures w14:val="none"/>
              </w:rPr>
            </w:pPr>
            <w:r w:rsidRPr="00810B07">
              <w:rPr>
                <w:rFonts w:ascii="Corbel" w:eastAsia="Times New Roman" w:hAnsi="Corbel" w:cs="Times New Roman"/>
                <w:color w:val="4472C4" w:themeColor="accent1"/>
                <w:kern w:val="0"/>
                <w:lang w:eastAsia="en-AU"/>
                <w14:ligatures w14:val="none"/>
              </w:rPr>
              <w:t>First</w:t>
            </w:r>
            <w:r w:rsidR="006A7A54" w:rsidRPr="00810B07">
              <w:rPr>
                <w:rFonts w:ascii="Corbel" w:eastAsia="Times New Roman" w:hAnsi="Corbel" w:cs="Times New Roman"/>
                <w:color w:val="4472C4" w:themeColor="accent1"/>
                <w:kern w:val="0"/>
                <w:lang w:eastAsia="en-AU"/>
                <w14:ligatures w14:val="none"/>
              </w:rPr>
              <w:t xml:space="preserve"> </w:t>
            </w:r>
            <w:r w:rsidR="007E2164" w:rsidRPr="00810B07">
              <w:rPr>
                <w:rFonts w:ascii="Corbel" w:eastAsia="Times New Roman" w:hAnsi="Corbel" w:cs="Times New Roman"/>
                <w:color w:val="4472C4" w:themeColor="accent1"/>
                <w:kern w:val="0"/>
                <w:lang w:eastAsia="en-AU"/>
                <w14:ligatures w14:val="none"/>
              </w:rPr>
              <w:t>c</w:t>
            </w:r>
            <w:r w:rsidR="006A7A54" w:rsidRPr="00810B07">
              <w:rPr>
                <w:rFonts w:ascii="Corbel" w:eastAsia="Times New Roman" w:hAnsi="Corbel" w:cs="Times New Roman"/>
                <w:color w:val="4472C4" w:themeColor="accent1"/>
                <w:kern w:val="0"/>
                <w:lang w:eastAsia="en-AU"/>
                <w14:ligatures w14:val="none"/>
              </w:rPr>
              <w:t xml:space="preserve">ustomer </w:t>
            </w:r>
            <w:r w:rsidR="007E2164" w:rsidRPr="00810B07">
              <w:rPr>
                <w:rFonts w:ascii="Corbel" w:eastAsia="Times New Roman" w:hAnsi="Corbel" w:cs="Times New Roman"/>
                <w:color w:val="4472C4" w:themeColor="accent1"/>
                <w:kern w:val="0"/>
                <w:lang w:eastAsia="en-AU"/>
                <w14:ligatures w14:val="none"/>
              </w:rPr>
              <w:t>e</w:t>
            </w:r>
            <w:r w:rsidR="006A7A54" w:rsidRPr="00810B07">
              <w:rPr>
                <w:rFonts w:ascii="Corbel" w:eastAsia="Times New Roman" w:hAnsi="Corbel" w:cs="Times New Roman"/>
                <w:color w:val="4472C4" w:themeColor="accent1"/>
                <w:kern w:val="0"/>
                <w:lang w:eastAsia="en-AU"/>
                <w14:ligatures w14:val="none"/>
              </w:rPr>
              <w:t>xperience</w:t>
            </w:r>
            <w:r w:rsidR="00D51D2F" w:rsidRPr="00810B07">
              <w:rPr>
                <w:rFonts w:ascii="Corbel" w:eastAsia="Times New Roman" w:hAnsi="Corbel" w:cs="Times New Roman"/>
                <w:color w:val="4472C4" w:themeColor="accent1"/>
                <w:kern w:val="0"/>
                <w:lang w:eastAsia="en-AU"/>
                <w14:ligatures w14:val="none"/>
              </w:rPr>
              <w:t xml:space="preserve"> (CX)</w:t>
            </w:r>
            <w:r w:rsidR="006A7A54" w:rsidRPr="00810B07">
              <w:rPr>
                <w:rFonts w:ascii="Corbel" w:eastAsia="Times New Roman" w:hAnsi="Corbel" w:cs="Times New Roman"/>
                <w:color w:val="4472C4" w:themeColor="accent1"/>
                <w:kern w:val="0"/>
                <w:lang w:eastAsia="en-AU"/>
                <w14:ligatures w14:val="none"/>
              </w:rPr>
              <w:t xml:space="preserve"> </w:t>
            </w:r>
            <w:r w:rsidR="007E2164" w:rsidRPr="00810B07">
              <w:rPr>
                <w:rFonts w:ascii="Corbel" w:eastAsia="Times New Roman" w:hAnsi="Corbel" w:cs="Times New Roman"/>
                <w:color w:val="4472C4" w:themeColor="accent1"/>
                <w:kern w:val="0"/>
                <w:lang w:eastAsia="en-AU"/>
                <w14:ligatures w14:val="none"/>
              </w:rPr>
              <w:t>s</w:t>
            </w:r>
            <w:r w:rsidR="006A7A54" w:rsidRPr="00810B07">
              <w:rPr>
                <w:rFonts w:ascii="Corbel" w:eastAsia="Times New Roman" w:hAnsi="Corbel" w:cs="Times New Roman"/>
                <w:color w:val="4472C4" w:themeColor="accent1"/>
                <w:kern w:val="0"/>
                <w:lang w:eastAsia="en-AU"/>
                <w14:ligatures w14:val="none"/>
              </w:rPr>
              <w:t xml:space="preserve">trategy </w:t>
            </w:r>
            <w:r w:rsidR="006A7A54" w:rsidRPr="007A63A8">
              <w:rPr>
                <w:rFonts w:ascii="Corbel" w:eastAsia="Times New Roman" w:hAnsi="Corbel" w:cs="Times New Roman"/>
                <w:color w:val="4472C4" w:themeColor="accent1"/>
                <w:kern w:val="0"/>
                <w:lang w:eastAsia="en-AU"/>
                <w14:ligatures w14:val="none"/>
              </w:rPr>
              <w:t xml:space="preserve">– </w:t>
            </w:r>
            <w:r w:rsidR="00D75D1C">
              <w:rPr>
                <w:rFonts w:ascii="Corbel" w:eastAsia="Times New Roman" w:hAnsi="Corbel" w:cs="Times New Roman"/>
                <w:color w:val="4472C4" w:themeColor="accent1"/>
                <w:kern w:val="0"/>
                <w:lang w:eastAsia="en-AU"/>
                <w14:ligatures w14:val="none"/>
              </w:rPr>
              <w:t>Making it eas</w:t>
            </w:r>
            <w:r>
              <w:rPr>
                <w:rFonts w:ascii="Corbel" w:eastAsia="Times New Roman" w:hAnsi="Corbel" w:cs="Times New Roman"/>
                <w:color w:val="4472C4" w:themeColor="accent1"/>
                <w:kern w:val="0"/>
                <w:lang w:eastAsia="en-AU"/>
                <w14:ligatures w14:val="none"/>
              </w:rPr>
              <w:t xml:space="preserve">ier for </w:t>
            </w:r>
            <w:r w:rsidR="00797A00">
              <w:rPr>
                <w:rFonts w:ascii="Corbel" w:eastAsia="Times New Roman" w:hAnsi="Corbel" w:cs="Times New Roman"/>
                <w:color w:val="4472C4" w:themeColor="accent1"/>
                <w:kern w:val="0"/>
                <w:lang w:eastAsia="en-AU"/>
                <w14:ligatures w14:val="none"/>
              </w:rPr>
              <w:t>Queenslanders</w:t>
            </w:r>
            <w:r w:rsidR="00D75D1C">
              <w:rPr>
                <w:rFonts w:ascii="Corbel" w:eastAsia="Times New Roman" w:hAnsi="Corbel" w:cs="Times New Roman"/>
                <w:color w:val="4472C4" w:themeColor="accent1"/>
                <w:kern w:val="0"/>
                <w:lang w:eastAsia="en-AU"/>
                <w14:ligatures w14:val="none"/>
              </w:rPr>
              <w:t xml:space="preserve"> to access </w:t>
            </w:r>
            <w:r w:rsidR="00A00341">
              <w:rPr>
                <w:rFonts w:ascii="Corbel" w:eastAsia="Times New Roman" w:hAnsi="Corbel" w:cs="Times New Roman"/>
                <w:color w:val="4472C4" w:themeColor="accent1"/>
                <w:kern w:val="0"/>
                <w:lang w:eastAsia="en-AU"/>
                <w14:ligatures w14:val="none"/>
              </w:rPr>
              <w:t>information and help from</w:t>
            </w:r>
            <w:r w:rsidR="00B13D09">
              <w:rPr>
                <w:rFonts w:ascii="Corbel" w:eastAsia="Times New Roman" w:hAnsi="Corbel" w:cs="Times New Roman"/>
                <w:color w:val="4472C4" w:themeColor="accent1"/>
                <w:kern w:val="0"/>
                <w:lang w:eastAsia="en-AU"/>
                <w14:ligatures w14:val="none"/>
              </w:rPr>
              <w:t xml:space="preserve"> </w:t>
            </w:r>
            <w:r w:rsidR="00A00341">
              <w:rPr>
                <w:rFonts w:ascii="Corbel" w:eastAsia="Times New Roman" w:hAnsi="Corbel" w:cs="Times New Roman"/>
                <w:color w:val="4472C4" w:themeColor="accent1"/>
                <w:kern w:val="0"/>
                <w:lang w:eastAsia="en-AU"/>
                <w14:ligatures w14:val="none"/>
              </w:rPr>
              <w:t xml:space="preserve">government </w:t>
            </w:r>
            <w:r w:rsidR="00B13D09">
              <w:rPr>
                <w:rFonts w:ascii="Corbel" w:eastAsia="Times New Roman" w:hAnsi="Corbel" w:cs="Times New Roman"/>
                <w:color w:val="4472C4" w:themeColor="accent1"/>
                <w:kern w:val="0"/>
                <w:lang w:eastAsia="en-AU"/>
                <w14:ligatures w14:val="none"/>
              </w:rPr>
              <w:t xml:space="preserve">at moments that matter </w:t>
            </w:r>
            <w:r w:rsidR="00A00341">
              <w:rPr>
                <w:rFonts w:ascii="Corbel" w:eastAsia="Times New Roman" w:hAnsi="Corbel" w:cs="Times New Roman"/>
                <w:color w:val="4472C4" w:themeColor="accent1"/>
                <w:kern w:val="0"/>
                <w:lang w:eastAsia="en-AU"/>
                <w14:ligatures w14:val="none"/>
              </w:rPr>
              <w:t>across the</w:t>
            </w:r>
            <w:r w:rsidR="00A36574">
              <w:rPr>
                <w:rFonts w:ascii="Corbel" w:eastAsia="Times New Roman" w:hAnsi="Corbel" w:cs="Times New Roman"/>
                <w:color w:val="4472C4" w:themeColor="accent1"/>
                <w:kern w:val="0"/>
                <w:lang w:eastAsia="en-AU"/>
                <w14:ligatures w14:val="none"/>
              </w:rPr>
              <w:t xml:space="preserve"> </w:t>
            </w:r>
            <w:r w:rsidR="00B13D09">
              <w:rPr>
                <w:rFonts w:ascii="Corbel" w:eastAsia="Times New Roman" w:hAnsi="Corbel" w:cs="Times New Roman"/>
                <w:color w:val="4472C4" w:themeColor="accent1"/>
                <w:kern w:val="0"/>
                <w:lang w:eastAsia="en-AU"/>
                <w14:ligatures w14:val="none"/>
              </w:rPr>
              <w:t xml:space="preserve">VET </w:t>
            </w:r>
            <w:r w:rsidR="00921D8F">
              <w:rPr>
                <w:rFonts w:ascii="Corbel" w:eastAsia="Times New Roman" w:hAnsi="Corbel" w:cs="Times New Roman"/>
                <w:color w:val="4472C4" w:themeColor="accent1"/>
                <w:kern w:val="0"/>
                <w:lang w:eastAsia="en-AU"/>
                <w14:ligatures w14:val="none"/>
              </w:rPr>
              <w:t>student journey</w:t>
            </w:r>
            <w:r w:rsidR="00900763">
              <w:rPr>
                <w:rFonts w:ascii="Corbel" w:eastAsia="Times New Roman" w:hAnsi="Corbel" w:cs="Times New Roman"/>
                <w:color w:val="4472C4" w:themeColor="accent1"/>
                <w:kern w:val="0"/>
                <w:lang w:eastAsia="en-AU"/>
                <w14:ligatures w14:val="none"/>
              </w:rPr>
              <w:t>.</w:t>
            </w:r>
            <w:r w:rsidR="006B1CF0">
              <w:rPr>
                <w:rFonts w:ascii="Corbel" w:eastAsia="Times New Roman" w:hAnsi="Corbel" w:cs="Times New Roman"/>
                <w:color w:val="4472C4" w:themeColor="accent1"/>
                <w:kern w:val="0"/>
                <w:lang w:eastAsia="en-AU"/>
                <w14:ligatures w14:val="none"/>
              </w:rPr>
              <w:t xml:space="preserve"> </w:t>
            </w:r>
            <w:r w:rsidR="00596F5B">
              <w:rPr>
                <w:rFonts w:ascii="Corbel" w:eastAsia="Times New Roman" w:hAnsi="Corbel" w:cs="Times New Roman"/>
                <w:color w:val="4472C4" w:themeColor="accent1"/>
                <w:kern w:val="0"/>
                <w:lang w:eastAsia="en-AU"/>
                <w14:ligatures w14:val="none"/>
              </w:rPr>
              <w:t>Using</w:t>
            </w:r>
            <w:r w:rsidR="006B1CF0">
              <w:rPr>
                <w:rFonts w:ascii="Corbel" w:eastAsia="Times New Roman" w:hAnsi="Corbel" w:cs="Times New Roman"/>
                <w:color w:val="4472C4" w:themeColor="accent1"/>
                <w:kern w:val="0"/>
                <w:lang w:eastAsia="en-AU"/>
                <w14:ligatures w14:val="none"/>
              </w:rPr>
              <w:t xml:space="preserve"> data</w:t>
            </w:r>
            <w:r w:rsidR="00A4015F">
              <w:rPr>
                <w:rFonts w:ascii="Corbel" w:eastAsia="Times New Roman" w:hAnsi="Corbel" w:cs="Times New Roman"/>
                <w:color w:val="4472C4" w:themeColor="accent1"/>
                <w:kern w:val="0"/>
                <w:lang w:eastAsia="en-AU"/>
                <w14:ligatures w14:val="none"/>
              </w:rPr>
              <w:t xml:space="preserve"> as well as</w:t>
            </w:r>
            <w:r w:rsidR="008F68DB">
              <w:rPr>
                <w:rFonts w:ascii="Corbel" w:eastAsia="Times New Roman" w:hAnsi="Corbel" w:cs="Times New Roman"/>
                <w:color w:val="4472C4" w:themeColor="accent1"/>
                <w:kern w:val="0"/>
                <w:lang w:eastAsia="en-AU"/>
                <w14:ligatures w14:val="none"/>
              </w:rPr>
              <w:t xml:space="preserve"> consumer</w:t>
            </w:r>
            <w:r w:rsidR="00A4015F">
              <w:rPr>
                <w:rFonts w:ascii="Corbel" w:eastAsia="Times New Roman" w:hAnsi="Corbel" w:cs="Times New Roman"/>
                <w:color w:val="4472C4" w:themeColor="accent1"/>
                <w:kern w:val="0"/>
                <w:lang w:eastAsia="en-AU"/>
                <w14:ligatures w14:val="none"/>
              </w:rPr>
              <w:t xml:space="preserve"> and stakeholder</w:t>
            </w:r>
            <w:r w:rsidR="008F68DB">
              <w:rPr>
                <w:rFonts w:ascii="Corbel" w:eastAsia="Times New Roman" w:hAnsi="Corbel" w:cs="Times New Roman"/>
                <w:color w:val="4472C4" w:themeColor="accent1"/>
                <w:kern w:val="0"/>
                <w:lang w:eastAsia="en-AU"/>
                <w14:ligatures w14:val="none"/>
              </w:rPr>
              <w:t xml:space="preserve"> feedback to </w:t>
            </w:r>
            <w:r w:rsidR="00632C65">
              <w:rPr>
                <w:rFonts w:ascii="Corbel" w:eastAsia="Times New Roman" w:hAnsi="Corbel" w:cs="Times New Roman"/>
                <w:color w:val="4472C4" w:themeColor="accent1"/>
                <w:kern w:val="0"/>
                <w:lang w:eastAsia="en-AU"/>
                <w14:ligatures w14:val="none"/>
              </w:rPr>
              <w:t>develop an</w:t>
            </w:r>
            <w:r w:rsidR="000C3C1C">
              <w:rPr>
                <w:rFonts w:ascii="Corbel" w:eastAsia="Times New Roman" w:hAnsi="Corbel" w:cs="Times New Roman"/>
                <w:color w:val="4472C4" w:themeColor="accent1"/>
                <w:kern w:val="0"/>
                <w:lang w:eastAsia="en-AU"/>
                <w14:ligatures w14:val="none"/>
              </w:rPr>
              <w:t xml:space="preserve"> omni-channel experience</w:t>
            </w:r>
            <w:r w:rsidR="00632C65">
              <w:rPr>
                <w:rFonts w:ascii="Corbel" w:eastAsia="Times New Roman" w:hAnsi="Corbel" w:cs="Times New Roman"/>
                <w:color w:val="4472C4" w:themeColor="accent1"/>
                <w:kern w:val="0"/>
                <w:lang w:eastAsia="en-AU"/>
                <w14:ligatures w14:val="none"/>
              </w:rPr>
              <w:t xml:space="preserve"> </w:t>
            </w:r>
            <w:r w:rsidR="007068D4">
              <w:rPr>
                <w:rFonts w:ascii="Corbel" w:eastAsia="Times New Roman" w:hAnsi="Corbel" w:cs="Times New Roman"/>
                <w:color w:val="4472C4" w:themeColor="accent1"/>
                <w:kern w:val="0"/>
                <w:lang w:eastAsia="en-AU"/>
                <w14:ligatures w14:val="none"/>
              </w:rPr>
              <w:t xml:space="preserve">that evolves to meet </w:t>
            </w:r>
            <w:r w:rsidR="005A4F99">
              <w:rPr>
                <w:rFonts w:ascii="Corbel" w:eastAsia="Times New Roman" w:hAnsi="Corbel" w:cs="Times New Roman"/>
                <w:color w:val="4472C4" w:themeColor="accent1"/>
                <w:kern w:val="0"/>
                <w:lang w:eastAsia="en-AU"/>
                <w14:ligatures w14:val="none"/>
              </w:rPr>
              <w:t>customer</w:t>
            </w:r>
            <w:r w:rsidR="00C55457">
              <w:rPr>
                <w:rFonts w:ascii="Corbel" w:eastAsia="Times New Roman" w:hAnsi="Corbel" w:cs="Times New Roman"/>
                <w:color w:val="4472C4" w:themeColor="accent1"/>
                <w:kern w:val="0"/>
                <w:lang w:eastAsia="en-AU"/>
                <w14:ligatures w14:val="none"/>
              </w:rPr>
              <w:t xml:space="preserve"> needs</w:t>
            </w:r>
            <w:r w:rsidR="00D86EEA">
              <w:rPr>
                <w:rFonts w:ascii="Corbel" w:eastAsia="Times New Roman" w:hAnsi="Corbel" w:cs="Times New Roman"/>
                <w:color w:val="4472C4" w:themeColor="accent1"/>
                <w:kern w:val="0"/>
                <w:lang w:eastAsia="en-AU"/>
                <w14:ligatures w14:val="none"/>
              </w:rPr>
              <w:t xml:space="preserve"> </w:t>
            </w:r>
            <w:r w:rsidR="001A1441">
              <w:rPr>
                <w:rFonts w:ascii="Corbel" w:eastAsia="Times New Roman" w:hAnsi="Corbel" w:cs="Times New Roman"/>
                <w:color w:val="4472C4" w:themeColor="accent1"/>
                <w:kern w:val="0"/>
                <w:lang w:eastAsia="en-AU"/>
                <w14:ligatures w14:val="none"/>
              </w:rPr>
              <w:t xml:space="preserve">and achieve </w:t>
            </w:r>
            <w:r w:rsidR="00C85DBA">
              <w:rPr>
                <w:rFonts w:ascii="Corbel" w:eastAsia="Times New Roman" w:hAnsi="Corbel" w:cs="Times New Roman"/>
                <w:color w:val="4472C4" w:themeColor="accent1"/>
                <w:kern w:val="0"/>
                <w:lang w:eastAsia="en-AU"/>
                <w14:ligatures w14:val="none"/>
              </w:rPr>
              <w:t>better</w:t>
            </w:r>
            <w:r w:rsidR="004A69FC">
              <w:rPr>
                <w:rFonts w:ascii="Corbel" w:eastAsia="Times New Roman" w:hAnsi="Corbel" w:cs="Times New Roman"/>
                <w:color w:val="4472C4" w:themeColor="accent1"/>
                <w:kern w:val="0"/>
                <w:lang w:eastAsia="en-AU"/>
                <w14:ligatures w14:val="none"/>
              </w:rPr>
              <w:t xml:space="preserve"> outcomes for Queenslanders</w:t>
            </w:r>
            <w:r w:rsidR="0069588A">
              <w:rPr>
                <w:rFonts w:ascii="Corbel" w:eastAsia="Times New Roman" w:hAnsi="Corbel" w:cs="Times New Roman"/>
                <w:color w:val="4472C4" w:themeColor="accent1"/>
                <w:kern w:val="0"/>
                <w:lang w:eastAsia="en-AU"/>
                <w14:ligatures w14:val="none"/>
              </w:rPr>
              <w:t>.</w:t>
            </w:r>
            <w:r w:rsidR="006872B7">
              <w:rPr>
                <w:rFonts w:ascii="Corbel" w:eastAsia="Times New Roman" w:hAnsi="Corbel" w:cs="Times New Roman"/>
                <w:color w:val="4472C4" w:themeColor="accent1"/>
                <w:kern w:val="0"/>
                <w:lang w:eastAsia="en-AU"/>
                <w14:ligatures w14:val="none"/>
              </w:rPr>
              <w:t xml:space="preserve"> </w:t>
            </w:r>
            <w:r w:rsidR="00FA77D5" w:rsidRPr="00810B07">
              <w:rPr>
                <w:rFonts w:ascii="Corbel" w:eastAsia="Times New Roman" w:hAnsi="Corbel" w:cs="Times New Roman"/>
                <w:color w:val="4472C4" w:themeColor="accent1"/>
                <w:kern w:val="0"/>
                <w:lang w:eastAsia="en-AU"/>
                <w14:ligatures w14:val="none"/>
              </w:rPr>
              <w:t xml:space="preserve">Priority cohorts, including First Nations peoples, women, diverse and disadvantaged Queenslanders, and those in priority industries, are supported through targeted CX activities such as co-design workshops, tailored communications, and culturally appropriate content </w:t>
            </w:r>
            <w:r w:rsidR="00FA77D5" w:rsidRPr="00810B07">
              <w:rPr>
                <w:rFonts w:ascii="Corbel" w:eastAsia="Times New Roman" w:hAnsi="Corbel" w:cs="Times New Roman"/>
                <w:color w:val="4472C4" w:themeColor="accent1"/>
                <w:kern w:val="0"/>
                <w:lang w:eastAsia="en-AU"/>
                <w14:ligatures w14:val="none"/>
              </w:rPr>
              <w:lastRenderedPageBreak/>
              <w:t>developed with community and industry partners. These efforts are underpinned by data-driven monitoring via Customer Insights dashboards to track outcomes and enable real-time refinements.</w:t>
            </w:r>
          </w:p>
          <w:p w14:paraId="17D74EBE" w14:textId="77777777" w:rsidR="006A7A54" w:rsidRPr="007A63A8" w:rsidRDefault="006A7A54" w:rsidP="00D367A8">
            <w:pPr>
              <w:pStyle w:val="ListParagraph"/>
              <w:numPr>
                <w:ilvl w:val="1"/>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1, 6, 12</w:t>
            </w:r>
          </w:p>
          <w:p w14:paraId="4C28E071" w14:textId="484CC592" w:rsidR="006A7A54" w:rsidRPr="00810B07" w:rsidRDefault="00BD0D13" w:rsidP="00195EDA">
            <w:pPr>
              <w:pStyle w:val="ListParagraph"/>
              <w:numPr>
                <w:ilvl w:val="0"/>
                <w:numId w:val="37"/>
              </w:numPr>
              <w:rPr>
                <w:rFonts w:ascii="Corbel" w:eastAsia="Times New Roman" w:hAnsi="Corbel" w:cs="Times New Roman"/>
                <w:color w:val="4472C4" w:themeColor="accent1"/>
                <w:kern w:val="0"/>
                <w:lang w:eastAsia="en-AU"/>
                <w14:ligatures w14:val="none"/>
              </w:rPr>
            </w:pPr>
            <w:r w:rsidRPr="00810B07">
              <w:rPr>
                <w:rFonts w:ascii="Corbel" w:eastAsia="Times New Roman" w:hAnsi="Corbel" w:cs="Times New Roman"/>
                <w:color w:val="4472C4" w:themeColor="accent1"/>
                <w:kern w:val="0"/>
                <w:lang w:eastAsia="en-AU"/>
                <w14:ligatures w14:val="none"/>
              </w:rPr>
              <w:t>New</w:t>
            </w:r>
            <w:r w:rsidR="006D5D3B" w:rsidRPr="00810B07">
              <w:rPr>
                <w:rFonts w:ascii="Corbel" w:eastAsia="Times New Roman" w:hAnsi="Corbel" w:cs="Times New Roman"/>
                <w:color w:val="4472C4" w:themeColor="accent1"/>
                <w:kern w:val="0"/>
                <w:lang w:eastAsia="en-AU"/>
                <w14:ligatures w14:val="none"/>
              </w:rPr>
              <w:t xml:space="preserve"> non-accredited </w:t>
            </w:r>
            <w:r w:rsidR="006A7A54" w:rsidRPr="00810B07">
              <w:rPr>
                <w:rFonts w:ascii="Corbel" w:eastAsia="Times New Roman" w:hAnsi="Corbel" w:cs="Times New Roman"/>
                <w:color w:val="4472C4" w:themeColor="accent1"/>
                <w:kern w:val="0"/>
                <w:lang w:eastAsia="en-AU"/>
                <w14:ligatures w14:val="none"/>
              </w:rPr>
              <w:t>Career Tasters</w:t>
            </w:r>
            <w:r w:rsidR="006A7A54" w:rsidRPr="007A63A8">
              <w:rPr>
                <w:rFonts w:ascii="Corbel" w:eastAsia="Times New Roman" w:hAnsi="Corbel" w:cs="Times New Roman"/>
                <w:color w:val="4472C4" w:themeColor="accent1"/>
                <w:kern w:val="0"/>
                <w:lang w:eastAsia="en-AU"/>
                <w14:ligatures w14:val="none"/>
              </w:rPr>
              <w:t xml:space="preserve"> under the Career Ready </w:t>
            </w:r>
            <w:r w:rsidR="006D5D3B" w:rsidRPr="007A63A8">
              <w:rPr>
                <w:rFonts w:ascii="Corbel" w:eastAsia="Times New Roman" w:hAnsi="Corbel" w:cs="Times New Roman"/>
                <w:color w:val="4472C4" w:themeColor="accent1"/>
                <w:kern w:val="0"/>
                <w:lang w:eastAsia="en-AU"/>
                <w14:ligatures w14:val="none"/>
              </w:rPr>
              <w:t xml:space="preserve">VET in </w:t>
            </w:r>
            <w:proofErr w:type="gramStart"/>
            <w:r w:rsidR="006D5D3B" w:rsidRPr="007A63A8">
              <w:rPr>
                <w:rFonts w:ascii="Corbel" w:eastAsia="Times New Roman" w:hAnsi="Corbel" w:cs="Times New Roman"/>
                <w:color w:val="4472C4" w:themeColor="accent1"/>
                <w:kern w:val="0"/>
                <w:lang w:eastAsia="en-AU"/>
                <w14:ligatures w14:val="none"/>
              </w:rPr>
              <w:t>schools</w:t>
            </w:r>
            <w:proofErr w:type="gramEnd"/>
            <w:r w:rsidR="006D5D3B" w:rsidRPr="007A63A8">
              <w:rPr>
                <w:rFonts w:ascii="Corbel" w:eastAsia="Times New Roman" w:hAnsi="Corbel" w:cs="Times New Roman"/>
                <w:color w:val="4472C4" w:themeColor="accent1"/>
                <w:kern w:val="0"/>
                <w:lang w:eastAsia="en-AU"/>
                <w14:ligatures w14:val="none"/>
              </w:rPr>
              <w:t xml:space="preserve"> </w:t>
            </w:r>
            <w:r w:rsidR="006A7A54" w:rsidRPr="007A63A8">
              <w:rPr>
                <w:rFonts w:ascii="Corbel" w:eastAsia="Times New Roman" w:hAnsi="Corbel" w:cs="Times New Roman"/>
                <w:color w:val="4472C4" w:themeColor="accent1"/>
                <w:kern w:val="0"/>
                <w:lang w:eastAsia="en-AU"/>
                <w14:ligatures w14:val="none"/>
              </w:rPr>
              <w:t>program</w:t>
            </w:r>
            <w:r w:rsidR="006D5D3B" w:rsidRPr="007A63A8">
              <w:rPr>
                <w:rFonts w:ascii="Corbel" w:eastAsia="Times New Roman" w:hAnsi="Corbel" w:cs="Times New Roman"/>
                <w:color w:val="4472C4" w:themeColor="accent1"/>
                <w:kern w:val="0"/>
                <w:lang w:eastAsia="en-AU"/>
                <w14:ligatures w14:val="none"/>
              </w:rPr>
              <w:t xml:space="preserve"> </w:t>
            </w:r>
            <w:r w:rsidR="00EC1436" w:rsidRPr="007A63A8">
              <w:rPr>
                <w:rFonts w:ascii="Corbel" w:eastAsia="Times New Roman" w:hAnsi="Corbel" w:cs="Times New Roman"/>
                <w:color w:val="4472C4" w:themeColor="accent1"/>
                <w:kern w:val="0"/>
                <w:lang w:eastAsia="en-AU"/>
                <w14:ligatures w14:val="none"/>
              </w:rPr>
              <w:t xml:space="preserve">- </w:t>
            </w:r>
          </w:p>
          <w:p w14:paraId="57371C73" w14:textId="77777777" w:rsidR="006A7A54" w:rsidRPr="007A63A8" w:rsidRDefault="006A7A54" w:rsidP="00195EDA">
            <w:pPr>
              <w:pStyle w:val="ListParagraph"/>
              <w:numPr>
                <w:ilvl w:val="1"/>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1, 4, 5, 6, 12</w:t>
            </w:r>
          </w:p>
          <w:p w14:paraId="784B59F7" w14:textId="4EA0C0A5" w:rsidR="006A7A54" w:rsidRPr="00810B07" w:rsidRDefault="006A7A54" w:rsidP="00195EDA">
            <w:pPr>
              <w:pStyle w:val="ListParagraph"/>
              <w:numPr>
                <w:ilvl w:val="0"/>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Expansion of the </w:t>
            </w:r>
            <w:r w:rsidRPr="00810B07">
              <w:rPr>
                <w:rFonts w:ascii="Corbel" w:eastAsia="Times New Roman" w:hAnsi="Corbel" w:cs="Times New Roman"/>
                <w:color w:val="4472C4" w:themeColor="accent1"/>
                <w:kern w:val="0"/>
                <w:lang w:eastAsia="en-AU"/>
                <w14:ligatures w14:val="none"/>
              </w:rPr>
              <w:t>Queensland Minerals and Energy Academy</w:t>
            </w:r>
            <w:r w:rsidRPr="007A63A8">
              <w:rPr>
                <w:rFonts w:ascii="Corbel" w:eastAsia="Times New Roman" w:hAnsi="Corbel" w:cs="Times New Roman"/>
                <w:color w:val="4472C4" w:themeColor="accent1"/>
                <w:kern w:val="0"/>
                <w:lang w:eastAsia="en-AU"/>
                <w14:ligatures w14:val="none"/>
              </w:rPr>
              <w:t xml:space="preserve"> – Strengthening industry-led career pathways in </w:t>
            </w:r>
            <w:r w:rsidR="00FA2467" w:rsidRPr="007A63A8">
              <w:rPr>
                <w:rFonts w:ascii="Corbel" w:eastAsia="Times New Roman" w:hAnsi="Corbel" w:cs="Times New Roman"/>
                <w:color w:val="4472C4" w:themeColor="accent1"/>
                <w:kern w:val="0"/>
                <w:lang w:eastAsia="en-AU"/>
                <w14:ligatures w14:val="none"/>
              </w:rPr>
              <w:t>the</w:t>
            </w:r>
            <w:r w:rsidRPr="007A63A8">
              <w:rPr>
                <w:rFonts w:ascii="Corbel" w:eastAsia="Times New Roman" w:hAnsi="Corbel" w:cs="Times New Roman"/>
                <w:color w:val="4472C4" w:themeColor="accent1"/>
                <w:kern w:val="0"/>
                <w:lang w:eastAsia="en-AU"/>
                <w14:ligatures w14:val="none"/>
              </w:rPr>
              <w:t xml:space="preserve"> </w:t>
            </w:r>
            <w:r w:rsidR="00FA2467" w:rsidRPr="007A63A8">
              <w:rPr>
                <w:rFonts w:ascii="Corbel" w:eastAsia="Times New Roman" w:hAnsi="Corbel" w:cs="Times New Roman"/>
                <w:color w:val="4472C4" w:themeColor="accent1"/>
                <w:kern w:val="0"/>
                <w:lang w:eastAsia="en-AU"/>
                <w14:ligatures w14:val="none"/>
              </w:rPr>
              <w:t>resources sector</w:t>
            </w:r>
            <w:r w:rsidR="00E35E79" w:rsidRPr="00810B07">
              <w:rPr>
                <w:rFonts w:ascii="Corbel" w:eastAsia="Times New Roman" w:hAnsi="Corbel" w:cs="Times New Roman"/>
                <w:color w:val="4472C4" w:themeColor="accent1"/>
                <w:kern w:val="0"/>
                <w:lang w:eastAsia="en-AU"/>
                <w14:ligatures w14:val="none"/>
              </w:rPr>
              <w:t xml:space="preserve"> </w:t>
            </w:r>
            <w:r w:rsidR="00E35E79" w:rsidRPr="007A63A8">
              <w:rPr>
                <w:rFonts w:ascii="Corbel" w:eastAsia="Times New Roman" w:hAnsi="Corbel" w:cs="Times New Roman"/>
                <w:color w:val="4472C4" w:themeColor="accent1"/>
                <w:kern w:val="0"/>
                <w:lang w:eastAsia="en-AU"/>
                <w14:ligatures w14:val="none"/>
              </w:rPr>
              <w:t>with new regional Academy hubs to provide local, on-the-ground trainers</w:t>
            </w:r>
            <w:r w:rsidRPr="007A63A8">
              <w:rPr>
                <w:rFonts w:ascii="Corbel" w:eastAsia="Times New Roman" w:hAnsi="Corbel" w:cs="Times New Roman"/>
                <w:color w:val="4472C4" w:themeColor="accent1"/>
                <w:kern w:val="0"/>
                <w:lang w:eastAsia="en-AU"/>
                <w14:ligatures w14:val="none"/>
              </w:rPr>
              <w:t>.</w:t>
            </w:r>
            <w:r w:rsidR="00334587" w:rsidRPr="007A63A8">
              <w:rPr>
                <w:rFonts w:ascii="Corbel" w:eastAsia="Times New Roman" w:hAnsi="Corbel" w:cs="Times New Roman"/>
                <w:color w:val="4472C4" w:themeColor="accent1"/>
                <w:kern w:val="0"/>
                <w:lang w:eastAsia="en-AU"/>
                <w14:ligatures w14:val="none"/>
              </w:rPr>
              <w:t xml:space="preserve"> The </w:t>
            </w:r>
            <w:r w:rsidR="00334587" w:rsidRPr="00810B07">
              <w:rPr>
                <w:rFonts w:ascii="Corbel" w:eastAsia="Times New Roman" w:hAnsi="Corbel" w:cs="Times New Roman"/>
                <w:color w:val="4472C4" w:themeColor="accent1"/>
                <w:kern w:val="0"/>
                <w:lang w:eastAsia="en-AU"/>
                <w14:ligatures w14:val="none"/>
              </w:rPr>
              <w:t>Queensland Minerals and Energy Academy expansion will be delivered via industry sponsorship and school collaboration</w:t>
            </w:r>
            <w:r w:rsidR="006A3C60" w:rsidRPr="00810B07">
              <w:rPr>
                <w:rFonts w:ascii="Corbel" w:eastAsia="Times New Roman" w:hAnsi="Corbel" w:cs="Times New Roman"/>
                <w:color w:val="4472C4" w:themeColor="accent1"/>
                <w:kern w:val="0"/>
                <w:lang w:eastAsia="en-AU"/>
                <w14:ligatures w14:val="none"/>
              </w:rPr>
              <w:t>.</w:t>
            </w:r>
          </w:p>
          <w:p w14:paraId="7DC75209" w14:textId="77777777" w:rsidR="006A7A54" w:rsidRPr="00810B07" w:rsidRDefault="006A7A54" w:rsidP="00195EDA">
            <w:pPr>
              <w:pStyle w:val="ListParagraph"/>
              <w:numPr>
                <w:ilvl w:val="1"/>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1, 6, 7, 10</w:t>
            </w:r>
          </w:p>
        </w:tc>
      </w:tr>
      <w:tr w:rsidR="006A7A54" w:rsidRPr="008F1196" w14:paraId="084FFC15" w14:textId="77777777" w:rsidTr="008C7933">
        <w:trPr>
          <w:trHeight w:val="1898"/>
        </w:trPr>
        <w:tc>
          <w:tcPr>
            <w:tcW w:w="2594" w:type="dxa"/>
          </w:tcPr>
          <w:p w14:paraId="346D6CB0" w14:textId="77777777"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Expected reach and additionality</w:t>
            </w:r>
          </w:p>
        </w:tc>
        <w:tc>
          <w:tcPr>
            <w:tcW w:w="6762" w:type="dxa"/>
            <w:gridSpan w:val="3"/>
            <w:vAlign w:val="bottom"/>
          </w:tcPr>
          <w:p w14:paraId="50AF0CEB" w14:textId="067BA747" w:rsidR="008E4480" w:rsidRPr="007A63A8" w:rsidRDefault="006D327D" w:rsidP="00F25316">
            <w:pPr>
              <w:pStyle w:val="ListParagraph"/>
              <w:numPr>
                <w:ilvl w:val="0"/>
                <w:numId w:val="37"/>
              </w:numPr>
              <w:rPr>
                <w:rFonts w:ascii="Corbel" w:eastAsia="Times New Roman" w:hAnsi="Corbel" w:cs="Times New Roman"/>
                <w:color w:val="4472C4" w:themeColor="accent1"/>
                <w:kern w:val="0"/>
                <w:lang w:eastAsia="en-AU"/>
                <w14:ligatures w14:val="none"/>
              </w:rPr>
            </w:pPr>
            <w:r>
              <w:rPr>
                <w:rFonts w:ascii="Corbel" w:eastAsia="Times New Roman" w:hAnsi="Corbel" w:cs="Times New Roman"/>
                <w:color w:val="4472C4" w:themeColor="accent1"/>
                <w:kern w:val="0"/>
                <w:lang w:eastAsia="en-AU"/>
                <w14:ligatures w14:val="none"/>
              </w:rPr>
              <w:t>Customer initiatives (website</w:t>
            </w:r>
            <w:r w:rsidR="00D369EB">
              <w:rPr>
                <w:rFonts w:ascii="Corbel" w:eastAsia="Times New Roman" w:hAnsi="Corbel" w:cs="Times New Roman"/>
                <w:color w:val="4472C4" w:themeColor="accent1"/>
                <w:kern w:val="0"/>
                <w:lang w:eastAsia="en-AU"/>
                <w14:ligatures w14:val="none"/>
              </w:rPr>
              <w:t>, CX strategy and campaigns)</w:t>
            </w:r>
            <w:r w:rsidR="008E4480" w:rsidRPr="007A63A8">
              <w:rPr>
                <w:rFonts w:ascii="Corbel" w:eastAsia="Times New Roman" w:hAnsi="Corbel" w:cs="Times New Roman"/>
                <w:color w:val="4472C4" w:themeColor="accent1"/>
                <w:kern w:val="0"/>
                <w:lang w:eastAsia="en-AU"/>
                <w14:ligatures w14:val="none"/>
              </w:rPr>
              <w:t xml:space="preserve"> designed </w:t>
            </w:r>
            <w:r w:rsidR="00D369EB">
              <w:rPr>
                <w:rFonts w:ascii="Corbel" w:eastAsia="Times New Roman" w:hAnsi="Corbel" w:cs="Times New Roman"/>
                <w:color w:val="4472C4" w:themeColor="accent1"/>
                <w:kern w:val="0"/>
                <w:lang w:eastAsia="en-AU"/>
                <w14:ligatures w14:val="none"/>
              </w:rPr>
              <w:t xml:space="preserve">for </w:t>
            </w:r>
            <w:r w:rsidR="008E4480" w:rsidRPr="007A63A8">
              <w:rPr>
                <w:rFonts w:ascii="Corbel" w:eastAsia="Times New Roman" w:hAnsi="Corbel" w:cs="Times New Roman"/>
                <w:color w:val="4472C4" w:themeColor="accent1"/>
                <w:kern w:val="0"/>
                <w:lang w:eastAsia="en-AU"/>
                <w14:ligatures w14:val="none"/>
              </w:rPr>
              <w:t xml:space="preserve">all Queenslanders, with </w:t>
            </w:r>
            <w:r w:rsidR="00201AA9">
              <w:rPr>
                <w:rFonts w:ascii="Corbel" w:eastAsia="Times New Roman" w:hAnsi="Corbel" w:cs="Times New Roman"/>
                <w:color w:val="4472C4" w:themeColor="accent1"/>
                <w:kern w:val="0"/>
                <w:lang w:eastAsia="en-AU"/>
                <w14:ligatures w14:val="none"/>
              </w:rPr>
              <w:t>targeted approaches for</w:t>
            </w:r>
            <w:r w:rsidR="00CB4071">
              <w:rPr>
                <w:rFonts w:ascii="Corbel" w:eastAsia="Times New Roman" w:hAnsi="Corbel" w:cs="Times New Roman"/>
                <w:color w:val="4472C4" w:themeColor="accent1"/>
                <w:kern w:val="0"/>
                <w:lang w:eastAsia="en-AU"/>
                <w14:ligatures w14:val="none"/>
              </w:rPr>
              <w:t xml:space="preserve"> priority </w:t>
            </w:r>
            <w:r w:rsidR="000D3588">
              <w:rPr>
                <w:rFonts w:ascii="Corbel" w:eastAsia="Times New Roman" w:hAnsi="Corbel" w:cs="Times New Roman"/>
                <w:color w:val="4472C4" w:themeColor="accent1"/>
                <w:kern w:val="0"/>
                <w:lang w:eastAsia="en-AU"/>
                <w14:ligatures w14:val="none"/>
              </w:rPr>
              <w:t xml:space="preserve">industries and </w:t>
            </w:r>
            <w:r w:rsidR="00CB4071">
              <w:rPr>
                <w:rFonts w:ascii="Corbel" w:eastAsia="Times New Roman" w:hAnsi="Corbel" w:cs="Times New Roman"/>
                <w:color w:val="4472C4" w:themeColor="accent1"/>
                <w:kern w:val="0"/>
                <w:lang w:eastAsia="en-AU"/>
                <w14:ligatures w14:val="none"/>
              </w:rPr>
              <w:t>areas</w:t>
            </w:r>
            <w:r w:rsidR="00201AA9">
              <w:rPr>
                <w:rFonts w:ascii="Corbel" w:eastAsia="Times New Roman" w:hAnsi="Corbel" w:cs="Times New Roman"/>
                <w:color w:val="4472C4" w:themeColor="accent1"/>
                <w:kern w:val="0"/>
                <w:lang w:eastAsia="en-AU"/>
                <w14:ligatures w14:val="none"/>
              </w:rPr>
              <w:t xml:space="preserve"> like apprenticeships</w:t>
            </w:r>
            <w:r w:rsidR="00D369EB">
              <w:rPr>
                <w:rFonts w:ascii="Corbel" w:eastAsia="Times New Roman" w:hAnsi="Corbel" w:cs="Times New Roman"/>
                <w:color w:val="4472C4" w:themeColor="accent1"/>
                <w:kern w:val="0"/>
                <w:lang w:eastAsia="en-AU"/>
                <w14:ligatures w14:val="none"/>
              </w:rPr>
              <w:t>,</w:t>
            </w:r>
            <w:r w:rsidR="00201AA9">
              <w:rPr>
                <w:rFonts w:ascii="Corbel" w:eastAsia="Times New Roman" w:hAnsi="Corbel" w:cs="Times New Roman"/>
                <w:color w:val="4472C4" w:themeColor="accent1"/>
                <w:kern w:val="0"/>
                <w:lang w:eastAsia="en-AU"/>
                <w14:ligatures w14:val="none"/>
              </w:rPr>
              <w:t xml:space="preserve"> </w:t>
            </w:r>
            <w:r w:rsidR="000D3588">
              <w:rPr>
                <w:rFonts w:ascii="Corbel" w:eastAsia="Times New Roman" w:hAnsi="Corbel" w:cs="Times New Roman"/>
                <w:color w:val="4472C4" w:themeColor="accent1"/>
                <w:kern w:val="0"/>
                <w:lang w:eastAsia="en-AU"/>
                <w14:ligatures w14:val="none"/>
              </w:rPr>
              <w:t xml:space="preserve">as well as </w:t>
            </w:r>
            <w:r w:rsidR="004F2EE2">
              <w:rPr>
                <w:rFonts w:ascii="Corbel" w:eastAsia="Times New Roman" w:hAnsi="Corbel" w:cs="Times New Roman"/>
                <w:color w:val="4472C4" w:themeColor="accent1"/>
                <w:kern w:val="0"/>
                <w:lang w:eastAsia="en-AU"/>
                <w14:ligatures w14:val="none"/>
              </w:rPr>
              <w:t xml:space="preserve">audiences </w:t>
            </w:r>
            <w:r w:rsidR="00201AA9">
              <w:rPr>
                <w:rFonts w:ascii="Corbel" w:eastAsia="Times New Roman" w:hAnsi="Corbel" w:cs="Times New Roman"/>
                <w:color w:val="4472C4" w:themeColor="accent1"/>
                <w:kern w:val="0"/>
                <w:lang w:eastAsia="en-AU"/>
                <w14:ligatures w14:val="none"/>
              </w:rPr>
              <w:t xml:space="preserve">such as </w:t>
            </w:r>
            <w:r w:rsidR="008E4480" w:rsidRPr="007A63A8">
              <w:rPr>
                <w:rFonts w:ascii="Corbel" w:eastAsia="Times New Roman" w:hAnsi="Corbel" w:cs="Times New Roman"/>
                <w:color w:val="4472C4" w:themeColor="accent1"/>
                <w:kern w:val="0"/>
                <w:lang w:eastAsia="en-AU"/>
                <w14:ligatures w14:val="none"/>
              </w:rPr>
              <w:t>First Nations</w:t>
            </w:r>
            <w:r w:rsidR="00201AA9">
              <w:rPr>
                <w:rFonts w:ascii="Corbel" w:eastAsia="Times New Roman" w:hAnsi="Corbel" w:cs="Times New Roman"/>
                <w:color w:val="4472C4" w:themeColor="accent1"/>
                <w:kern w:val="0"/>
                <w:lang w:eastAsia="en-AU"/>
                <w14:ligatures w14:val="none"/>
              </w:rPr>
              <w:t>, diverse and</w:t>
            </w:r>
            <w:r w:rsidR="008E4480" w:rsidRPr="007A63A8">
              <w:rPr>
                <w:rFonts w:ascii="Corbel" w:eastAsia="Times New Roman" w:hAnsi="Corbel" w:cs="Times New Roman"/>
                <w:color w:val="4472C4" w:themeColor="accent1"/>
                <w:kern w:val="0"/>
                <w:lang w:eastAsia="en-AU"/>
                <w14:ligatures w14:val="none"/>
              </w:rPr>
              <w:t xml:space="preserve"> disadvantaged </w:t>
            </w:r>
            <w:r w:rsidR="00201AA9">
              <w:rPr>
                <w:rFonts w:ascii="Corbel" w:eastAsia="Times New Roman" w:hAnsi="Corbel" w:cs="Times New Roman"/>
                <w:color w:val="4472C4" w:themeColor="accent1"/>
                <w:kern w:val="0"/>
                <w:lang w:eastAsia="en-AU"/>
                <w14:ligatures w14:val="none"/>
              </w:rPr>
              <w:t>Queenslanders</w:t>
            </w:r>
            <w:r w:rsidR="00F417C1" w:rsidRPr="007A63A8">
              <w:rPr>
                <w:rFonts w:ascii="Corbel" w:eastAsia="Times New Roman" w:hAnsi="Corbel" w:cs="Times New Roman"/>
                <w:color w:val="4472C4" w:themeColor="accent1"/>
                <w:kern w:val="0"/>
                <w:lang w:eastAsia="en-AU"/>
                <w14:ligatures w14:val="none"/>
              </w:rPr>
              <w:t>.</w:t>
            </w:r>
            <w:r w:rsidR="008E4480" w:rsidRPr="007A63A8">
              <w:rPr>
                <w:rFonts w:ascii="Corbel" w:eastAsia="Times New Roman" w:hAnsi="Corbel" w:cs="Times New Roman"/>
                <w:color w:val="4472C4" w:themeColor="accent1"/>
                <w:kern w:val="0"/>
                <w:lang w:eastAsia="en-AU"/>
                <w14:ligatures w14:val="none"/>
              </w:rPr>
              <w:t xml:space="preserve">   </w:t>
            </w:r>
          </w:p>
          <w:p w14:paraId="34AE74EC" w14:textId="21417D83" w:rsidR="003C2CCD" w:rsidRPr="007A63A8" w:rsidRDefault="007B6F15" w:rsidP="00F25316">
            <w:pPr>
              <w:pStyle w:val="ListParagraph"/>
              <w:numPr>
                <w:ilvl w:val="0"/>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Eligible s</w:t>
            </w:r>
            <w:r w:rsidR="00180DFD" w:rsidRPr="007A63A8">
              <w:rPr>
                <w:rFonts w:ascii="Corbel" w:eastAsia="Times New Roman" w:hAnsi="Corbel" w:cs="Times New Roman"/>
                <w:color w:val="4472C4" w:themeColor="accent1"/>
                <w:kern w:val="0"/>
                <w:lang w:eastAsia="en-AU"/>
                <w14:ligatures w14:val="none"/>
              </w:rPr>
              <w:t>tudents in year 10 to have access to up to two Career Tasters</w:t>
            </w:r>
            <w:r w:rsidR="008E4480" w:rsidRPr="007A63A8">
              <w:rPr>
                <w:rFonts w:ascii="Corbel" w:eastAsia="Times New Roman" w:hAnsi="Corbel" w:cs="Times New Roman"/>
                <w:color w:val="4472C4" w:themeColor="accent1"/>
                <w:kern w:val="0"/>
                <w:lang w:eastAsia="en-AU"/>
                <w14:ligatures w14:val="none"/>
              </w:rPr>
              <w:t xml:space="preserve"> across Queensland</w:t>
            </w:r>
            <w:r w:rsidR="00653781" w:rsidRPr="007A63A8">
              <w:rPr>
                <w:rFonts w:ascii="Corbel" w:eastAsia="Times New Roman" w:hAnsi="Corbel" w:cs="Times New Roman"/>
                <w:color w:val="4472C4" w:themeColor="accent1"/>
                <w:kern w:val="0"/>
                <w:lang w:eastAsia="en-AU"/>
                <w14:ligatures w14:val="none"/>
              </w:rPr>
              <w:t>.</w:t>
            </w:r>
          </w:p>
          <w:p w14:paraId="3F8910A2" w14:textId="372699F6" w:rsidR="006A7A54" w:rsidRPr="007A63A8" w:rsidRDefault="00C22DB4" w:rsidP="00F25316">
            <w:pPr>
              <w:pStyle w:val="ListParagraph"/>
              <w:numPr>
                <w:ilvl w:val="0"/>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Queensland Minerals and Energy Academy expanded to 50 additional schools</w:t>
            </w:r>
            <w:r w:rsidR="00F417C1" w:rsidRPr="007A63A8">
              <w:rPr>
                <w:rFonts w:ascii="Corbel" w:eastAsia="Times New Roman" w:hAnsi="Corbel" w:cs="Times New Roman"/>
                <w:color w:val="4472C4" w:themeColor="accent1"/>
                <w:kern w:val="0"/>
                <w:lang w:eastAsia="en-AU"/>
                <w14:ligatures w14:val="none"/>
              </w:rPr>
              <w:t>.</w:t>
            </w:r>
          </w:p>
        </w:tc>
      </w:tr>
      <w:tr w:rsidR="006A7A54" w:rsidRPr="008F1196" w14:paraId="7D350E9A" w14:textId="77777777" w:rsidTr="008C7933">
        <w:tc>
          <w:tcPr>
            <w:tcW w:w="2594" w:type="dxa"/>
          </w:tcPr>
          <w:p w14:paraId="7F867450" w14:textId="77777777"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Engagement and partnerships</w:t>
            </w:r>
          </w:p>
        </w:tc>
        <w:tc>
          <w:tcPr>
            <w:tcW w:w="6762" w:type="dxa"/>
            <w:gridSpan w:val="3"/>
            <w:vAlign w:val="bottom"/>
          </w:tcPr>
          <w:p w14:paraId="6C5FBA02" w14:textId="0C60BF74" w:rsidR="00375AAD" w:rsidRPr="00E37D01" w:rsidRDefault="00B615C9" w:rsidP="00E37D01">
            <w:pPr>
              <w:pStyle w:val="ListParagraph"/>
              <w:numPr>
                <w:ilvl w:val="0"/>
                <w:numId w:val="37"/>
              </w:numPr>
              <w:rPr>
                <w:rFonts w:ascii="Corbel" w:eastAsia="Times New Roman" w:hAnsi="Corbel" w:cs="Times New Roman"/>
                <w:color w:val="4472C4" w:themeColor="accent1"/>
                <w:kern w:val="0"/>
                <w:lang w:eastAsia="en-AU"/>
                <w14:ligatures w14:val="none"/>
              </w:rPr>
            </w:pPr>
            <w:r w:rsidRPr="00E37D01">
              <w:rPr>
                <w:rFonts w:ascii="Corbel" w:eastAsia="Times New Roman" w:hAnsi="Corbel" w:cs="Times New Roman"/>
                <w:color w:val="4472C4" w:themeColor="accent1"/>
                <w:kern w:val="0"/>
                <w:lang w:eastAsia="en-AU"/>
                <w14:ligatures w14:val="none"/>
              </w:rPr>
              <w:t>Prospective Queensland VET students</w:t>
            </w:r>
            <w:r w:rsidR="00636D1C" w:rsidRPr="00E37D01">
              <w:rPr>
                <w:rFonts w:ascii="Corbel" w:eastAsia="Times New Roman" w:hAnsi="Corbel" w:cs="Times New Roman"/>
                <w:color w:val="4472C4" w:themeColor="accent1"/>
                <w:kern w:val="0"/>
                <w:lang w:eastAsia="en-AU"/>
                <w14:ligatures w14:val="none"/>
              </w:rPr>
              <w:t xml:space="preserve">, influencers and employers </w:t>
            </w:r>
            <w:r w:rsidR="001A3CC5" w:rsidRPr="00E37D01">
              <w:rPr>
                <w:rFonts w:ascii="Corbel" w:eastAsia="Times New Roman" w:hAnsi="Corbel" w:cs="Times New Roman"/>
                <w:color w:val="4472C4" w:themeColor="accent1"/>
                <w:kern w:val="0"/>
                <w:lang w:eastAsia="en-AU"/>
                <w14:ligatures w14:val="none"/>
              </w:rPr>
              <w:t>as part of longitudinal research approach, including</w:t>
            </w:r>
            <w:r w:rsidR="00487F3F" w:rsidRPr="00E37D01">
              <w:rPr>
                <w:rFonts w:ascii="Corbel" w:eastAsia="Times New Roman" w:hAnsi="Corbel" w:cs="Times New Roman"/>
                <w:color w:val="4472C4" w:themeColor="accent1"/>
                <w:kern w:val="0"/>
                <w:lang w:eastAsia="en-AU"/>
                <w14:ligatures w14:val="none"/>
              </w:rPr>
              <w:t xml:space="preserve"> </w:t>
            </w:r>
            <w:r w:rsidR="009E2B83" w:rsidRPr="00E37D01">
              <w:rPr>
                <w:rFonts w:ascii="Corbel" w:eastAsia="Times New Roman" w:hAnsi="Corbel" w:cs="Times New Roman"/>
                <w:color w:val="4472C4" w:themeColor="accent1"/>
                <w:kern w:val="0"/>
                <w:lang w:eastAsia="en-AU"/>
                <w14:ligatures w14:val="none"/>
              </w:rPr>
              <w:t>quantitative</w:t>
            </w:r>
            <w:r w:rsidR="00DF6982" w:rsidRPr="00E37D01">
              <w:rPr>
                <w:rFonts w:ascii="Corbel" w:eastAsia="Times New Roman" w:hAnsi="Corbel" w:cs="Times New Roman"/>
                <w:color w:val="4472C4" w:themeColor="accent1"/>
                <w:kern w:val="0"/>
                <w:lang w:eastAsia="en-AU"/>
                <w14:ligatures w14:val="none"/>
              </w:rPr>
              <w:t xml:space="preserve"> (e.g. surveys, channel data)</w:t>
            </w:r>
            <w:r w:rsidR="009E2B83" w:rsidRPr="00E37D01">
              <w:rPr>
                <w:rFonts w:ascii="Corbel" w:eastAsia="Times New Roman" w:hAnsi="Corbel" w:cs="Times New Roman"/>
                <w:color w:val="4472C4" w:themeColor="accent1"/>
                <w:kern w:val="0"/>
                <w:lang w:eastAsia="en-AU"/>
                <w14:ligatures w14:val="none"/>
              </w:rPr>
              <w:t xml:space="preserve"> </w:t>
            </w:r>
            <w:r w:rsidR="00AB0C8E" w:rsidRPr="00E37D01">
              <w:rPr>
                <w:rFonts w:ascii="Corbel" w:eastAsia="Times New Roman" w:hAnsi="Corbel" w:cs="Times New Roman"/>
                <w:color w:val="4472C4" w:themeColor="accent1"/>
                <w:kern w:val="0"/>
                <w:lang w:eastAsia="en-AU"/>
                <w14:ligatures w14:val="none"/>
              </w:rPr>
              <w:t xml:space="preserve">and qualitative </w:t>
            </w:r>
            <w:r w:rsidR="00DF6982" w:rsidRPr="00E37D01">
              <w:rPr>
                <w:rFonts w:ascii="Corbel" w:eastAsia="Times New Roman" w:hAnsi="Corbel" w:cs="Times New Roman"/>
                <w:color w:val="4472C4" w:themeColor="accent1"/>
                <w:kern w:val="0"/>
                <w:lang w:eastAsia="en-AU"/>
                <w14:ligatures w14:val="none"/>
              </w:rPr>
              <w:t>(e.g. focus groups, workshops) methods.</w:t>
            </w:r>
          </w:p>
          <w:p w14:paraId="6429143A" w14:textId="39CCE0D6" w:rsidR="006A7A54" w:rsidRPr="00E37D01" w:rsidRDefault="009E155D" w:rsidP="00E37D01">
            <w:pPr>
              <w:pStyle w:val="ListParagraph"/>
              <w:numPr>
                <w:ilvl w:val="0"/>
                <w:numId w:val="37"/>
              </w:numPr>
              <w:rPr>
                <w:rFonts w:ascii="Corbel" w:eastAsia="Times New Roman" w:hAnsi="Corbel" w:cs="Times New Roman"/>
                <w:color w:val="4472C4" w:themeColor="accent1"/>
                <w:kern w:val="0"/>
                <w:lang w:eastAsia="en-AU"/>
                <w14:ligatures w14:val="none"/>
              </w:rPr>
            </w:pPr>
            <w:r w:rsidRPr="00E37D01">
              <w:rPr>
                <w:rFonts w:ascii="Corbel" w:eastAsia="Times New Roman" w:hAnsi="Corbel" w:cs="Times New Roman"/>
                <w:color w:val="4472C4" w:themeColor="accent1"/>
                <w:kern w:val="0"/>
                <w:lang w:eastAsia="en-AU"/>
                <w14:ligatures w14:val="none"/>
              </w:rPr>
              <w:t xml:space="preserve">Current and past </w:t>
            </w:r>
            <w:r w:rsidR="00B615C9" w:rsidRPr="00E37D01">
              <w:rPr>
                <w:rFonts w:ascii="Corbel" w:eastAsia="Times New Roman" w:hAnsi="Corbel" w:cs="Times New Roman"/>
                <w:color w:val="4472C4" w:themeColor="accent1"/>
                <w:kern w:val="0"/>
                <w:lang w:eastAsia="en-AU"/>
                <w14:ligatures w14:val="none"/>
              </w:rPr>
              <w:t xml:space="preserve">VET </w:t>
            </w:r>
            <w:r w:rsidRPr="00E37D01">
              <w:rPr>
                <w:rFonts w:ascii="Corbel" w:eastAsia="Times New Roman" w:hAnsi="Corbel" w:cs="Times New Roman"/>
                <w:color w:val="4472C4" w:themeColor="accent1"/>
                <w:kern w:val="0"/>
                <w:lang w:eastAsia="en-AU"/>
                <w14:ligatures w14:val="none"/>
              </w:rPr>
              <w:t>s</w:t>
            </w:r>
            <w:r w:rsidR="006A7A54" w:rsidRPr="00E37D01">
              <w:rPr>
                <w:rFonts w:ascii="Corbel" w:eastAsia="Times New Roman" w:hAnsi="Corbel" w:cs="Times New Roman"/>
                <w:color w:val="4472C4" w:themeColor="accent1"/>
                <w:kern w:val="0"/>
                <w:lang w:eastAsia="en-AU"/>
                <w14:ligatures w14:val="none"/>
              </w:rPr>
              <w:t>tudents</w:t>
            </w:r>
            <w:r w:rsidR="00DF6982" w:rsidRPr="00E37D01">
              <w:rPr>
                <w:rFonts w:ascii="Corbel" w:eastAsia="Times New Roman" w:hAnsi="Corbel" w:cs="Times New Roman"/>
                <w:color w:val="4472C4" w:themeColor="accent1"/>
                <w:kern w:val="0"/>
                <w:lang w:eastAsia="en-AU"/>
                <w14:ligatures w14:val="none"/>
              </w:rPr>
              <w:t xml:space="preserve"> </w:t>
            </w:r>
            <w:r w:rsidR="001A3CC5" w:rsidRPr="00E37D01">
              <w:rPr>
                <w:rFonts w:ascii="Corbel" w:eastAsia="Times New Roman" w:hAnsi="Corbel" w:cs="Times New Roman"/>
                <w:color w:val="4472C4" w:themeColor="accent1"/>
                <w:kern w:val="0"/>
                <w:lang w:eastAsia="en-AU"/>
                <w14:ligatures w14:val="none"/>
              </w:rPr>
              <w:t xml:space="preserve">as part of longitudinal research approach, including </w:t>
            </w:r>
            <w:r w:rsidR="00DF6982" w:rsidRPr="00E37D01">
              <w:rPr>
                <w:rFonts w:ascii="Corbel" w:eastAsia="Times New Roman" w:hAnsi="Corbel" w:cs="Times New Roman"/>
                <w:color w:val="4472C4" w:themeColor="accent1"/>
                <w:kern w:val="0"/>
                <w:lang w:eastAsia="en-AU"/>
                <w14:ligatures w14:val="none"/>
              </w:rPr>
              <w:t>quantitative and qualitative methods.</w:t>
            </w:r>
          </w:p>
          <w:p w14:paraId="16F9D5F5" w14:textId="595DBDBC" w:rsidR="006A7A54" w:rsidRPr="007A63A8" w:rsidRDefault="00B23A4C" w:rsidP="00E37D01">
            <w:pPr>
              <w:pStyle w:val="ListParagraph"/>
              <w:numPr>
                <w:ilvl w:val="0"/>
                <w:numId w:val="37"/>
              </w:numPr>
              <w:rPr>
                <w:rFonts w:ascii="Corbel" w:eastAsia="Times New Roman" w:hAnsi="Corbel" w:cs="Times New Roman"/>
                <w:color w:val="4472C4" w:themeColor="accent1"/>
                <w:kern w:val="0"/>
                <w:lang w:eastAsia="en-AU"/>
                <w14:ligatures w14:val="none"/>
              </w:rPr>
            </w:pPr>
            <w:r>
              <w:rPr>
                <w:rFonts w:ascii="Corbel" w:eastAsia="Times New Roman" w:hAnsi="Corbel" w:cs="Times New Roman"/>
                <w:color w:val="4472C4" w:themeColor="accent1"/>
                <w:kern w:val="0"/>
                <w:lang w:eastAsia="en-AU"/>
                <w14:ligatures w14:val="none"/>
              </w:rPr>
              <w:t xml:space="preserve">Key stakeholders, including </w:t>
            </w:r>
            <w:r w:rsidR="006A7A54" w:rsidRPr="007A63A8">
              <w:rPr>
                <w:rFonts w:ascii="Corbel" w:eastAsia="Times New Roman" w:hAnsi="Corbel" w:cs="Times New Roman"/>
                <w:color w:val="4472C4" w:themeColor="accent1"/>
                <w:kern w:val="0"/>
                <w:lang w:eastAsia="en-AU"/>
                <w14:ligatures w14:val="none"/>
              </w:rPr>
              <w:t>RTOs, unions</w:t>
            </w:r>
            <w:r w:rsidR="003F7EAF">
              <w:rPr>
                <w:rFonts w:ascii="Corbel" w:eastAsia="Times New Roman" w:hAnsi="Corbel" w:cs="Times New Roman"/>
                <w:color w:val="4472C4" w:themeColor="accent1"/>
                <w:kern w:val="0"/>
                <w:lang w:eastAsia="en-AU"/>
                <w14:ligatures w14:val="none"/>
              </w:rPr>
              <w:t xml:space="preserve">, </w:t>
            </w:r>
            <w:r w:rsidR="006A7A54" w:rsidRPr="007A63A8">
              <w:rPr>
                <w:rFonts w:ascii="Corbel" w:eastAsia="Times New Roman" w:hAnsi="Corbel" w:cs="Times New Roman"/>
                <w:color w:val="4472C4" w:themeColor="accent1"/>
                <w:kern w:val="0"/>
                <w:lang w:eastAsia="en-AU"/>
                <w14:ligatures w14:val="none"/>
              </w:rPr>
              <w:t xml:space="preserve">industry </w:t>
            </w:r>
            <w:r w:rsidR="003F7EAF">
              <w:rPr>
                <w:rFonts w:ascii="Corbel" w:eastAsia="Times New Roman" w:hAnsi="Corbel" w:cs="Times New Roman"/>
                <w:color w:val="4472C4" w:themeColor="accent1"/>
                <w:kern w:val="0"/>
                <w:lang w:eastAsia="en-AU"/>
                <w14:ligatures w14:val="none"/>
              </w:rPr>
              <w:t>bodies and government agencies</w:t>
            </w:r>
            <w:r>
              <w:rPr>
                <w:rFonts w:ascii="Corbel" w:eastAsia="Times New Roman" w:hAnsi="Corbel" w:cs="Times New Roman"/>
                <w:color w:val="4472C4" w:themeColor="accent1"/>
                <w:kern w:val="0"/>
                <w:lang w:eastAsia="en-AU"/>
                <w14:ligatures w14:val="none"/>
              </w:rPr>
              <w:t xml:space="preserve">, </w:t>
            </w:r>
            <w:r w:rsidR="00CC58A8">
              <w:rPr>
                <w:rFonts w:ascii="Corbel" w:eastAsia="Times New Roman" w:hAnsi="Corbel" w:cs="Times New Roman"/>
                <w:color w:val="4472C4" w:themeColor="accent1"/>
                <w:kern w:val="0"/>
                <w:lang w:eastAsia="en-AU"/>
                <w14:ligatures w14:val="none"/>
              </w:rPr>
              <w:t xml:space="preserve">directly and indirectly </w:t>
            </w:r>
            <w:r w:rsidR="00515339">
              <w:rPr>
                <w:rFonts w:ascii="Corbel" w:eastAsia="Times New Roman" w:hAnsi="Corbel" w:cs="Times New Roman"/>
                <w:color w:val="4472C4" w:themeColor="accent1"/>
                <w:kern w:val="0"/>
                <w:lang w:eastAsia="en-AU"/>
                <w14:ligatures w14:val="none"/>
              </w:rPr>
              <w:t>within</w:t>
            </w:r>
            <w:r>
              <w:rPr>
                <w:rFonts w:ascii="Corbel" w:eastAsia="Times New Roman" w:hAnsi="Corbel" w:cs="Times New Roman"/>
                <w:color w:val="4472C4" w:themeColor="accent1"/>
                <w:kern w:val="0"/>
                <w:lang w:eastAsia="en-AU"/>
                <w14:ligatures w14:val="none"/>
              </w:rPr>
              <w:t xml:space="preserve"> initiatives and</w:t>
            </w:r>
            <w:r w:rsidR="00BD3944">
              <w:rPr>
                <w:rFonts w:ascii="Corbel" w:eastAsia="Times New Roman" w:hAnsi="Corbel" w:cs="Times New Roman"/>
                <w:color w:val="4472C4" w:themeColor="accent1"/>
                <w:kern w:val="0"/>
                <w:lang w:eastAsia="en-AU"/>
                <w14:ligatures w14:val="none"/>
              </w:rPr>
              <w:t xml:space="preserve"> </w:t>
            </w:r>
            <w:r w:rsidR="00CC58A8">
              <w:rPr>
                <w:rFonts w:ascii="Corbel" w:eastAsia="Times New Roman" w:hAnsi="Corbel" w:cs="Times New Roman"/>
                <w:color w:val="4472C4" w:themeColor="accent1"/>
                <w:kern w:val="0"/>
                <w:lang w:eastAsia="en-AU"/>
                <w14:ligatures w14:val="none"/>
              </w:rPr>
              <w:t>via an</w:t>
            </w:r>
            <w:r w:rsidR="00BD3944">
              <w:rPr>
                <w:rFonts w:ascii="Corbel" w:eastAsia="Times New Roman" w:hAnsi="Corbel" w:cs="Times New Roman"/>
                <w:color w:val="4472C4" w:themeColor="accent1"/>
                <w:kern w:val="0"/>
                <w:lang w:eastAsia="en-AU"/>
                <w14:ligatures w14:val="none"/>
              </w:rPr>
              <w:t xml:space="preserve"> expanded engagement model.</w:t>
            </w:r>
          </w:p>
          <w:p w14:paraId="0991C62A" w14:textId="31CC6551" w:rsidR="006A7A54" w:rsidRPr="007A63A8" w:rsidRDefault="006A7A54" w:rsidP="00E37D01">
            <w:pPr>
              <w:pStyle w:val="ListParagraph"/>
              <w:numPr>
                <w:ilvl w:val="0"/>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First Nations organisations to co-design culturally appropriate career pathways</w:t>
            </w:r>
            <w:r w:rsidR="00E04C06" w:rsidRPr="007A63A8">
              <w:rPr>
                <w:rFonts w:ascii="Corbel" w:eastAsia="Times New Roman" w:hAnsi="Corbel" w:cs="Times New Roman"/>
                <w:color w:val="4472C4" w:themeColor="accent1"/>
                <w:kern w:val="0"/>
                <w:lang w:eastAsia="en-AU"/>
                <w14:ligatures w14:val="none"/>
              </w:rPr>
              <w:t>.</w:t>
            </w:r>
          </w:p>
          <w:p w14:paraId="386BE88A" w14:textId="17F7E87E" w:rsidR="006A7A54" w:rsidRPr="00E37D01" w:rsidRDefault="1D0A938A" w:rsidP="00E37D01">
            <w:pPr>
              <w:pStyle w:val="ListParagraph"/>
              <w:numPr>
                <w:ilvl w:val="0"/>
                <w:numId w:val="37"/>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Public</w:t>
            </w:r>
            <w:r w:rsidR="008E4480" w:rsidRPr="007A63A8">
              <w:rPr>
                <w:rFonts w:ascii="Corbel" w:eastAsia="Times New Roman" w:hAnsi="Corbel" w:cs="Times New Roman"/>
                <w:color w:val="4472C4" w:themeColor="accent1"/>
                <w:kern w:val="0"/>
                <w:lang w:eastAsia="en-AU"/>
                <w14:ligatures w14:val="none"/>
              </w:rPr>
              <w:t xml:space="preserve"> providers, s</w:t>
            </w:r>
            <w:r w:rsidR="006A7A54" w:rsidRPr="007A63A8">
              <w:rPr>
                <w:rFonts w:ascii="Corbel" w:eastAsia="Times New Roman" w:hAnsi="Corbel" w:cs="Times New Roman"/>
                <w:color w:val="4472C4" w:themeColor="accent1"/>
                <w:kern w:val="0"/>
                <w:lang w:eastAsia="en-AU"/>
                <w14:ligatures w14:val="none"/>
              </w:rPr>
              <w:t xml:space="preserve">chools and </w:t>
            </w:r>
            <w:r w:rsidR="008E4480" w:rsidRPr="007A63A8">
              <w:rPr>
                <w:rFonts w:ascii="Corbel" w:eastAsia="Times New Roman" w:hAnsi="Corbel" w:cs="Times New Roman"/>
                <w:color w:val="4472C4" w:themeColor="accent1"/>
                <w:kern w:val="0"/>
                <w:lang w:eastAsia="en-AU"/>
                <w14:ligatures w14:val="none"/>
              </w:rPr>
              <w:t xml:space="preserve">industry </w:t>
            </w:r>
            <w:r w:rsidR="006A7A54" w:rsidRPr="007A63A8">
              <w:rPr>
                <w:rFonts w:ascii="Corbel" w:eastAsia="Times New Roman" w:hAnsi="Corbel" w:cs="Times New Roman"/>
                <w:color w:val="4472C4" w:themeColor="accent1"/>
                <w:kern w:val="0"/>
                <w:lang w:eastAsia="en-AU"/>
                <w14:ligatures w14:val="none"/>
              </w:rPr>
              <w:t xml:space="preserve">organisations to facilitate Career Tasters and industry </w:t>
            </w:r>
            <w:r w:rsidR="006A7A54" w:rsidRPr="00E37D01">
              <w:rPr>
                <w:rFonts w:ascii="Corbel" w:eastAsia="Times New Roman" w:hAnsi="Corbel" w:cs="Times New Roman"/>
                <w:color w:val="4472C4" w:themeColor="accent1"/>
                <w:kern w:val="0"/>
                <w:lang w:eastAsia="en-AU"/>
                <w14:ligatures w14:val="none"/>
              </w:rPr>
              <w:t>immersion</w:t>
            </w:r>
            <w:r w:rsidR="00137405" w:rsidRPr="00E37D01">
              <w:rPr>
                <w:rFonts w:ascii="Corbel" w:eastAsia="Times New Roman" w:hAnsi="Corbel" w:cs="Times New Roman"/>
                <w:color w:val="4472C4" w:themeColor="accent1"/>
                <w:kern w:val="0"/>
                <w:lang w:eastAsia="en-AU"/>
                <w14:ligatures w14:val="none"/>
              </w:rPr>
              <w:t xml:space="preserve"> opportunities</w:t>
            </w:r>
            <w:r w:rsidR="006A7A54" w:rsidRPr="00E37D01">
              <w:rPr>
                <w:rFonts w:ascii="Corbel" w:eastAsia="Times New Roman" w:hAnsi="Corbel" w:cs="Times New Roman"/>
                <w:color w:val="4472C4" w:themeColor="accent1"/>
                <w:kern w:val="0"/>
                <w:lang w:eastAsia="en-AU"/>
                <w14:ligatures w14:val="none"/>
              </w:rPr>
              <w:t>.</w:t>
            </w:r>
          </w:p>
          <w:p w14:paraId="1EC4C137" w14:textId="25C869F3" w:rsidR="00375AAD" w:rsidRPr="00BB1BAB" w:rsidRDefault="006A7A54" w:rsidP="00E37D01">
            <w:pPr>
              <w:pStyle w:val="ListParagraph"/>
              <w:numPr>
                <w:ilvl w:val="0"/>
                <w:numId w:val="37"/>
              </w:numPr>
              <w:rPr>
                <w:rFonts w:ascii="Corbel" w:eastAsia="Times New Roman" w:hAnsi="Corbel" w:cs="Times New Roman"/>
                <w:color w:val="4472C4" w:themeColor="accent1"/>
                <w:lang w:eastAsia="en-AU"/>
              </w:rPr>
            </w:pPr>
            <w:r w:rsidRPr="00E37D01">
              <w:rPr>
                <w:rFonts w:ascii="Corbel" w:eastAsia="Times New Roman" w:hAnsi="Corbel" w:cs="Times New Roman"/>
                <w:color w:val="4472C4" w:themeColor="accent1"/>
                <w:kern w:val="0"/>
                <w:lang w:eastAsia="en-AU"/>
                <w14:ligatures w14:val="none"/>
              </w:rPr>
              <w:t xml:space="preserve">Builds on partnerships with </w:t>
            </w:r>
            <w:r w:rsidR="007E09D0" w:rsidRPr="00E37D01">
              <w:rPr>
                <w:rFonts w:ascii="Corbel" w:eastAsia="Times New Roman" w:hAnsi="Corbel" w:cs="Times New Roman"/>
                <w:color w:val="4472C4" w:themeColor="accent1"/>
                <w:kern w:val="0"/>
                <w:lang w:eastAsia="en-AU"/>
                <w14:ligatures w14:val="none"/>
              </w:rPr>
              <w:t>Commonwealth</w:t>
            </w:r>
            <w:r w:rsidR="00E770A1" w:rsidRPr="00E37D01">
              <w:rPr>
                <w:rFonts w:ascii="Corbel" w:eastAsia="Times New Roman" w:hAnsi="Corbel" w:cs="Times New Roman"/>
                <w:color w:val="4472C4" w:themeColor="accent1"/>
                <w:kern w:val="0"/>
                <w:lang w:eastAsia="en-AU"/>
                <w14:ligatures w14:val="none"/>
              </w:rPr>
              <w:t>, s</w:t>
            </w:r>
            <w:r w:rsidRPr="00E37D01">
              <w:rPr>
                <w:rFonts w:ascii="Corbel" w:eastAsia="Times New Roman" w:hAnsi="Corbel" w:cs="Times New Roman"/>
                <w:color w:val="4472C4" w:themeColor="accent1"/>
                <w:kern w:val="0"/>
                <w:lang w:eastAsia="en-AU"/>
                <w14:ligatures w14:val="none"/>
              </w:rPr>
              <w:t xml:space="preserve">tate and territory </w:t>
            </w:r>
            <w:r w:rsidR="00E770A1" w:rsidRPr="00E37D01">
              <w:rPr>
                <w:rFonts w:ascii="Corbel" w:eastAsia="Times New Roman" w:hAnsi="Corbel" w:cs="Times New Roman"/>
                <w:color w:val="4472C4" w:themeColor="accent1"/>
                <w:kern w:val="0"/>
                <w:lang w:eastAsia="en-AU"/>
                <w14:ligatures w14:val="none"/>
              </w:rPr>
              <w:t>g</w:t>
            </w:r>
            <w:r w:rsidRPr="00E37D01">
              <w:rPr>
                <w:rFonts w:ascii="Corbel" w:eastAsia="Times New Roman" w:hAnsi="Corbel" w:cs="Times New Roman"/>
                <w:color w:val="4472C4" w:themeColor="accent1"/>
                <w:kern w:val="0"/>
                <w:lang w:eastAsia="en-AU"/>
                <w14:ligatures w14:val="none"/>
              </w:rPr>
              <w:t>overnments through the Careers Community of Practice</w:t>
            </w:r>
            <w:r w:rsidR="00E04C06" w:rsidRPr="00E37D01">
              <w:rPr>
                <w:rFonts w:ascii="Corbel" w:eastAsia="Times New Roman" w:hAnsi="Corbel" w:cs="Times New Roman"/>
                <w:color w:val="4472C4" w:themeColor="accent1"/>
                <w:kern w:val="0"/>
                <w:lang w:eastAsia="en-AU"/>
                <w14:ligatures w14:val="none"/>
              </w:rPr>
              <w:t>.</w:t>
            </w:r>
          </w:p>
        </w:tc>
      </w:tr>
      <w:tr w:rsidR="006A7A54" w:rsidRPr="008F1196" w14:paraId="182F34EA" w14:textId="77777777" w:rsidTr="008C7933">
        <w:tc>
          <w:tcPr>
            <w:tcW w:w="2594" w:type="dxa"/>
          </w:tcPr>
          <w:p w14:paraId="777E2FEA" w14:textId="77777777"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Evidence Base</w:t>
            </w:r>
          </w:p>
        </w:tc>
        <w:tc>
          <w:tcPr>
            <w:tcW w:w="6762" w:type="dxa"/>
            <w:gridSpan w:val="3"/>
            <w:vAlign w:val="bottom"/>
          </w:tcPr>
          <w:p w14:paraId="3F011B85" w14:textId="77777777" w:rsidR="006A7A54" w:rsidRPr="007A63A8" w:rsidRDefault="006A7A54" w:rsidP="005D523E">
            <w:p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Existing</w:t>
            </w:r>
          </w:p>
          <w:p w14:paraId="28898C5E" w14:textId="77777777" w:rsidR="006A7A54" w:rsidRPr="007A63A8" w:rsidRDefault="006A7A54" w:rsidP="006A7A54">
            <w:pPr>
              <w:pStyle w:val="ListParagraph"/>
              <w:numPr>
                <w:ilvl w:val="0"/>
                <w:numId w:val="38"/>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NCVER research: 1 in 4 part-completers left training due to unclear career </w:t>
            </w:r>
            <w:r w:rsidRPr="007A63A8">
              <w:rPr>
                <w:rFonts w:ascii="Corbel" w:eastAsia="Times New Roman" w:hAnsi="Corbel" w:cs="Times New Roman"/>
                <w:color w:val="4472C4" w:themeColor="accent1"/>
                <w:lang w:eastAsia="en-AU"/>
              </w:rPr>
              <w:t>expectations.</w:t>
            </w:r>
          </w:p>
          <w:p w14:paraId="3FDABDD4" w14:textId="65D3104E" w:rsidR="006A7A54" w:rsidRPr="007A63A8" w:rsidRDefault="006A7A54" w:rsidP="006A7A54">
            <w:pPr>
              <w:pStyle w:val="ListParagraph"/>
              <w:numPr>
                <w:ilvl w:val="0"/>
                <w:numId w:val="38"/>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Consultation feedback</w:t>
            </w:r>
            <w:r w:rsidR="005F5FFD" w:rsidRPr="007A63A8">
              <w:rPr>
                <w:rFonts w:ascii="Corbel" w:eastAsia="Times New Roman" w:hAnsi="Corbel" w:cs="Times New Roman"/>
                <w:color w:val="4472C4" w:themeColor="accent1"/>
                <w:kern w:val="0"/>
                <w:lang w:eastAsia="en-AU"/>
                <w14:ligatures w14:val="none"/>
              </w:rPr>
              <w:t xml:space="preserve"> </w:t>
            </w:r>
            <w:r w:rsidR="00F1022D">
              <w:rPr>
                <w:rFonts w:ascii="Corbel" w:eastAsia="Times New Roman" w:hAnsi="Corbel" w:cs="Times New Roman"/>
                <w:color w:val="4472C4" w:themeColor="accent1"/>
                <w:kern w:val="0"/>
                <w:lang w:eastAsia="en-AU"/>
                <w14:ligatures w14:val="none"/>
              </w:rPr>
              <w:t xml:space="preserve">indicates </w:t>
            </w:r>
            <w:r w:rsidR="005F5FFD" w:rsidRPr="007A63A8">
              <w:rPr>
                <w:rFonts w:ascii="Corbel" w:eastAsia="Times New Roman" w:hAnsi="Corbel" w:cs="Times New Roman"/>
                <w:color w:val="4472C4" w:themeColor="accent1"/>
                <w:kern w:val="0"/>
                <w:lang w:eastAsia="en-AU"/>
                <w14:ligatures w14:val="none"/>
              </w:rPr>
              <w:t>s</w:t>
            </w:r>
            <w:r w:rsidR="00D029E1" w:rsidRPr="007A63A8">
              <w:rPr>
                <w:rFonts w:ascii="Corbel" w:eastAsia="Times New Roman" w:hAnsi="Corbel" w:cs="Times New Roman"/>
                <w:color w:val="4472C4" w:themeColor="accent1"/>
                <w:kern w:val="0"/>
                <w:lang w:eastAsia="en-AU"/>
                <w14:ligatures w14:val="none"/>
              </w:rPr>
              <w:t>trong</w:t>
            </w:r>
            <w:r w:rsidR="005F5FFD" w:rsidRPr="007A63A8">
              <w:rPr>
                <w:rFonts w:ascii="Corbel" w:eastAsia="Times New Roman" w:hAnsi="Corbel" w:cs="Times New Roman"/>
                <w:color w:val="4472C4" w:themeColor="accent1"/>
                <w:kern w:val="0"/>
                <w:lang w:eastAsia="en-AU"/>
                <w14:ligatures w14:val="none"/>
              </w:rPr>
              <w:t xml:space="preserve"> </w:t>
            </w:r>
            <w:r w:rsidR="00D029E1" w:rsidRPr="007A63A8">
              <w:rPr>
                <w:rFonts w:ascii="Corbel" w:eastAsia="Times New Roman" w:hAnsi="Corbel" w:cs="Times New Roman"/>
                <w:color w:val="4472C4" w:themeColor="accent1"/>
                <w:kern w:val="0"/>
                <w:lang w:eastAsia="en-AU"/>
                <w14:ligatures w14:val="none"/>
              </w:rPr>
              <w:t>d</w:t>
            </w:r>
            <w:r w:rsidRPr="007A63A8">
              <w:rPr>
                <w:rFonts w:ascii="Corbel" w:eastAsia="Times New Roman" w:hAnsi="Corbel" w:cs="Times New Roman"/>
                <w:color w:val="4472C4" w:themeColor="accent1"/>
                <w:kern w:val="0"/>
                <w:lang w:eastAsia="en-AU"/>
                <w14:ligatures w14:val="none"/>
              </w:rPr>
              <w:t>emand for better VET information and student support</w:t>
            </w:r>
            <w:r w:rsidR="004802AC">
              <w:rPr>
                <w:rFonts w:ascii="Corbel" w:eastAsia="Times New Roman" w:hAnsi="Corbel" w:cs="Times New Roman"/>
                <w:color w:val="4472C4" w:themeColor="accent1"/>
                <w:kern w:val="0"/>
                <w:lang w:eastAsia="en-AU"/>
                <w14:ligatures w14:val="none"/>
              </w:rPr>
              <w:t xml:space="preserve"> and</w:t>
            </w:r>
            <w:r w:rsidR="00572680" w:rsidRPr="007A63A8">
              <w:rPr>
                <w:rFonts w:ascii="Corbel" w:eastAsia="Times New Roman" w:hAnsi="Corbel" w:cs="Times New Roman"/>
                <w:color w:val="4472C4" w:themeColor="accent1"/>
                <w:kern w:val="0"/>
                <w:lang w:eastAsia="en-AU"/>
                <w14:ligatures w14:val="none"/>
              </w:rPr>
              <w:t xml:space="preserve"> need to improve community perception of the value of VET careers.</w:t>
            </w:r>
          </w:p>
          <w:p w14:paraId="45B13306" w14:textId="0E0E2D9B" w:rsidR="006A7A54" w:rsidRPr="007A63A8" w:rsidRDefault="006A7A54" w:rsidP="006A7A54">
            <w:pPr>
              <w:pStyle w:val="ListParagraph"/>
              <w:numPr>
                <w:ilvl w:val="0"/>
                <w:numId w:val="38"/>
              </w:numPr>
              <w:rPr>
                <w:rFonts w:ascii="Corbel" w:hAnsi="Corbel"/>
                <w:color w:val="4472C4" w:themeColor="accent1"/>
                <w:lang w:eastAsia="en-US"/>
              </w:rPr>
            </w:pPr>
            <w:r w:rsidRPr="007A63A8">
              <w:rPr>
                <w:rFonts w:ascii="Corbel" w:eastAsia="Times New Roman" w:hAnsi="Corbel" w:cs="Times New Roman"/>
                <w:color w:val="4472C4" w:themeColor="accent1"/>
                <w:kern w:val="0"/>
                <w:lang w:eastAsia="en-AU"/>
                <w14:ligatures w14:val="none"/>
              </w:rPr>
              <w:t xml:space="preserve">National VET Completions Taskforce recommendations highlight the need for structured career </w:t>
            </w:r>
            <w:r w:rsidR="00C97420" w:rsidRPr="007A63A8">
              <w:rPr>
                <w:rFonts w:ascii="Corbel" w:eastAsia="Times New Roman" w:hAnsi="Corbel" w:cs="Times New Roman"/>
                <w:color w:val="4472C4" w:themeColor="accent1"/>
                <w:kern w:val="0"/>
                <w:lang w:eastAsia="en-AU"/>
                <w14:ligatures w14:val="none"/>
              </w:rPr>
              <w:t>guidance.</w:t>
            </w:r>
          </w:p>
          <w:p w14:paraId="39FF522F" w14:textId="5CBC29E5" w:rsidR="006A7A54" w:rsidRPr="00E2398D" w:rsidRDefault="006A7A54" w:rsidP="005D523E">
            <w:p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 xml:space="preserve">Future </w:t>
            </w:r>
            <w:r w:rsidR="00D029E1" w:rsidRPr="00E2398D">
              <w:rPr>
                <w:rFonts w:ascii="Corbel" w:eastAsia="Times New Roman" w:hAnsi="Corbel" w:cs="Times New Roman"/>
                <w:color w:val="4472C4" w:themeColor="accent1"/>
                <w:lang w:eastAsia="en-AU"/>
              </w:rPr>
              <w:t>n</w:t>
            </w:r>
            <w:r w:rsidRPr="00E2398D">
              <w:rPr>
                <w:rFonts w:ascii="Corbel" w:eastAsia="Times New Roman" w:hAnsi="Corbel" w:cs="Times New Roman"/>
                <w:color w:val="4472C4" w:themeColor="accent1"/>
                <w:lang w:eastAsia="en-AU"/>
              </w:rPr>
              <w:t xml:space="preserve">ational </w:t>
            </w:r>
            <w:r w:rsidR="00D029E1" w:rsidRPr="00E2398D">
              <w:rPr>
                <w:rFonts w:ascii="Corbel" w:eastAsia="Times New Roman" w:hAnsi="Corbel" w:cs="Times New Roman"/>
                <w:color w:val="4472C4" w:themeColor="accent1"/>
                <w:lang w:eastAsia="en-AU"/>
              </w:rPr>
              <w:t>c</w:t>
            </w:r>
            <w:r w:rsidRPr="00E2398D">
              <w:rPr>
                <w:rFonts w:ascii="Corbel" w:eastAsia="Times New Roman" w:hAnsi="Corbel" w:cs="Times New Roman"/>
                <w:color w:val="4472C4" w:themeColor="accent1"/>
                <w:lang w:eastAsia="en-AU"/>
              </w:rPr>
              <w:t>ontribution</w:t>
            </w:r>
          </w:p>
          <w:p w14:paraId="1300A939" w14:textId="4357C41E" w:rsidR="006A7A54" w:rsidRPr="00E2398D" w:rsidRDefault="00FF4489" w:rsidP="006A7A54">
            <w:pPr>
              <w:pStyle w:val="ListParagraph"/>
              <w:numPr>
                <w:ilvl w:val="0"/>
                <w:numId w:val="38"/>
              </w:numPr>
              <w:rPr>
                <w:rFonts w:ascii="Corbel" w:hAnsi="Corbel"/>
                <w:color w:val="4472C4" w:themeColor="accent1"/>
              </w:rPr>
            </w:pPr>
            <w:r w:rsidRPr="00E2398D">
              <w:rPr>
                <w:rFonts w:ascii="Corbel" w:hAnsi="Corbel"/>
                <w:color w:val="4472C4" w:themeColor="accent1"/>
              </w:rPr>
              <w:t>B</w:t>
            </w:r>
            <w:r w:rsidR="006A7A54" w:rsidRPr="00E2398D">
              <w:rPr>
                <w:rFonts w:ascii="Corbel" w:hAnsi="Corbel"/>
                <w:color w:val="4472C4" w:themeColor="accent1"/>
              </w:rPr>
              <w:t>est practice dissemination through a central repository</w:t>
            </w:r>
            <w:r w:rsidR="00742F19" w:rsidRPr="00E2398D">
              <w:rPr>
                <w:rFonts w:ascii="Corbel" w:hAnsi="Corbel"/>
                <w:color w:val="4472C4" w:themeColor="accent1"/>
              </w:rPr>
              <w:t xml:space="preserve"> and national sharing </w:t>
            </w:r>
            <w:r w:rsidR="00795AAC" w:rsidRPr="00E2398D">
              <w:rPr>
                <w:rFonts w:ascii="Corbel" w:hAnsi="Corbel"/>
                <w:color w:val="4472C4" w:themeColor="accent1"/>
              </w:rPr>
              <w:t>arrangements to</w:t>
            </w:r>
            <w:r w:rsidR="006A7A54" w:rsidRPr="00E2398D">
              <w:rPr>
                <w:rFonts w:ascii="Corbel" w:hAnsi="Corbel"/>
                <w:color w:val="4472C4" w:themeColor="accent1"/>
              </w:rPr>
              <w:t xml:space="preserve"> support continuous improvement</w:t>
            </w:r>
            <w:r w:rsidR="00742F19" w:rsidRPr="00E2398D">
              <w:rPr>
                <w:rFonts w:ascii="Corbel" w:hAnsi="Corbel"/>
                <w:color w:val="4472C4" w:themeColor="accent1"/>
              </w:rPr>
              <w:t>.</w:t>
            </w:r>
          </w:p>
          <w:p w14:paraId="1B68A283" w14:textId="3A6E8FCF" w:rsidR="006A7A54" w:rsidRPr="007A63A8" w:rsidRDefault="00EA600C" w:rsidP="006A7A54">
            <w:pPr>
              <w:pStyle w:val="ListParagraph"/>
              <w:numPr>
                <w:ilvl w:val="0"/>
                <w:numId w:val="38"/>
              </w:numPr>
              <w:rPr>
                <w:rFonts w:ascii="Corbel" w:hAnsi="Corbel"/>
                <w:color w:val="4472C4" w:themeColor="accent1"/>
              </w:rPr>
            </w:pPr>
            <w:r>
              <w:rPr>
                <w:rFonts w:ascii="Corbel" w:hAnsi="Corbel"/>
                <w:color w:val="4472C4" w:themeColor="accent1"/>
              </w:rPr>
              <w:t>Information and in</w:t>
            </w:r>
            <w:r w:rsidR="00073D10">
              <w:rPr>
                <w:rFonts w:ascii="Corbel" w:hAnsi="Corbel"/>
                <w:color w:val="4472C4" w:themeColor="accent1"/>
              </w:rPr>
              <w:t>sights will continue to be</w:t>
            </w:r>
            <w:r w:rsidR="006A7A54" w:rsidRPr="007A63A8">
              <w:rPr>
                <w:rFonts w:ascii="Corbel" w:hAnsi="Corbel"/>
                <w:color w:val="4472C4" w:themeColor="accent1"/>
              </w:rPr>
              <w:t xml:space="preserve"> shared through the Careers Community Practice led by the </w:t>
            </w:r>
            <w:r w:rsidR="004379AD">
              <w:rPr>
                <w:rFonts w:ascii="Corbel" w:hAnsi="Corbel"/>
                <w:color w:val="4472C4" w:themeColor="accent1"/>
              </w:rPr>
              <w:t xml:space="preserve">Commonwealth </w:t>
            </w:r>
            <w:r w:rsidR="006A7A54" w:rsidRPr="007A63A8">
              <w:rPr>
                <w:rFonts w:ascii="Corbel" w:hAnsi="Corbel"/>
                <w:color w:val="4472C4" w:themeColor="accent1"/>
              </w:rPr>
              <w:t>Government</w:t>
            </w:r>
            <w:r w:rsidR="00976B23">
              <w:rPr>
                <w:rFonts w:ascii="Corbel" w:hAnsi="Corbel"/>
                <w:color w:val="4472C4" w:themeColor="accent1"/>
              </w:rPr>
              <w:t>,</w:t>
            </w:r>
            <w:r w:rsidR="006A7A54" w:rsidRPr="007A63A8">
              <w:rPr>
                <w:rFonts w:ascii="Corbel" w:hAnsi="Corbel"/>
                <w:color w:val="4472C4" w:themeColor="accent1"/>
              </w:rPr>
              <w:t xml:space="preserve"> with</w:t>
            </w:r>
            <w:r w:rsidR="00073D10">
              <w:rPr>
                <w:rFonts w:ascii="Corbel" w:hAnsi="Corbel"/>
                <w:color w:val="4472C4" w:themeColor="accent1"/>
              </w:rPr>
              <w:t xml:space="preserve"> diverse</w:t>
            </w:r>
            <w:r w:rsidR="006A7A54" w:rsidRPr="007A63A8">
              <w:rPr>
                <w:rFonts w:ascii="Corbel" w:hAnsi="Corbel"/>
                <w:color w:val="4472C4" w:themeColor="accent1"/>
              </w:rPr>
              <w:t xml:space="preserve"> membership </w:t>
            </w:r>
            <w:r w:rsidR="00073D10">
              <w:rPr>
                <w:rFonts w:ascii="Corbel" w:hAnsi="Corbel"/>
                <w:color w:val="4472C4" w:themeColor="accent1"/>
              </w:rPr>
              <w:t>across all</w:t>
            </w:r>
            <w:r w:rsidR="006A7A54" w:rsidRPr="007A63A8">
              <w:rPr>
                <w:rFonts w:ascii="Corbel" w:hAnsi="Corbel"/>
                <w:color w:val="4472C4" w:themeColor="accent1"/>
              </w:rPr>
              <w:t xml:space="preserve"> state and territory </w:t>
            </w:r>
            <w:r w:rsidR="00073D10">
              <w:rPr>
                <w:rFonts w:ascii="Corbel" w:hAnsi="Corbel"/>
                <w:color w:val="4472C4" w:themeColor="accent1"/>
              </w:rPr>
              <w:lastRenderedPageBreak/>
              <w:t xml:space="preserve">(including </w:t>
            </w:r>
            <w:r w:rsidR="00231FF3">
              <w:rPr>
                <w:rFonts w:ascii="Corbel" w:hAnsi="Corbel"/>
                <w:color w:val="4472C4" w:themeColor="accent1"/>
              </w:rPr>
              <w:t xml:space="preserve">school, VET, policy, </w:t>
            </w:r>
            <w:r w:rsidR="00032D7B">
              <w:rPr>
                <w:rFonts w:ascii="Corbel" w:hAnsi="Corbel"/>
                <w:color w:val="4472C4" w:themeColor="accent1"/>
              </w:rPr>
              <w:t>service delivery</w:t>
            </w:r>
            <w:r w:rsidR="00653CA5">
              <w:rPr>
                <w:rFonts w:ascii="Corbel" w:hAnsi="Corbel"/>
                <w:color w:val="4472C4" w:themeColor="accent1"/>
              </w:rPr>
              <w:t xml:space="preserve"> and communication </w:t>
            </w:r>
            <w:r w:rsidR="00032D7B">
              <w:rPr>
                <w:rFonts w:ascii="Corbel" w:hAnsi="Corbel"/>
                <w:color w:val="4472C4" w:themeColor="accent1"/>
              </w:rPr>
              <w:t>expertise</w:t>
            </w:r>
            <w:r w:rsidR="00653CA5">
              <w:rPr>
                <w:rFonts w:ascii="Corbel" w:hAnsi="Corbel"/>
                <w:color w:val="4472C4" w:themeColor="accent1"/>
              </w:rPr>
              <w:t>)</w:t>
            </w:r>
          </w:p>
        </w:tc>
      </w:tr>
      <w:tr w:rsidR="006A7A54" w:rsidRPr="008F1196" w14:paraId="059BF8CE" w14:textId="77777777" w:rsidTr="008C7933">
        <w:tc>
          <w:tcPr>
            <w:tcW w:w="2594" w:type="dxa"/>
          </w:tcPr>
          <w:p w14:paraId="660DA6C2" w14:textId="2BF7262A"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Evaluation</w:t>
            </w:r>
          </w:p>
        </w:tc>
        <w:tc>
          <w:tcPr>
            <w:tcW w:w="6762" w:type="dxa"/>
            <w:gridSpan w:val="3"/>
            <w:vAlign w:val="bottom"/>
          </w:tcPr>
          <w:p w14:paraId="587E6669" w14:textId="78E48177" w:rsidR="00BF0433" w:rsidRPr="00BF0433" w:rsidRDefault="00BF0433" w:rsidP="00BF0433">
            <w:pPr>
              <w:pStyle w:val="ListParagraph"/>
              <w:numPr>
                <w:ilvl w:val="0"/>
                <w:numId w:val="35"/>
              </w:numPr>
              <w:rPr>
                <w:rFonts w:ascii="Corbel" w:eastAsia="Times New Roman" w:hAnsi="Corbel" w:cs="Times New Roman"/>
                <w:color w:val="4472C4" w:themeColor="accent1"/>
                <w:kern w:val="0"/>
                <w:lang w:eastAsia="en-AU"/>
                <w14:ligatures w14:val="none"/>
              </w:rPr>
            </w:pPr>
            <w:r w:rsidRPr="00BF0433">
              <w:rPr>
                <w:rFonts w:ascii="Corbel" w:eastAsia="Times New Roman" w:hAnsi="Corbel" w:cs="Times New Roman"/>
                <w:color w:val="4472C4" w:themeColor="accent1"/>
                <w:kern w:val="0"/>
                <w:lang w:eastAsia="en-AU"/>
                <w14:ligatures w14:val="none"/>
              </w:rPr>
              <w:t>Attitudes</w:t>
            </w:r>
            <w:r w:rsidR="00924B9D">
              <w:rPr>
                <w:rFonts w:ascii="Corbel" w:eastAsia="Times New Roman" w:hAnsi="Corbel" w:cs="Times New Roman"/>
                <w:color w:val="4472C4" w:themeColor="accent1"/>
                <w:kern w:val="0"/>
                <w:lang w:eastAsia="en-AU"/>
                <w14:ligatures w14:val="none"/>
              </w:rPr>
              <w:t xml:space="preserve"> </w:t>
            </w:r>
            <w:r w:rsidR="00245F28">
              <w:rPr>
                <w:rFonts w:ascii="Corbel" w:eastAsia="Times New Roman" w:hAnsi="Corbel" w:cs="Times New Roman"/>
                <w:color w:val="4472C4" w:themeColor="accent1"/>
                <w:kern w:val="0"/>
                <w:lang w:eastAsia="en-AU"/>
                <w14:ligatures w14:val="none"/>
              </w:rPr>
              <w:t xml:space="preserve">towards skilled careers and </w:t>
            </w:r>
            <w:r w:rsidR="00424176">
              <w:rPr>
                <w:rFonts w:ascii="Corbel" w:eastAsia="Times New Roman" w:hAnsi="Corbel" w:cs="Times New Roman"/>
                <w:color w:val="4472C4" w:themeColor="accent1"/>
                <w:kern w:val="0"/>
                <w:lang w:eastAsia="en-AU"/>
                <w14:ligatures w14:val="none"/>
              </w:rPr>
              <w:t xml:space="preserve">training pathways, </w:t>
            </w:r>
            <w:r w:rsidR="00924B9D">
              <w:rPr>
                <w:rFonts w:ascii="Corbel" w:eastAsia="Times New Roman" w:hAnsi="Corbel" w:cs="Times New Roman"/>
                <w:color w:val="4472C4" w:themeColor="accent1"/>
                <w:kern w:val="0"/>
                <w:lang w:eastAsia="en-AU"/>
                <w14:ligatures w14:val="none"/>
              </w:rPr>
              <w:t xml:space="preserve">and awareness levels </w:t>
            </w:r>
            <w:r w:rsidR="00424176">
              <w:rPr>
                <w:rFonts w:ascii="Corbel" w:eastAsia="Times New Roman" w:hAnsi="Corbel" w:cs="Times New Roman"/>
                <w:color w:val="4472C4" w:themeColor="accent1"/>
                <w:kern w:val="0"/>
                <w:lang w:eastAsia="en-AU"/>
                <w14:ligatures w14:val="none"/>
              </w:rPr>
              <w:t xml:space="preserve">of training pathways and opportunities like funded training, </w:t>
            </w:r>
            <w:r w:rsidR="00924B9D">
              <w:rPr>
                <w:rFonts w:ascii="Corbel" w:eastAsia="Times New Roman" w:hAnsi="Corbel" w:cs="Times New Roman"/>
                <w:color w:val="4472C4" w:themeColor="accent1"/>
                <w:kern w:val="0"/>
                <w:lang w:eastAsia="en-AU"/>
                <w14:ligatures w14:val="none"/>
              </w:rPr>
              <w:t xml:space="preserve">through </w:t>
            </w:r>
            <w:r w:rsidR="00424176">
              <w:rPr>
                <w:rFonts w:ascii="Corbel" w:eastAsia="Times New Roman" w:hAnsi="Corbel" w:cs="Times New Roman"/>
                <w:color w:val="4472C4" w:themeColor="accent1"/>
                <w:kern w:val="0"/>
                <w:lang w:eastAsia="en-AU"/>
                <w14:ligatures w14:val="none"/>
              </w:rPr>
              <w:t xml:space="preserve">ongoing quantitative </w:t>
            </w:r>
            <w:r w:rsidR="00924B9D">
              <w:rPr>
                <w:rFonts w:ascii="Corbel" w:eastAsia="Times New Roman" w:hAnsi="Corbel" w:cs="Times New Roman"/>
                <w:color w:val="4472C4" w:themeColor="accent1"/>
                <w:kern w:val="0"/>
                <w:lang w:eastAsia="en-AU"/>
                <w14:ligatures w14:val="none"/>
              </w:rPr>
              <w:t>research (e.g. surveys)</w:t>
            </w:r>
          </w:p>
          <w:p w14:paraId="2F3B16B5" w14:textId="654A9327" w:rsidR="00BF0433" w:rsidRDefault="00924B9D" w:rsidP="006A7A54">
            <w:pPr>
              <w:pStyle w:val="ListParagraph"/>
              <w:numPr>
                <w:ilvl w:val="0"/>
                <w:numId w:val="35"/>
              </w:numPr>
              <w:rPr>
                <w:rFonts w:ascii="Corbel" w:eastAsia="Times New Roman" w:hAnsi="Corbel" w:cs="Times New Roman"/>
                <w:color w:val="4472C4" w:themeColor="accent1"/>
                <w:kern w:val="0"/>
                <w:lang w:eastAsia="en-AU"/>
                <w14:ligatures w14:val="none"/>
              </w:rPr>
            </w:pPr>
            <w:r>
              <w:rPr>
                <w:rFonts w:ascii="Corbel" w:eastAsia="Times New Roman" w:hAnsi="Corbel" w:cs="Times New Roman"/>
                <w:color w:val="4472C4" w:themeColor="accent1"/>
                <w:kern w:val="0"/>
                <w:lang w:eastAsia="en-AU"/>
                <w14:ligatures w14:val="none"/>
              </w:rPr>
              <w:t xml:space="preserve">Website traffic and performance </w:t>
            </w:r>
            <w:r w:rsidR="005553DE">
              <w:rPr>
                <w:rFonts w:ascii="Corbel" w:eastAsia="Times New Roman" w:hAnsi="Corbel" w:cs="Times New Roman"/>
                <w:color w:val="4472C4" w:themeColor="accent1"/>
                <w:kern w:val="0"/>
                <w:lang w:eastAsia="en-AU"/>
                <w14:ligatures w14:val="none"/>
              </w:rPr>
              <w:t>metrics</w:t>
            </w:r>
            <w:r w:rsidR="00FE089B">
              <w:rPr>
                <w:rFonts w:ascii="Corbel" w:eastAsia="Times New Roman" w:hAnsi="Corbel" w:cs="Times New Roman"/>
                <w:color w:val="4472C4" w:themeColor="accent1"/>
                <w:kern w:val="0"/>
                <w:lang w:eastAsia="en-AU"/>
                <w14:ligatures w14:val="none"/>
              </w:rPr>
              <w:t>.</w:t>
            </w:r>
          </w:p>
          <w:p w14:paraId="4FE193B3" w14:textId="035C7408" w:rsidR="005553DE" w:rsidRDefault="005553DE" w:rsidP="006A7A54">
            <w:pPr>
              <w:pStyle w:val="ListParagraph"/>
              <w:numPr>
                <w:ilvl w:val="0"/>
                <w:numId w:val="35"/>
              </w:numPr>
              <w:rPr>
                <w:rFonts w:ascii="Corbel" w:eastAsia="Times New Roman" w:hAnsi="Corbel" w:cs="Times New Roman"/>
                <w:color w:val="4472C4" w:themeColor="accent1"/>
                <w:kern w:val="0"/>
                <w:lang w:eastAsia="en-AU"/>
                <w14:ligatures w14:val="none"/>
              </w:rPr>
            </w:pPr>
            <w:r>
              <w:rPr>
                <w:rFonts w:ascii="Corbel" w:eastAsia="Times New Roman" w:hAnsi="Corbel" w:cs="Times New Roman"/>
                <w:color w:val="4472C4" w:themeColor="accent1"/>
                <w:kern w:val="0"/>
                <w:lang w:eastAsia="en-AU"/>
                <w14:ligatures w14:val="none"/>
              </w:rPr>
              <w:t xml:space="preserve">Customer satisfaction levels through </w:t>
            </w:r>
            <w:r w:rsidR="00C71825">
              <w:rPr>
                <w:rFonts w:ascii="Corbel" w:eastAsia="Times New Roman" w:hAnsi="Corbel" w:cs="Times New Roman"/>
                <w:color w:val="4472C4" w:themeColor="accent1"/>
                <w:kern w:val="0"/>
                <w:lang w:eastAsia="en-AU"/>
                <w14:ligatures w14:val="none"/>
              </w:rPr>
              <w:t>feedback and surveys</w:t>
            </w:r>
            <w:r w:rsidR="00FE089B">
              <w:rPr>
                <w:rFonts w:ascii="Corbel" w:eastAsia="Times New Roman" w:hAnsi="Corbel" w:cs="Times New Roman"/>
                <w:color w:val="4472C4" w:themeColor="accent1"/>
                <w:kern w:val="0"/>
                <w:lang w:eastAsia="en-AU"/>
                <w14:ligatures w14:val="none"/>
              </w:rPr>
              <w:t>.</w:t>
            </w:r>
          </w:p>
          <w:p w14:paraId="5ED3FCF4" w14:textId="45AF1D1A" w:rsidR="006A7A54" w:rsidRPr="007A63A8" w:rsidRDefault="00E333DC" w:rsidP="00BB56A7">
            <w:pPr>
              <w:pStyle w:val="ListParagraph"/>
              <w:numPr>
                <w:ilvl w:val="0"/>
                <w:numId w:val="35"/>
              </w:numPr>
              <w:rPr>
                <w:rFonts w:ascii="Corbel" w:hAnsi="Corbel"/>
                <w:color w:val="4472C4" w:themeColor="accent1"/>
                <w:lang w:eastAsia="en-US"/>
              </w:rPr>
            </w:pPr>
            <w:r>
              <w:rPr>
                <w:rFonts w:ascii="Corbel" w:eastAsia="Times New Roman" w:hAnsi="Corbel" w:cs="Times New Roman"/>
                <w:color w:val="4472C4" w:themeColor="accent1"/>
                <w:lang w:eastAsia="en-AU"/>
              </w:rPr>
              <w:t>Build capability for</w:t>
            </w:r>
            <w:r w:rsidR="00CB0CF2">
              <w:rPr>
                <w:rFonts w:ascii="Corbel" w:eastAsia="Times New Roman" w:hAnsi="Corbel" w:cs="Times New Roman"/>
                <w:color w:val="4472C4" w:themeColor="accent1"/>
                <w:lang w:eastAsia="en-AU"/>
              </w:rPr>
              <w:t xml:space="preserve"> </w:t>
            </w:r>
            <w:r w:rsidR="00950877">
              <w:rPr>
                <w:rFonts w:ascii="Corbel" w:eastAsia="Times New Roman" w:hAnsi="Corbel" w:cs="Times New Roman"/>
                <w:color w:val="4472C4" w:themeColor="accent1"/>
                <w:lang w:eastAsia="en-AU"/>
              </w:rPr>
              <w:t>l</w:t>
            </w:r>
            <w:r w:rsidR="006A7A54" w:rsidRPr="007A63A8">
              <w:rPr>
                <w:rFonts w:ascii="Corbel" w:eastAsia="Times New Roman" w:hAnsi="Corbel" w:cs="Times New Roman"/>
                <w:color w:val="4472C4" w:themeColor="accent1"/>
                <w:lang w:eastAsia="en-AU"/>
              </w:rPr>
              <w:t xml:space="preserve">ongitudinal tracking of Career Taster participants for VET enrolment impact </w:t>
            </w:r>
          </w:p>
        </w:tc>
      </w:tr>
      <w:tr w:rsidR="006A7A54" w:rsidRPr="008F1196" w14:paraId="69BC4F0B" w14:textId="77777777" w:rsidTr="008C7933">
        <w:tc>
          <w:tcPr>
            <w:tcW w:w="2594" w:type="dxa"/>
          </w:tcPr>
          <w:p w14:paraId="4BA4BA59" w14:textId="1A85232F"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KPIs</w:t>
            </w:r>
          </w:p>
        </w:tc>
        <w:tc>
          <w:tcPr>
            <w:tcW w:w="6762" w:type="dxa"/>
            <w:gridSpan w:val="3"/>
            <w:vAlign w:val="bottom"/>
          </w:tcPr>
          <w:p w14:paraId="6FED0670" w14:textId="561DEF45" w:rsidR="00A839DA" w:rsidRPr="00696FF4" w:rsidRDefault="00A839DA" w:rsidP="00A839DA">
            <w:pPr>
              <w:rPr>
                <w:rFonts w:ascii="Corbel" w:hAnsi="Corbel"/>
                <w:color w:val="4472C4" w:themeColor="accent1"/>
                <w:lang w:eastAsia="en-US"/>
              </w:rPr>
            </w:pPr>
            <w:r w:rsidRPr="00696FF4">
              <w:rPr>
                <w:rFonts w:ascii="Corbel" w:hAnsi="Corbel"/>
                <w:color w:val="4472C4" w:themeColor="accent1"/>
                <w:lang w:eastAsia="en-US"/>
              </w:rPr>
              <w:t>Increase in student awareness and perception of VET pathways</w:t>
            </w:r>
            <w:r w:rsidR="00255CDA">
              <w:rPr>
                <w:rFonts w:ascii="Corbel" w:hAnsi="Corbel"/>
                <w:color w:val="4472C4" w:themeColor="accent1"/>
                <w:lang w:eastAsia="en-US"/>
              </w:rPr>
              <w:t>.</w:t>
            </w:r>
          </w:p>
          <w:p w14:paraId="1EBD92FA" w14:textId="6327057D" w:rsidR="006A7A54" w:rsidRPr="007A63A8" w:rsidRDefault="006A7A54" w:rsidP="005D523E">
            <w:pPr>
              <w:rPr>
                <w:rFonts w:ascii="Corbel" w:hAnsi="Corbel"/>
                <w:color w:val="4472C4" w:themeColor="accent1"/>
              </w:rPr>
            </w:pPr>
          </w:p>
        </w:tc>
      </w:tr>
      <w:tr w:rsidR="006A7A54" w:rsidRPr="008F1196" w14:paraId="21D050BF" w14:textId="77777777" w:rsidTr="008C7933">
        <w:tc>
          <w:tcPr>
            <w:tcW w:w="2594" w:type="dxa"/>
            <w:vAlign w:val="bottom"/>
          </w:tcPr>
          <w:p w14:paraId="78314B1C" w14:textId="77777777" w:rsidR="006A7A54" w:rsidRPr="007A63A8" w:rsidRDefault="006A7A54"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Commonwealth Investment ($)</w:t>
            </w:r>
          </w:p>
        </w:tc>
        <w:tc>
          <w:tcPr>
            <w:tcW w:w="2268" w:type="dxa"/>
            <w:vAlign w:val="bottom"/>
          </w:tcPr>
          <w:p w14:paraId="161B6384" w14:textId="77777777" w:rsidR="006A7A54" w:rsidRPr="007A63A8" w:rsidRDefault="006A7A54"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State Investment ($)</w:t>
            </w:r>
          </w:p>
        </w:tc>
        <w:tc>
          <w:tcPr>
            <w:tcW w:w="2228" w:type="dxa"/>
            <w:vAlign w:val="bottom"/>
          </w:tcPr>
          <w:p w14:paraId="33C579A0" w14:textId="77777777" w:rsidR="006A7A54" w:rsidRPr="007A63A8" w:rsidRDefault="006A7A54"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Start Date</w:t>
            </w:r>
          </w:p>
        </w:tc>
        <w:tc>
          <w:tcPr>
            <w:tcW w:w="2266" w:type="dxa"/>
            <w:vAlign w:val="bottom"/>
          </w:tcPr>
          <w:p w14:paraId="39D7AB38" w14:textId="77777777" w:rsidR="006A7A54" w:rsidRPr="007A63A8" w:rsidRDefault="006A7A54"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End Date</w:t>
            </w:r>
          </w:p>
        </w:tc>
      </w:tr>
      <w:tr w:rsidR="006E566A" w:rsidRPr="008F1196" w14:paraId="4F4AA7A3" w14:textId="77777777" w:rsidTr="008C7933">
        <w:tc>
          <w:tcPr>
            <w:tcW w:w="2594" w:type="dxa"/>
          </w:tcPr>
          <w:p w14:paraId="7D49BFFB" w14:textId="51C52797" w:rsidR="006E566A" w:rsidRPr="008D40D9" w:rsidRDefault="00CE1D1C" w:rsidP="006E566A">
            <w:pPr>
              <w:pStyle w:val="ListParagraph"/>
              <w:spacing w:before="120" w:after="120"/>
              <w:ind w:left="0"/>
              <w:contextualSpacing w:val="0"/>
              <w:rPr>
                <w:rFonts w:ascii="Corbel" w:hAnsi="Corbel"/>
                <w:color w:val="4472C4" w:themeColor="accent1"/>
              </w:rPr>
            </w:pPr>
            <w:r w:rsidRPr="008D40D9">
              <w:rPr>
                <w:rFonts w:ascii="Corbel" w:hAnsi="Corbel"/>
                <w:color w:val="4472C4" w:themeColor="accent1"/>
              </w:rPr>
              <w:t>$</w:t>
            </w:r>
            <w:r w:rsidR="00F455E8" w:rsidRPr="008C7933">
              <w:rPr>
                <w:rFonts w:ascii="Corbel" w:hAnsi="Corbel"/>
                <w:color w:val="4472C4" w:themeColor="accent1"/>
              </w:rPr>
              <w:t>10.05</w:t>
            </w:r>
            <w:r w:rsidR="00AF1FCB">
              <w:rPr>
                <w:rFonts w:ascii="Corbel" w:hAnsi="Corbel"/>
                <w:color w:val="4472C4" w:themeColor="accent1"/>
              </w:rPr>
              <w:t xml:space="preserve"> million</w:t>
            </w:r>
          </w:p>
        </w:tc>
        <w:tc>
          <w:tcPr>
            <w:tcW w:w="2268" w:type="dxa"/>
          </w:tcPr>
          <w:p w14:paraId="1156EE08" w14:textId="138CBB47" w:rsidR="006E566A" w:rsidRPr="008D40D9" w:rsidRDefault="006E566A" w:rsidP="006E566A">
            <w:pPr>
              <w:spacing w:before="120" w:after="120"/>
              <w:rPr>
                <w:rFonts w:ascii="Corbel" w:hAnsi="Corbel"/>
                <w:color w:val="4472C4" w:themeColor="accent1"/>
              </w:rPr>
            </w:pPr>
            <w:r w:rsidRPr="008D40D9">
              <w:rPr>
                <w:rFonts w:ascii="Corbel" w:hAnsi="Corbel"/>
                <w:color w:val="4472C4" w:themeColor="accent1"/>
              </w:rPr>
              <w:t>$</w:t>
            </w:r>
            <w:r w:rsidR="00F455E8" w:rsidRPr="008C7933">
              <w:rPr>
                <w:rFonts w:ascii="Corbel" w:hAnsi="Corbel"/>
                <w:color w:val="4472C4" w:themeColor="accent1"/>
              </w:rPr>
              <w:t>24</w:t>
            </w:r>
            <w:r w:rsidR="00A457FD" w:rsidRPr="008C7933">
              <w:rPr>
                <w:rFonts w:ascii="Corbel" w:hAnsi="Corbel"/>
                <w:color w:val="4472C4" w:themeColor="accent1"/>
              </w:rPr>
              <w:t>.87</w:t>
            </w:r>
            <w:r w:rsidR="00AF1FCB">
              <w:rPr>
                <w:rFonts w:ascii="Corbel" w:hAnsi="Corbel"/>
                <w:color w:val="4472C4" w:themeColor="accent1"/>
              </w:rPr>
              <w:t xml:space="preserve"> million</w:t>
            </w:r>
          </w:p>
        </w:tc>
        <w:tc>
          <w:tcPr>
            <w:tcW w:w="2228" w:type="dxa"/>
          </w:tcPr>
          <w:p w14:paraId="4EF66779" w14:textId="7DDA7557" w:rsidR="006E566A" w:rsidRPr="007A63A8" w:rsidRDefault="005B7735" w:rsidP="006E566A">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January</w:t>
            </w:r>
            <w:r w:rsidR="006E566A" w:rsidRPr="007A63A8">
              <w:rPr>
                <w:rFonts w:ascii="Corbel" w:hAnsi="Corbel"/>
                <w:color w:val="4472C4" w:themeColor="accent1"/>
              </w:rPr>
              <w:t xml:space="preserve"> 2025</w:t>
            </w:r>
          </w:p>
        </w:tc>
        <w:tc>
          <w:tcPr>
            <w:tcW w:w="2266" w:type="dxa"/>
          </w:tcPr>
          <w:p w14:paraId="5DEC5A22" w14:textId="282DDA92" w:rsidR="006E566A" w:rsidRPr="007A63A8" w:rsidRDefault="006E566A" w:rsidP="006E566A">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December 2028</w:t>
            </w:r>
          </w:p>
        </w:tc>
      </w:tr>
    </w:tbl>
    <w:p w14:paraId="5F424952" w14:textId="77777777" w:rsidR="00D123C6" w:rsidRDefault="00D123C6" w:rsidP="009C2911">
      <w:pPr>
        <w:rPr>
          <w:rFonts w:ascii="Corbel" w:hAnsi="Corbel"/>
        </w:rPr>
      </w:pPr>
    </w:p>
    <w:p w14:paraId="563C2AC4" w14:textId="47BDD503" w:rsidR="00107AA0" w:rsidRDefault="00107AA0" w:rsidP="009C2911">
      <w:pPr>
        <w:rPr>
          <w:rFonts w:ascii="Corbel" w:hAnsi="Corbel"/>
        </w:rPr>
      </w:pPr>
      <w:r>
        <w:rPr>
          <w:rFonts w:ascii="Corbel" w:hAnsi="Corbel"/>
        </w:rPr>
        <w:t>Table 2</w:t>
      </w:r>
    </w:p>
    <w:tbl>
      <w:tblPr>
        <w:tblStyle w:val="TableGrid"/>
        <w:tblW w:w="9356" w:type="dxa"/>
        <w:tblInd w:w="-147" w:type="dxa"/>
        <w:tblLook w:val="04A0" w:firstRow="1" w:lastRow="0" w:firstColumn="1" w:lastColumn="0" w:noHBand="0" w:noVBand="1"/>
      </w:tblPr>
      <w:tblGrid>
        <w:gridCol w:w="2349"/>
        <w:gridCol w:w="2342"/>
        <w:gridCol w:w="2322"/>
        <w:gridCol w:w="2343"/>
      </w:tblGrid>
      <w:tr w:rsidR="00E7504A" w:rsidRPr="008F1196" w14:paraId="7CC694AC" w14:textId="77777777" w:rsidTr="0072310D">
        <w:tc>
          <w:tcPr>
            <w:tcW w:w="2349" w:type="dxa"/>
          </w:tcPr>
          <w:p w14:paraId="5C5067F0" w14:textId="7777777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Focus Area 2</w:t>
            </w:r>
          </w:p>
        </w:tc>
        <w:tc>
          <w:tcPr>
            <w:tcW w:w="7007" w:type="dxa"/>
            <w:gridSpan w:val="3"/>
            <w:vAlign w:val="bottom"/>
          </w:tcPr>
          <w:p w14:paraId="13B048D8" w14:textId="64096047" w:rsidR="00E7504A" w:rsidRPr="007A63A8" w:rsidRDefault="00E7504A" w:rsidP="005D523E">
            <w:pPr>
              <w:pStyle w:val="ListParagraph"/>
              <w:spacing w:before="120" w:after="120"/>
              <w:ind w:left="0"/>
              <w:contextualSpacing w:val="0"/>
              <w:rPr>
                <w:rFonts w:ascii="Corbel" w:hAnsi="Corbel"/>
                <w:b/>
                <w:bCs/>
                <w:color w:val="4472C4" w:themeColor="accent1"/>
              </w:rPr>
            </w:pPr>
            <w:r w:rsidRPr="007A63A8">
              <w:rPr>
                <w:rFonts w:ascii="Corbel" w:hAnsi="Corbel"/>
                <w:b/>
                <w:bCs/>
                <w:color w:val="4472C4" w:themeColor="accent1"/>
              </w:rPr>
              <w:t xml:space="preserve">Supporting </w:t>
            </w:r>
            <w:r w:rsidR="00371C64" w:rsidRPr="007A63A8">
              <w:rPr>
                <w:rFonts w:ascii="Corbel" w:hAnsi="Corbel"/>
                <w:b/>
                <w:bCs/>
                <w:color w:val="4472C4" w:themeColor="accent1"/>
              </w:rPr>
              <w:t xml:space="preserve">retention  </w:t>
            </w:r>
          </w:p>
          <w:p w14:paraId="6CE73419" w14:textId="77777777" w:rsidR="00E7504A" w:rsidRPr="007A63A8" w:rsidRDefault="00E7504A" w:rsidP="005D523E">
            <w:pPr>
              <w:pStyle w:val="ListParagraph"/>
              <w:spacing w:before="120" w:after="120"/>
              <w:ind w:left="0"/>
              <w:contextualSpacing w:val="0"/>
              <w:rPr>
                <w:rFonts w:ascii="Corbel" w:hAnsi="Corbel"/>
                <w:i/>
                <w:iCs/>
                <w:color w:val="4472C4" w:themeColor="accent1"/>
              </w:rPr>
            </w:pPr>
            <w:r w:rsidRPr="007A63A8">
              <w:rPr>
                <w:rFonts w:ascii="Corbel" w:hAnsi="Corbel"/>
                <w:i/>
                <w:iCs/>
                <w:color w:val="4472C4" w:themeColor="accent1"/>
              </w:rPr>
              <w:t>All activities are potentially scalable under this Focus Area</w:t>
            </w:r>
          </w:p>
        </w:tc>
      </w:tr>
      <w:tr w:rsidR="00D4072C" w:rsidRPr="008F1196" w14:paraId="0DA26925" w14:textId="77777777" w:rsidTr="0072310D">
        <w:tc>
          <w:tcPr>
            <w:tcW w:w="2349" w:type="dxa"/>
          </w:tcPr>
          <w:p w14:paraId="018A9BCB" w14:textId="3F14B829" w:rsidR="00D4072C" w:rsidRPr="007A63A8" w:rsidRDefault="00D4072C" w:rsidP="00D4072C">
            <w:pPr>
              <w:pStyle w:val="ListParagraph"/>
              <w:ind w:left="0"/>
              <w:contextualSpacing w:val="0"/>
              <w:rPr>
                <w:rFonts w:ascii="Corbel" w:hAnsi="Corbel"/>
                <w:b/>
                <w:bCs/>
                <w:color w:val="4472C4" w:themeColor="accent1"/>
              </w:rPr>
            </w:pPr>
            <w:r w:rsidRPr="007A63A8">
              <w:rPr>
                <w:rFonts w:ascii="Corbel" w:hAnsi="Corbel"/>
                <w:b/>
                <w:bCs/>
                <w:color w:val="4472C4" w:themeColor="accent1"/>
              </w:rPr>
              <w:t>Objective</w:t>
            </w:r>
          </w:p>
        </w:tc>
        <w:tc>
          <w:tcPr>
            <w:tcW w:w="7007" w:type="dxa"/>
            <w:gridSpan w:val="3"/>
            <w:vAlign w:val="bottom"/>
          </w:tcPr>
          <w:p w14:paraId="3D876109" w14:textId="18E9C92D" w:rsidR="00D4072C" w:rsidRPr="007A63A8" w:rsidRDefault="00D4072C" w:rsidP="00D4072C">
            <w:pPr>
              <w:pStyle w:val="ListParagraph"/>
              <w:spacing w:before="120" w:after="120"/>
              <w:ind w:left="0"/>
              <w:contextualSpacing w:val="0"/>
              <w:rPr>
                <w:rFonts w:ascii="Corbel" w:hAnsi="Corbel"/>
                <w:b/>
                <w:bCs/>
                <w:color w:val="4472C4" w:themeColor="accent1"/>
              </w:rPr>
            </w:pPr>
            <w:r w:rsidRPr="007A63A8">
              <w:rPr>
                <w:rFonts w:ascii="Corbel" w:hAnsi="Corbel"/>
                <w:color w:val="4472C4" w:themeColor="accent1"/>
              </w:rPr>
              <w:t>Reduce non-completions by embedding student support services, strengthening employer engagement, and introducing flexible learning pathways to improve retention.</w:t>
            </w:r>
          </w:p>
        </w:tc>
      </w:tr>
      <w:tr w:rsidR="00D0112A" w:rsidRPr="008F1196" w14:paraId="27CF5C2E" w14:textId="77777777" w:rsidTr="0072310D">
        <w:tc>
          <w:tcPr>
            <w:tcW w:w="2349" w:type="dxa"/>
          </w:tcPr>
          <w:p w14:paraId="0CAF0694" w14:textId="77777777" w:rsidR="00D0112A" w:rsidRPr="007A63A8" w:rsidRDefault="00D0112A" w:rsidP="00D0112A">
            <w:pPr>
              <w:pStyle w:val="ListParagraph"/>
              <w:ind w:left="0"/>
              <w:rPr>
                <w:rFonts w:ascii="Corbel" w:hAnsi="Corbel"/>
                <w:b/>
                <w:bCs/>
                <w:color w:val="4472C4" w:themeColor="accent1"/>
              </w:rPr>
            </w:pPr>
            <w:r w:rsidRPr="007A63A8">
              <w:rPr>
                <w:rFonts w:ascii="Corbel" w:hAnsi="Corbel"/>
                <w:b/>
                <w:bCs/>
                <w:color w:val="4472C4" w:themeColor="accent1"/>
              </w:rPr>
              <w:t xml:space="preserve">Activity and delivery </w:t>
            </w:r>
          </w:p>
          <w:p w14:paraId="352BFD96" w14:textId="77777777" w:rsidR="00D0112A" w:rsidRPr="007A63A8" w:rsidRDefault="00D0112A" w:rsidP="00D0112A">
            <w:pPr>
              <w:rPr>
                <w:rFonts w:ascii="Corbel" w:hAnsi="Corbel"/>
                <w:b/>
                <w:bCs/>
                <w:color w:val="4472C4" w:themeColor="accent1"/>
              </w:rPr>
            </w:pPr>
          </w:p>
        </w:tc>
        <w:tc>
          <w:tcPr>
            <w:tcW w:w="7007" w:type="dxa"/>
            <w:gridSpan w:val="3"/>
            <w:vAlign w:val="bottom"/>
          </w:tcPr>
          <w:p w14:paraId="3FC07A91" w14:textId="77777777" w:rsidR="00D0112A" w:rsidRPr="007A63A8" w:rsidRDefault="00D0112A" w:rsidP="00D0112A">
            <w:p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Queensland will embed targeted student support services and enhance employer engagement to reduce non-completions. Activities and alignment with the National VET Completions Taskforce Recommendations include:</w:t>
            </w:r>
          </w:p>
          <w:p w14:paraId="562AF31A" w14:textId="71ABA7A1" w:rsidR="00D0112A" w:rsidRPr="007A63A8" w:rsidRDefault="00D0112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New </w:t>
            </w:r>
            <w:r w:rsidRPr="00255CDA">
              <w:rPr>
                <w:rFonts w:ascii="Corbel" w:eastAsia="Times New Roman" w:hAnsi="Corbel" w:cs="Times New Roman"/>
                <w:b/>
                <w:color w:val="4472C4" w:themeColor="accent1"/>
                <w:lang w:eastAsia="en-AU"/>
              </w:rPr>
              <w:t>student support services</w:t>
            </w:r>
            <w:r w:rsidR="00CC4D2A">
              <w:rPr>
                <w:rFonts w:ascii="Corbel" w:eastAsia="Times New Roman" w:hAnsi="Corbel" w:cs="Times New Roman"/>
                <w:b/>
                <w:color w:val="4472C4" w:themeColor="accent1"/>
                <w:lang w:eastAsia="en-AU"/>
              </w:rPr>
              <w:t xml:space="preserve"> pilot</w:t>
            </w:r>
            <w:r w:rsidRPr="007A63A8">
              <w:rPr>
                <w:rFonts w:ascii="Corbel" w:eastAsia="Times New Roman" w:hAnsi="Corbel" w:cs="Times New Roman"/>
                <w:color w:val="4472C4" w:themeColor="accent1"/>
                <w:lang w:eastAsia="en-AU"/>
              </w:rPr>
              <w:t xml:space="preserve"> – Establishment of targeted student support programs for disadvantaged students, studying at </w:t>
            </w:r>
            <w:r w:rsidR="007317BA">
              <w:rPr>
                <w:rFonts w:ascii="Corbel" w:hAnsi="Corbel"/>
                <w:color w:val="4472C4" w:themeColor="accent1"/>
              </w:rPr>
              <w:t>Skills Assure Suppliers</w:t>
            </w:r>
            <w:r w:rsidR="007317BA" w:rsidRPr="007A63A8">
              <w:rPr>
                <w:rFonts w:ascii="Corbel" w:hAnsi="Corbel"/>
                <w:color w:val="4472C4" w:themeColor="accent1"/>
              </w:rPr>
              <w:t xml:space="preserve"> </w:t>
            </w:r>
            <w:r w:rsidR="007317BA">
              <w:rPr>
                <w:rFonts w:ascii="Corbel" w:hAnsi="Corbel"/>
                <w:color w:val="4472C4" w:themeColor="accent1"/>
              </w:rPr>
              <w:t>(</w:t>
            </w:r>
            <w:r w:rsidR="00722A7E" w:rsidRPr="007A63A8">
              <w:rPr>
                <w:rFonts w:ascii="Corbel" w:eastAsia="Times New Roman" w:hAnsi="Corbel" w:cs="Times New Roman"/>
                <w:color w:val="4472C4" w:themeColor="accent1"/>
                <w:lang w:eastAsia="en-AU"/>
              </w:rPr>
              <w:t>SAS</w:t>
            </w:r>
            <w:r w:rsidR="007317BA">
              <w:rPr>
                <w:rFonts w:ascii="Corbel" w:eastAsia="Times New Roman" w:hAnsi="Corbel" w:cs="Times New Roman"/>
                <w:color w:val="4472C4" w:themeColor="accent1"/>
                <w:lang w:eastAsia="en-AU"/>
              </w:rPr>
              <w:t>)</w:t>
            </w:r>
            <w:r w:rsidR="00C6344F">
              <w:rPr>
                <w:rFonts w:ascii="Corbel" w:eastAsia="Times New Roman" w:hAnsi="Corbel" w:cs="Times New Roman"/>
                <w:color w:val="4472C4" w:themeColor="accent1"/>
                <w:lang w:eastAsia="en-AU"/>
              </w:rPr>
              <w:t xml:space="preserve"> </w:t>
            </w:r>
            <w:r w:rsidRPr="007A63A8">
              <w:rPr>
                <w:rFonts w:ascii="Corbel" w:eastAsia="Times New Roman" w:hAnsi="Corbel" w:cs="Times New Roman"/>
                <w:color w:val="4472C4" w:themeColor="accent1"/>
                <w:lang w:eastAsia="en-AU"/>
              </w:rPr>
              <w:t xml:space="preserve">that address a student's academic, personal, practical and emotional well-being needs that may impact a student’s ability to complete their training. </w:t>
            </w:r>
            <w:r w:rsidR="000E2F7C">
              <w:rPr>
                <w:rFonts w:ascii="Corbel" w:eastAsia="Times New Roman" w:hAnsi="Corbel" w:cs="Times New Roman"/>
                <w:color w:val="4472C4" w:themeColor="accent1"/>
                <w:lang w:eastAsia="en-AU"/>
              </w:rPr>
              <w:t xml:space="preserve">Queensland Government to contract </w:t>
            </w:r>
            <w:r w:rsidR="00722A7E" w:rsidRPr="007A63A8">
              <w:rPr>
                <w:rFonts w:ascii="Corbel" w:eastAsia="Times New Roman" w:hAnsi="Corbel" w:cs="Times New Roman"/>
                <w:color w:val="4472C4" w:themeColor="accent1"/>
                <w:kern w:val="0"/>
                <w:lang w:eastAsia="en-AU"/>
                <w14:ligatures w14:val="none"/>
              </w:rPr>
              <w:t>SAS</w:t>
            </w:r>
            <w:r w:rsidRPr="007A63A8">
              <w:rPr>
                <w:rFonts w:ascii="Corbel" w:eastAsia="Times New Roman" w:hAnsi="Corbel" w:cs="Times New Roman"/>
                <w:color w:val="4472C4" w:themeColor="accent1"/>
                <w:kern w:val="0"/>
                <w:lang w:eastAsia="en-AU"/>
                <w14:ligatures w14:val="none"/>
              </w:rPr>
              <w:t xml:space="preserve"> (RTOs) </w:t>
            </w:r>
            <w:r w:rsidR="007B71A4">
              <w:rPr>
                <w:rFonts w:ascii="Corbel" w:eastAsia="Times New Roman" w:hAnsi="Corbel" w:cs="Times New Roman"/>
                <w:color w:val="4472C4" w:themeColor="accent1"/>
                <w:kern w:val="0"/>
                <w:lang w:eastAsia="en-AU"/>
                <w14:ligatures w14:val="none"/>
              </w:rPr>
              <w:t>and/or specialist</w:t>
            </w:r>
            <w:r w:rsidRPr="007A63A8">
              <w:rPr>
                <w:rFonts w:ascii="Corbel" w:eastAsia="Times New Roman" w:hAnsi="Corbel" w:cs="Times New Roman"/>
                <w:color w:val="4472C4" w:themeColor="accent1"/>
                <w:kern w:val="0"/>
                <w:lang w:eastAsia="en-AU"/>
                <w14:ligatures w14:val="none"/>
              </w:rPr>
              <w:t xml:space="preserve"> organisations </w:t>
            </w:r>
            <w:r w:rsidR="00C6344F">
              <w:rPr>
                <w:rFonts w:ascii="Corbel" w:eastAsia="Times New Roman" w:hAnsi="Corbel" w:cs="Times New Roman"/>
                <w:color w:val="4472C4" w:themeColor="accent1"/>
                <w:kern w:val="0"/>
                <w:lang w:eastAsia="en-AU"/>
                <w14:ligatures w14:val="none"/>
              </w:rPr>
              <w:t>in</w:t>
            </w:r>
            <w:r w:rsidR="007B6B52">
              <w:rPr>
                <w:rFonts w:ascii="Corbel" w:eastAsia="Times New Roman" w:hAnsi="Corbel" w:cs="Times New Roman"/>
                <w:color w:val="4472C4" w:themeColor="accent1"/>
                <w:kern w:val="0"/>
                <w:lang w:eastAsia="en-AU"/>
                <w14:ligatures w14:val="none"/>
              </w:rPr>
              <w:t xml:space="preserve"> local communities</w:t>
            </w:r>
            <w:r w:rsidR="00C6344F">
              <w:rPr>
                <w:rFonts w:ascii="Corbel" w:eastAsia="Times New Roman" w:hAnsi="Corbel" w:cs="Times New Roman"/>
                <w:color w:val="4472C4" w:themeColor="accent1"/>
                <w:kern w:val="0"/>
                <w:lang w:eastAsia="en-AU"/>
                <w14:ligatures w14:val="none"/>
              </w:rPr>
              <w:t xml:space="preserve"> to deliver the service</w:t>
            </w:r>
            <w:r w:rsidR="005E0704">
              <w:rPr>
                <w:rFonts w:ascii="Corbel" w:eastAsia="Times New Roman" w:hAnsi="Corbel" w:cs="Times New Roman"/>
                <w:color w:val="4472C4" w:themeColor="accent1"/>
                <w:kern w:val="0"/>
                <w:lang w:eastAsia="en-AU"/>
                <w14:ligatures w14:val="none"/>
              </w:rPr>
              <w:t xml:space="preserve"> as a pilot throughout the agreement period</w:t>
            </w:r>
            <w:r w:rsidR="00C6344F">
              <w:rPr>
                <w:rFonts w:ascii="Corbel" w:eastAsia="Times New Roman" w:hAnsi="Corbel" w:cs="Times New Roman"/>
                <w:color w:val="4472C4" w:themeColor="accent1"/>
                <w:kern w:val="0"/>
                <w:lang w:eastAsia="en-AU"/>
                <w14:ligatures w14:val="none"/>
              </w:rPr>
              <w:t xml:space="preserve">. </w:t>
            </w:r>
          </w:p>
          <w:p w14:paraId="48BD11E6"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12, 13, 15</w:t>
            </w:r>
          </w:p>
          <w:p w14:paraId="06293471" w14:textId="2C423614" w:rsidR="00A36A9A" w:rsidRPr="00093725" w:rsidRDefault="00A36A9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Enhanced </w:t>
            </w:r>
            <w:r w:rsidRPr="00897234">
              <w:rPr>
                <w:rFonts w:ascii="Corbel" w:eastAsia="Times New Roman" w:hAnsi="Corbel" w:cs="Times New Roman"/>
                <w:b/>
                <w:color w:val="4472C4" w:themeColor="accent1"/>
                <w:kern w:val="0"/>
                <w:lang w:eastAsia="en-AU"/>
                <w14:ligatures w14:val="none"/>
              </w:rPr>
              <w:t xml:space="preserve">Set for Success </w:t>
            </w:r>
            <w:r w:rsidR="00C6344F" w:rsidRPr="00897234">
              <w:rPr>
                <w:rFonts w:ascii="Corbel" w:eastAsia="Times New Roman" w:hAnsi="Corbel" w:cs="Times New Roman"/>
                <w:b/>
                <w:color w:val="4472C4" w:themeColor="accent1"/>
                <w:kern w:val="0"/>
                <w:lang w:eastAsia="en-AU"/>
                <w14:ligatures w14:val="none"/>
              </w:rPr>
              <w:t>Grants</w:t>
            </w:r>
            <w:r w:rsidR="00C6344F">
              <w:rPr>
                <w:rFonts w:ascii="Corbel" w:eastAsia="Times New Roman" w:hAnsi="Corbel" w:cs="Times New Roman"/>
                <w:color w:val="4472C4" w:themeColor="accent1"/>
                <w:kern w:val="0"/>
                <w:lang w:eastAsia="en-AU"/>
                <w14:ligatures w14:val="none"/>
              </w:rPr>
              <w:t xml:space="preserve"> </w:t>
            </w:r>
            <w:r w:rsidRPr="007A63A8">
              <w:rPr>
                <w:rFonts w:ascii="Corbel" w:eastAsia="Times New Roman" w:hAnsi="Corbel" w:cs="Times New Roman"/>
                <w:color w:val="4472C4" w:themeColor="accent1"/>
                <w:kern w:val="0"/>
                <w:lang w:eastAsia="en-AU"/>
                <w14:ligatures w14:val="none"/>
              </w:rPr>
              <w:t xml:space="preserve">for </w:t>
            </w:r>
            <w:r w:rsidR="00722A7E" w:rsidRPr="007A63A8">
              <w:rPr>
                <w:rFonts w:ascii="Corbel" w:eastAsia="Times New Roman" w:hAnsi="Corbel" w:cs="Times New Roman"/>
                <w:color w:val="4472C4" w:themeColor="accent1"/>
                <w:kern w:val="0"/>
                <w:lang w:eastAsia="en-AU"/>
                <w14:ligatures w14:val="none"/>
              </w:rPr>
              <w:t>SAS</w:t>
            </w:r>
            <w:r w:rsidRPr="007A63A8">
              <w:rPr>
                <w:rFonts w:ascii="Corbel" w:eastAsia="Times New Roman" w:hAnsi="Corbel" w:cs="Times New Roman"/>
                <w:color w:val="4472C4" w:themeColor="accent1"/>
                <w:kern w:val="0"/>
                <w:lang w:eastAsia="en-AU"/>
                <w14:ligatures w14:val="none"/>
              </w:rPr>
              <w:t xml:space="preserve"> in partnership</w:t>
            </w:r>
            <w:r w:rsidR="00A32616" w:rsidRPr="007A63A8">
              <w:rPr>
                <w:rFonts w:ascii="Corbel" w:eastAsia="Times New Roman" w:hAnsi="Corbel" w:cs="Times New Roman"/>
                <w:color w:val="4472C4" w:themeColor="accent1"/>
                <w:kern w:val="0"/>
                <w:lang w:eastAsia="en-AU"/>
                <w14:ligatures w14:val="none"/>
              </w:rPr>
              <w:t xml:space="preserve"> with industry and community organisations</w:t>
            </w:r>
            <w:r w:rsidR="004A69AF" w:rsidRPr="007A63A8">
              <w:rPr>
                <w:rFonts w:ascii="Corbel" w:eastAsia="Times New Roman" w:hAnsi="Corbel" w:cs="Times New Roman"/>
                <w:color w:val="4472C4" w:themeColor="accent1"/>
                <w:kern w:val="0"/>
                <w:lang w:eastAsia="en-AU"/>
                <w14:ligatures w14:val="none"/>
              </w:rPr>
              <w:t xml:space="preserve"> to </w:t>
            </w:r>
            <w:r w:rsidR="00C6344F">
              <w:rPr>
                <w:rFonts w:ascii="Corbel" w:eastAsia="Times New Roman" w:hAnsi="Corbel" w:cs="Times New Roman"/>
                <w:color w:val="4472C4" w:themeColor="accent1"/>
                <w:kern w:val="0"/>
                <w:lang w:eastAsia="en-AU"/>
                <w14:ligatures w14:val="none"/>
              </w:rPr>
              <w:t xml:space="preserve">offer </w:t>
            </w:r>
            <w:r w:rsidR="00A32616" w:rsidRPr="007A63A8">
              <w:rPr>
                <w:rFonts w:ascii="Corbel" w:eastAsia="Times New Roman" w:hAnsi="Corbel" w:cs="Times New Roman"/>
                <w:color w:val="4472C4" w:themeColor="accent1"/>
                <w:kern w:val="0"/>
                <w:lang w:eastAsia="en-AU"/>
                <w14:ligatures w14:val="none"/>
              </w:rPr>
              <w:t xml:space="preserve">innovative solutions to </w:t>
            </w:r>
            <w:r w:rsidR="00A32616" w:rsidRPr="00547994">
              <w:rPr>
                <w:rFonts w:ascii="Corbel" w:eastAsia="Times New Roman" w:hAnsi="Corbel" w:cs="Times New Roman"/>
                <w:color w:val="4472C4" w:themeColor="accent1"/>
                <w:kern w:val="0"/>
                <w:lang w:eastAsia="en-AU"/>
                <w14:ligatures w14:val="none"/>
              </w:rPr>
              <w:t xml:space="preserve">increase student completions. </w:t>
            </w:r>
            <w:r w:rsidR="004A69AF" w:rsidRPr="00547994">
              <w:rPr>
                <w:rFonts w:ascii="Corbel" w:eastAsia="Times New Roman" w:hAnsi="Corbel" w:cs="Times New Roman"/>
                <w:color w:val="4472C4" w:themeColor="accent1"/>
                <w:kern w:val="0"/>
                <w:lang w:eastAsia="en-AU"/>
                <w14:ligatures w14:val="none"/>
              </w:rPr>
              <w:t xml:space="preserve">Administered by the Queensland </w:t>
            </w:r>
            <w:r w:rsidR="004A69AF" w:rsidRPr="00093725">
              <w:rPr>
                <w:rFonts w:ascii="Corbel" w:eastAsia="Times New Roman" w:hAnsi="Corbel" w:cs="Times New Roman"/>
                <w:color w:val="4472C4" w:themeColor="accent1"/>
                <w:kern w:val="0"/>
                <w:lang w:eastAsia="en-AU"/>
                <w14:ligatures w14:val="none"/>
              </w:rPr>
              <w:t xml:space="preserve">Government </w:t>
            </w:r>
            <w:r w:rsidR="00727383" w:rsidRPr="00093725">
              <w:rPr>
                <w:rFonts w:ascii="Corbel" w:eastAsia="Times New Roman" w:hAnsi="Corbel" w:cs="Times New Roman"/>
                <w:color w:val="4472C4" w:themeColor="accent1"/>
                <w:kern w:val="0"/>
                <w:lang w:eastAsia="en-AU"/>
                <w14:ligatures w14:val="none"/>
              </w:rPr>
              <w:t>and delivered by SAS</w:t>
            </w:r>
            <w:r w:rsidR="00B42E3E" w:rsidRPr="00093725">
              <w:rPr>
                <w:rFonts w:ascii="Corbel" w:eastAsia="Times New Roman" w:hAnsi="Corbel" w:cs="Times New Roman"/>
                <w:color w:val="4472C4" w:themeColor="accent1"/>
                <w:kern w:val="0"/>
                <w:lang w:eastAsia="en-AU"/>
                <w14:ligatures w14:val="none"/>
              </w:rPr>
              <w:t>.</w:t>
            </w:r>
          </w:p>
          <w:p w14:paraId="3F32100B" w14:textId="77777777" w:rsidR="00821C15" w:rsidRPr="00093725" w:rsidRDefault="00821C15" w:rsidP="003443FE">
            <w:pPr>
              <w:pStyle w:val="ListParagraph"/>
              <w:numPr>
                <w:ilvl w:val="1"/>
                <w:numId w:val="35"/>
              </w:numPr>
              <w:rPr>
                <w:rFonts w:ascii="Corbel" w:eastAsia="Times New Roman" w:hAnsi="Corbel" w:cs="Times New Roman"/>
                <w:color w:val="4472C4" w:themeColor="accent1"/>
                <w:kern w:val="0"/>
                <w:lang w:eastAsia="en-AU"/>
                <w14:ligatures w14:val="none"/>
              </w:rPr>
            </w:pPr>
            <w:r w:rsidRPr="00093725">
              <w:rPr>
                <w:rFonts w:ascii="Corbel" w:eastAsia="Times New Roman" w:hAnsi="Corbel" w:cs="Times New Roman"/>
                <w:color w:val="4472C4" w:themeColor="accent1"/>
                <w:kern w:val="0"/>
                <w:lang w:eastAsia="en-AU"/>
                <w14:ligatures w14:val="none"/>
              </w:rPr>
              <w:t>Aligns with Recommendations: 12, 13, 15</w:t>
            </w:r>
          </w:p>
          <w:p w14:paraId="18647C26" w14:textId="18264A61" w:rsidR="00D0112A" w:rsidRPr="00093725" w:rsidRDefault="20DC9CB1"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093725">
              <w:rPr>
                <w:rFonts w:ascii="Corbel" w:eastAsia="Times New Roman" w:hAnsi="Corbel" w:cs="Times New Roman"/>
                <w:color w:val="4472C4" w:themeColor="accent1"/>
                <w:lang w:eastAsia="en-AU"/>
              </w:rPr>
              <w:t xml:space="preserve">Enhanced </w:t>
            </w:r>
            <w:r w:rsidRPr="00093725">
              <w:rPr>
                <w:rFonts w:ascii="Corbel" w:eastAsia="Times New Roman" w:hAnsi="Corbel" w:cs="Times New Roman"/>
                <w:b/>
                <w:color w:val="4472C4" w:themeColor="accent1"/>
                <w:lang w:eastAsia="en-AU"/>
              </w:rPr>
              <w:t>apprentice support services</w:t>
            </w:r>
            <w:r w:rsidRPr="00093725">
              <w:rPr>
                <w:rFonts w:ascii="Corbel" w:eastAsia="Times New Roman" w:hAnsi="Corbel" w:cs="Times New Roman"/>
                <w:color w:val="4472C4" w:themeColor="accent1"/>
                <w:lang w:eastAsia="en-AU"/>
              </w:rPr>
              <w:t xml:space="preserve"> – Additional structured </w:t>
            </w:r>
            <w:r w:rsidR="71C2C18F" w:rsidRPr="00093725" w:rsidDel="000D54EF">
              <w:rPr>
                <w:rFonts w:ascii="Corbel" w:eastAsia="Times New Roman" w:hAnsi="Corbel" w:cs="Times New Roman"/>
                <w:color w:val="4472C4" w:themeColor="accent1"/>
                <w:lang w:eastAsia="en-AU"/>
              </w:rPr>
              <w:t xml:space="preserve">engagement </w:t>
            </w:r>
            <w:r w:rsidR="000D54EF" w:rsidRPr="00093725">
              <w:rPr>
                <w:rFonts w:ascii="Corbel" w:eastAsia="Times New Roman" w:hAnsi="Corbel" w:cs="Times New Roman"/>
                <w:color w:val="4472C4" w:themeColor="accent1"/>
                <w:lang w:eastAsia="en-AU"/>
              </w:rPr>
              <w:t>and</w:t>
            </w:r>
            <w:r w:rsidRPr="00093725">
              <w:rPr>
                <w:rFonts w:ascii="Corbel" w:eastAsia="Times New Roman" w:hAnsi="Corbel" w:cs="Times New Roman"/>
                <w:color w:val="4472C4" w:themeColor="accent1"/>
                <w:lang w:eastAsia="en-AU"/>
              </w:rPr>
              <w:t xml:space="preserve"> early intervention strategies</w:t>
            </w:r>
            <w:r w:rsidR="006268B0" w:rsidRPr="00093725">
              <w:rPr>
                <w:rFonts w:ascii="Corbel" w:eastAsia="Times New Roman" w:hAnsi="Corbel" w:cs="Times New Roman"/>
                <w:color w:val="4472C4" w:themeColor="accent1"/>
                <w:lang w:eastAsia="en-AU"/>
              </w:rPr>
              <w:t xml:space="preserve"> for at risk apprentices</w:t>
            </w:r>
            <w:r w:rsidRPr="00093725">
              <w:rPr>
                <w:rFonts w:ascii="Corbel" w:eastAsia="Times New Roman" w:hAnsi="Corbel" w:cs="Times New Roman"/>
                <w:color w:val="4472C4" w:themeColor="accent1"/>
                <w:lang w:eastAsia="en-AU"/>
              </w:rPr>
              <w:t xml:space="preserve"> to improve retention. </w:t>
            </w:r>
            <w:r w:rsidRPr="00093725">
              <w:rPr>
                <w:rFonts w:ascii="Corbel" w:eastAsia="Times New Roman" w:hAnsi="Corbel" w:cs="Times New Roman"/>
                <w:color w:val="4472C4" w:themeColor="accent1"/>
                <w:kern w:val="0"/>
                <w:lang w:eastAsia="en-AU"/>
                <w14:ligatures w14:val="none"/>
              </w:rPr>
              <w:t>Managed by Queensland Government in collaboration with Apprentice Connect Australia Providers (ACAP) to ensure no overlap of services and RTOs and employers</w:t>
            </w:r>
            <w:r w:rsidRPr="00093725" w:rsidDel="006268B0">
              <w:rPr>
                <w:rFonts w:ascii="Corbel" w:eastAsia="Times New Roman" w:hAnsi="Corbel" w:cs="Times New Roman"/>
                <w:color w:val="4472C4" w:themeColor="accent1"/>
                <w:kern w:val="0"/>
                <w:lang w:eastAsia="en-AU"/>
                <w14:ligatures w14:val="none"/>
              </w:rPr>
              <w:t>.</w:t>
            </w:r>
            <w:r w:rsidR="00F17C6F" w:rsidRPr="00093725">
              <w:rPr>
                <w:rFonts w:ascii="Corbel" w:eastAsia="Times New Roman" w:hAnsi="Corbel" w:cs="Times New Roman"/>
                <w:color w:val="4472C4" w:themeColor="accent1"/>
                <w:kern w:val="0"/>
                <w:lang w:eastAsia="en-AU"/>
                <w14:ligatures w14:val="none"/>
              </w:rPr>
              <w:t xml:space="preserve"> To identify </w:t>
            </w:r>
            <w:r w:rsidR="00F96BFF" w:rsidRPr="00093725">
              <w:rPr>
                <w:rFonts w:ascii="Corbel" w:eastAsia="Times New Roman" w:hAnsi="Corbel" w:cs="Times New Roman"/>
                <w:color w:val="4472C4" w:themeColor="accent1"/>
                <w:kern w:val="0"/>
                <w:lang w:eastAsia="en-AU"/>
                <w14:ligatures w14:val="none"/>
              </w:rPr>
              <w:t>at risk apprentices a prognostic model for non-completion</w:t>
            </w:r>
            <w:r w:rsidR="00956137">
              <w:rPr>
                <w:rFonts w:ascii="Corbel" w:eastAsia="Times New Roman" w:hAnsi="Corbel" w:cs="Times New Roman"/>
                <w:color w:val="4472C4" w:themeColor="accent1"/>
                <w:kern w:val="0"/>
                <w:lang w:eastAsia="en-AU"/>
                <w14:ligatures w14:val="none"/>
              </w:rPr>
              <w:t xml:space="preserve"> has been developed</w:t>
            </w:r>
            <w:r w:rsidR="00F96BFF" w:rsidRPr="00F96BFF">
              <w:rPr>
                <w:rFonts w:ascii="Corbel" w:eastAsia="Times New Roman" w:hAnsi="Corbel" w:cs="Times New Roman"/>
                <w:color w:val="4472C4" w:themeColor="accent1"/>
                <w:kern w:val="0"/>
                <w:lang w:eastAsia="en-AU"/>
                <w14:ligatures w14:val="none"/>
              </w:rPr>
              <w:t>.</w:t>
            </w:r>
            <w:r w:rsidR="00F96BFF" w:rsidRPr="00093725">
              <w:rPr>
                <w:rFonts w:ascii="Corbel" w:eastAsia="Times New Roman" w:hAnsi="Corbel" w:cs="Times New Roman"/>
                <w:color w:val="4472C4" w:themeColor="accent1"/>
                <w:kern w:val="0"/>
                <w:lang w:eastAsia="en-AU"/>
                <w14:ligatures w14:val="none"/>
              </w:rPr>
              <w:t xml:space="preserve"> The prognostic modelling utilises the data captured on the department’s Direct Entry Level Training Administration (DELTA) </w:t>
            </w:r>
            <w:r w:rsidR="00F96BFF" w:rsidRPr="00093725">
              <w:rPr>
                <w:rFonts w:ascii="Corbel" w:eastAsia="Times New Roman" w:hAnsi="Corbel" w:cs="Times New Roman"/>
                <w:color w:val="4472C4" w:themeColor="accent1"/>
                <w:kern w:val="0"/>
                <w:lang w:eastAsia="en-AU"/>
                <w14:ligatures w14:val="none"/>
              </w:rPr>
              <w:lastRenderedPageBreak/>
              <w:t>database to estimate the risk of non-completion for each apprentice.</w:t>
            </w:r>
            <w:r w:rsidR="007D6D8C" w:rsidRPr="00093725">
              <w:rPr>
                <w:rFonts w:ascii="Corbel" w:eastAsia="Times New Roman" w:hAnsi="Corbel" w:cs="Times New Roman"/>
                <w:color w:val="4472C4" w:themeColor="accent1"/>
                <w:kern w:val="0"/>
                <w:lang w:eastAsia="en-AU"/>
                <w14:ligatures w14:val="none"/>
              </w:rPr>
              <w:t xml:space="preserve"> </w:t>
            </w:r>
            <w:r w:rsidR="00634492" w:rsidRPr="008C7933">
              <w:rPr>
                <w:rFonts w:ascii="Corbel" w:eastAsia="Times New Roman" w:hAnsi="Corbel" w:cs="Times New Roman"/>
                <w:color w:val="4472C4" w:themeColor="accent1"/>
                <w:kern w:val="0"/>
                <w:lang w:eastAsia="en-AU"/>
                <w14:ligatures w14:val="none"/>
              </w:rPr>
              <w:t>The Apprenticeships Info app</w:t>
            </w:r>
            <w:r w:rsidR="0048734B" w:rsidRPr="008C7933">
              <w:rPr>
                <w:rFonts w:ascii="Corbel" w:eastAsia="Times New Roman" w:hAnsi="Corbel" w:cs="Times New Roman"/>
                <w:color w:val="4472C4" w:themeColor="accent1"/>
                <w:kern w:val="0"/>
                <w:lang w:eastAsia="en-AU"/>
                <w14:ligatures w14:val="none"/>
              </w:rPr>
              <w:t xml:space="preserve"> which</w:t>
            </w:r>
            <w:r w:rsidR="00634492" w:rsidRPr="008C7933">
              <w:rPr>
                <w:rFonts w:ascii="Corbel" w:eastAsia="Times New Roman" w:hAnsi="Corbel" w:cs="Times New Roman"/>
                <w:color w:val="4472C4" w:themeColor="accent1"/>
                <w:kern w:val="0"/>
                <w:lang w:eastAsia="en-AU"/>
                <w14:ligatures w14:val="none"/>
              </w:rPr>
              <w:t xml:space="preserve"> links Queensland apprentices and trainees with important contacts and services</w:t>
            </w:r>
            <w:r w:rsidR="00D67B9B" w:rsidRPr="008C7933">
              <w:rPr>
                <w:rFonts w:ascii="Corbel" w:eastAsia="Times New Roman" w:hAnsi="Corbel" w:cs="Times New Roman"/>
                <w:color w:val="4472C4" w:themeColor="accent1"/>
                <w:kern w:val="0"/>
                <w:lang w:eastAsia="en-AU"/>
                <w14:ligatures w14:val="none"/>
              </w:rPr>
              <w:t xml:space="preserve"> </w:t>
            </w:r>
            <w:r w:rsidR="00A751C6" w:rsidRPr="008C7933">
              <w:rPr>
                <w:rFonts w:ascii="Corbel" w:eastAsia="Times New Roman" w:hAnsi="Corbel" w:cs="Times New Roman"/>
                <w:color w:val="4472C4" w:themeColor="accent1"/>
                <w:kern w:val="0"/>
                <w:lang w:eastAsia="en-AU"/>
                <w14:ligatures w14:val="none"/>
              </w:rPr>
              <w:t>will</w:t>
            </w:r>
            <w:r w:rsidR="00C91DC4">
              <w:rPr>
                <w:rFonts w:ascii="Corbel" w:eastAsia="Times New Roman" w:hAnsi="Corbel" w:cs="Times New Roman"/>
                <w:color w:val="4472C4" w:themeColor="accent1"/>
                <w:kern w:val="0"/>
                <w:lang w:eastAsia="en-AU"/>
                <w14:ligatures w14:val="none"/>
              </w:rPr>
              <w:t xml:space="preserve"> also</w:t>
            </w:r>
            <w:r w:rsidR="00A751C6" w:rsidRPr="008C7933">
              <w:rPr>
                <w:rFonts w:ascii="Corbel" w:eastAsia="Times New Roman" w:hAnsi="Corbel" w:cs="Times New Roman"/>
                <w:color w:val="4472C4" w:themeColor="accent1"/>
                <w:kern w:val="0"/>
                <w:lang w:eastAsia="en-AU"/>
                <w14:ligatures w14:val="none"/>
              </w:rPr>
              <w:t xml:space="preserve"> be extended</w:t>
            </w:r>
            <w:r w:rsidR="00634492" w:rsidRPr="008C7933">
              <w:rPr>
                <w:rFonts w:ascii="Corbel" w:eastAsia="Times New Roman" w:hAnsi="Corbel" w:cs="Times New Roman"/>
                <w:color w:val="4472C4" w:themeColor="accent1"/>
                <w:kern w:val="0"/>
                <w:lang w:eastAsia="en-AU"/>
                <w14:ligatures w14:val="none"/>
              </w:rPr>
              <w:t>.</w:t>
            </w:r>
          </w:p>
          <w:p w14:paraId="0826F275"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12, 14</w:t>
            </w:r>
          </w:p>
          <w:p w14:paraId="5930357D" w14:textId="0C099941" w:rsidR="00D0112A" w:rsidRPr="007A63A8" w:rsidRDefault="00D0112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New </w:t>
            </w:r>
            <w:r w:rsidRPr="008D7351">
              <w:rPr>
                <w:rFonts w:ascii="Corbel" w:eastAsia="Times New Roman" w:hAnsi="Corbel" w:cs="Times New Roman"/>
                <w:b/>
                <w:color w:val="4472C4" w:themeColor="accent1"/>
                <w:lang w:eastAsia="en-AU"/>
              </w:rPr>
              <w:t>flexible delivery models for out-of-trade apprentices</w:t>
            </w:r>
            <w:r w:rsidRPr="007A63A8">
              <w:rPr>
                <w:rFonts w:ascii="Corbel" w:eastAsia="Times New Roman" w:hAnsi="Corbel" w:cs="Times New Roman"/>
                <w:color w:val="4472C4" w:themeColor="accent1"/>
                <w:lang w:eastAsia="en-AU"/>
              </w:rPr>
              <w:t xml:space="preserve"> –alternative learning pathways to help disengaged apprentices complete their </w:t>
            </w:r>
            <w:r w:rsidR="009C5BB2">
              <w:rPr>
                <w:rFonts w:ascii="Corbel" w:eastAsia="Times New Roman" w:hAnsi="Corbel" w:cs="Times New Roman"/>
                <w:color w:val="4472C4" w:themeColor="accent1"/>
                <w:lang w:eastAsia="en-AU"/>
              </w:rPr>
              <w:t xml:space="preserve">block </w:t>
            </w:r>
            <w:r w:rsidRPr="007A63A8">
              <w:rPr>
                <w:rFonts w:ascii="Corbel" w:eastAsia="Times New Roman" w:hAnsi="Corbel" w:cs="Times New Roman"/>
                <w:color w:val="4472C4" w:themeColor="accent1"/>
                <w:lang w:eastAsia="en-AU"/>
              </w:rPr>
              <w:t>training</w:t>
            </w:r>
            <w:r w:rsidR="009C5BB2">
              <w:rPr>
                <w:rFonts w:ascii="Corbel" w:eastAsia="Times New Roman" w:hAnsi="Corbel" w:cs="Times New Roman"/>
                <w:color w:val="4472C4" w:themeColor="accent1"/>
                <w:lang w:eastAsia="en-AU"/>
              </w:rPr>
              <w:t xml:space="preserve"> </w:t>
            </w:r>
            <w:r w:rsidR="0018561F">
              <w:rPr>
                <w:rFonts w:ascii="Corbel" w:eastAsia="Times New Roman" w:hAnsi="Corbel" w:cs="Times New Roman"/>
                <w:color w:val="4472C4" w:themeColor="accent1"/>
                <w:lang w:eastAsia="en-AU"/>
              </w:rPr>
              <w:t>to facilitate re-employment chances</w:t>
            </w:r>
            <w:r w:rsidRPr="007A63A8">
              <w:rPr>
                <w:rFonts w:ascii="Corbel" w:eastAsia="Times New Roman" w:hAnsi="Corbel" w:cs="Times New Roman"/>
                <w:color w:val="4472C4" w:themeColor="accent1"/>
                <w:lang w:eastAsia="en-AU"/>
              </w:rPr>
              <w:t>. New f</w:t>
            </w:r>
            <w:r w:rsidRPr="007A63A8">
              <w:rPr>
                <w:rFonts w:ascii="Corbel" w:eastAsia="Times New Roman" w:hAnsi="Corbel" w:cs="Times New Roman"/>
                <w:color w:val="4472C4" w:themeColor="accent1"/>
                <w:kern w:val="0"/>
                <w:lang w:eastAsia="en-AU"/>
                <w14:ligatures w14:val="none"/>
              </w:rPr>
              <w:t>lexible delivery models will be facilitated through TAFE Queensland to pilot blended learning approaches and industry-driven training.</w:t>
            </w:r>
          </w:p>
          <w:p w14:paraId="50E14D51"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7, 8</w:t>
            </w:r>
          </w:p>
          <w:p w14:paraId="6E5FEB79" w14:textId="6341EC39" w:rsidR="00D0112A" w:rsidRPr="007A63A8" w:rsidRDefault="00D0112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New </w:t>
            </w:r>
            <w:r w:rsidR="003C2764">
              <w:rPr>
                <w:rFonts w:ascii="Corbel" w:eastAsia="Times New Roman" w:hAnsi="Corbel" w:cs="Times New Roman"/>
                <w:b/>
                <w:color w:val="4472C4" w:themeColor="accent1"/>
                <w:lang w:eastAsia="en-AU"/>
              </w:rPr>
              <w:t>C</w:t>
            </w:r>
            <w:r w:rsidR="00DD1FC6">
              <w:rPr>
                <w:rFonts w:ascii="Corbel" w:eastAsia="Times New Roman" w:hAnsi="Corbel" w:cs="Times New Roman"/>
                <w:b/>
                <w:color w:val="4472C4" w:themeColor="accent1"/>
                <w:lang w:eastAsia="en-AU"/>
              </w:rPr>
              <w:t>onstruction apprentices</w:t>
            </w:r>
            <w:r w:rsidR="00D43533">
              <w:rPr>
                <w:rFonts w:ascii="Corbel" w:eastAsia="Times New Roman" w:hAnsi="Corbel" w:cs="Times New Roman"/>
                <w:b/>
                <w:color w:val="4472C4" w:themeColor="accent1"/>
                <w:lang w:eastAsia="en-AU"/>
              </w:rPr>
              <w:t xml:space="preserve"> </w:t>
            </w:r>
            <w:r w:rsidR="00BB1E0C">
              <w:rPr>
                <w:rFonts w:ascii="Corbel" w:eastAsia="Times New Roman" w:hAnsi="Corbel" w:cs="Times New Roman"/>
                <w:b/>
                <w:color w:val="4472C4" w:themeColor="accent1"/>
                <w:lang w:eastAsia="en-AU"/>
              </w:rPr>
              <w:t xml:space="preserve">wage subsidy </w:t>
            </w:r>
            <w:r w:rsidR="007808AF">
              <w:rPr>
                <w:rFonts w:ascii="Corbel" w:eastAsia="Times New Roman" w:hAnsi="Corbel" w:cs="Times New Roman"/>
                <w:b/>
                <w:color w:val="4472C4" w:themeColor="accent1"/>
                <w:lang w:eastAsia="en-AU"/>
              </w:rPr>
              <w:t>pilot</w:t>
            </w:r>
            <w:r w:rsidRPr="007A63A8">
              <w:rPr>
                <w:rFonts w:ascii="Corbel" w:eastAsia="Times New Roman" w:hAnsi="Corbel" w:cs="Times New Roman"/>
                <w:color w:val="4472C4" w:themeColor="accent1"/>
                <w:lang w:eastAsia="en-AU"/>
              </w:rPr>
              <w:t xml:space="preserve"> – Financial support for small and family businesses to retain </w:t>
            </w:r>
            <w:r w:rsidR="00A06BE3">
              <w:rPr>
                <w:rFonts w:ascii="Corbel" w:eastAsia="Times New Roman" w:hAnsi="Corbel" w:cs="Times New Roman"/>
                <w:color w:val="4472C4" w:themeColor="accent1"/>
                <w:lang w:eastAsia="en-AU"/>
              </w:rPr>
              <w:t>apprentices</w:t>
            </w:r>
            <w:r w:rsidR="00285C4C">
              <w:rPr>
                <w:rFonts w:ascii="Corbel" w:eastAsia="Times New Roman" w:hAnsi="Corbel" w:cs="Times New Roman"/>
                <w:color w:val="4472C4" w:themeColor="accent1"/>
                <w:lang w:eastAsia="en-AU"/>
              </w:rPr>
              <w:t xml:space="preserve"> in the construction industry</w:t>
            </w:r>
            <w:r w:rsidRPr="007A63A8">
              <w:rPr>
                <w:rFonts w:ascii="Corbel" w:eastAsia="Times New Roman" w:hAnsi="Corbel" w:cs="Times New Roman"/>
                <w:color w:val="4472C4" w:themeColor="accent1"/>
                <w:lang w:eastAsia="en-AU"/>
              </w:rPr>
              <w:t>. New e</w:t>
            </w:r>
            <w:r w:rsidRPr="007A63A8">
              <w:rPr>
                <w:rFonts w:ascii="Corbel" w:eastAsia="Times New Roman" w:hAnsi="Corbel" w:cs="Times New Roman"/>
                <w:color w:val="4472C4" w:themeColor="accent1"/>
                <w:kern w:val="0"/>
                <w:lang w:eastAsia="en-AU"/>
                <w14:ligatures w14:val="none"/>
              </w:rPr>
              <w:t xml:space="preserve">mployer incentives will be delivered through </w:t>
            </w:r>
            <w:r w:rsidR="00261634" w:rsidRPr="007A63A8">
              <w:rPr>
                <w:rFonts w:ascii="Corbel" w:eastAsia="Times New Roman" w:hAnsi="Corbel" w:cs="Times New Roman"/>
                <w:color w:val="4472C4" w:themeColor="accent1"/>
                <w:kern w:val="0"/>
                <w:lang w:eastAsia="en-AU"/>
                <w14:ligatures w14:val="none"/>
              </w:rPr>
              <w:t>funding to support block training release</w:t>
            </w:r>
            <w:r w:rsidR="00350588">
              <w:rPr>
                <w:rFonts w:ascii="Corbel" w:eastAsia="Times New Roman" w:hAnsi="Corbel" w:cs="Times New Roman"/>
                <w:color w:val="4472C4" w:themeColor="accent1"/>
                <w:kern w:val="0"/>
                <w:lang w:eastAsia="en-AU"/>
                <w14:ligatures w14:val="none"/>
              </w:rPr>
              <w:t xml:space="preserve"> and subsid</w:t>
            </w:r>
            <w:r w:rsidR="00925C18">
              <w:rPr>
                <w:rFonts w:ascii="Corbel" w:eastAsia="Times New Roman" w:hAnsi="Corbel" w:cs="Times New Roman"/>
                <w:color w:val="4472C4" w:themeColor="accent1"/>
                <w:kern w:val="0"/>
                <w:lang w:eastAsia="en-AU"/>
                <w14:ligatures w14:val="none"/>
              </w:rPr>
              <w:t>ise</w:t>
            </w:r>
            <w:r w:rsidR="00483203">
              <w:rPr>
                <w:rFonts w:ascii="Corbel" w:eastAsia="Times New Roman" w:hAnsi="Corbel" w:cs="Times New Roman"/>
                <w:color w:val="4472C4" w:themeColor="accent1"/>
                <w:kern w:val="0"/>
                <w:lang w:eastAsia="en-AU"/>
                <w14:ligatures w14:val="none"/>
              </w:rPr>
              <w:t xml:space="preserve"> </w:t>
            </w:r>
            <w:r w:rsidR="00483203" w:rsidRPr="00483203">
              <w:rPr>
                <w:rFonts w:ascii="Corbel" w:eastAsia="Times New Roman" w:hAnsi="Corbel" w:cs="Times New Roman"/>
                <w:color w:val="4472C4" w:themeColor="accent1"/>
                <w:kern w:val="0"/>
                <w:lang w:eastAsia="en-AU"/>
                <w14:ligatures w14:val="none"/>
              </w:rPr>
              <w:t>50% of apprentice</w:t>
            </w:r>
            <w:r w:rsidR="00483203" w:rsidRPr="00483203">
              <w:rPr>
                <w:rFonts w:ascii="Arial" w:eastAsia="Times New Roman" w:hAnsi="Arial" w:cs="Arial"/>
                <w:color w:val="4472C4" w:themeColor="accent1"/>
                <w:kern w:val="0"/>
                <w:lang w:eastAsia="en-AU"/>
                <w14:ligatures w14:val="none"/>
              </w:rPr>
              <w:t> </w:t>
            </w:r>
            <w:r w:rsidR="00483203" w:rsidRPr="00483203">
              <w:rPr>
                <w:rFonts w:ascii="Corbel" w:eastAsia="Times New Roman" w:hAnsi="Corbel" w:cs="Times New Roman"/>
                <w:color w:val="4472C4" w:themeColor="accent1"/>
                <w:kern w:val="0"/>
                <w:lang w:eastAsia="en-AU"/>
                <w14:ligatures w14:val="none"/>
              </w:rPr>
              <w:t>wages for first and second</w:t>
            </w:r>
            <w:r w:rsidR="0075450D">
              <w:rPr>
                <w:rFonts w:ascii="Corbel" w:eastAsia="Times New Roman" w:hAnsi="Corbel" w:cs="Times New Roman"/>
                <w:color w:val="4472C4" w:themeColor="accent1"/>
                <w:kern w:val="0"/>
                <w:lang w:eastAsia="en-AU"/>
                <w14:ligatures w14:val="none"/>
              </w:rPr>
              <w:t>-</w:t>
            </w:r>
            <w:r w:rsidR="00483203" w:rsidRPr="00483203">
              <w:rPr>
                <w:rFonts w:ascii="Corbel" w:eastAsia="Times New Roman" w:hAnsi="Corbel" w:cs="Times New Roman"/>
                <w:color w:val="4472C4" w:themeColor="accent1"/>
                <w:kern w:val="0"/>
                <w:lang w:eastAsia="en-AU"/>
                <w14:ligatures w14:val="none"/>
              </w:rPr>
              <w:t>year apprentices, and 25% of the wages for third and fourth</w:t>
            </w:r>
            <w:r w:rsidR="00F25180">
              <w:rPr>
                <w:rFonts w:ascii="Corbel" w:eastAsia="Times New Roman" w:hAnsi="Corbel" w:cs="Times New Roman"/>
                <w:color w:val="4472C4" w:themeColor="accent1"/>
                <w:kern w:val="0"/>
                <w:lang w:eastAsia="en-AU"/>
                <w14:ligatures w14:val="none"/>
              </w:rPr>
              <w:t>-</w:t>
            </w:r>
            <w:r w:rsidR="00483203" w:rsidRPr="00483203">
              <w:rPr>
                <w:rFonts w:ascii="Corbel" w:eastAsia="Times New Roman" w:hAnsi="Corbel" w:cs="Times New Roman"/>
                <w:color w:val="4472C4" w:themeColor="accent1"/>
                <w:kern w:val="0"/>
                <w:lang w:eastAsia="en-AU"/>
                <w14:ligatures w14:val="none"/>
              </w:rPr>
              <w:t>year apprentices for the first 2</w:t>
            </w:r>
            <w:r w:rsidR="0075450D">
              <w:rPr>
                <w:rFonts w:ascii="Corbel" w:eastAsia="Times New Roman" w:hAnsi="Corbel" w:cs="Times New Roman"/>
                <w:color w:val="4472C4" w:themeColor="accent1"/>
                <w:kern w:val="0"/>
                <w:lang w:eastAsia="en-AU"/>
                <w14:ligatures w14:val="none"/>
              </w:rPr>
              <w:t>,</w:t>
            </w:r>
            <w:r w:rsidR="00483203" w:rsidRPr="00483203">
              <w:rPr>
                <w:rFonts w:ascii="Corbel" w:eastAsia="Times New Roman" w:hAnsi="Corbel" w:cs="Times New Roman"/>
                <w:color w:val="4472C4" w:themeColor="accent1"/>
                <w:kern w:val="0"/>
                <w:lang w:eastAsia="en-AU"/>
                <w14:ligatures w14:val="none"/>
              </w:rPr>
              <w:t>000 construction apprentices to commence with small and family business</w:t>
            </w:r>
            <w:r w:rsidR="00715A4B">
              <w:rPr>
                <w:rFonts w:ascii="Corbel" w:eastAsia="Times New Roman" w:hAnsi="Corbel" w:cs="Times New Roman"/>
                <w:color w:val="4472C4" w:themeColor="accent1"/>
                <w:kern w:val="0"/>
                <w:lang w:eastAsia="en-AU"/>
                <w14:ligatures w14:val="none"/>
              </w:rPr>
              <w:t xml:space="preserve">. </w:t>
            </w:r>
            <w:r w:rsidRPr="007A63A8">
              <w:rPr>
                <w:rFonts w:ascii="Corbel" w:eastAsia="Times New Roman" w:hAnsi="Corbel" w:cs="Times New Roman"/>
                <w:color w:val="4472C4" w:themeColor="accent1"/>
                <w:kern w:val="0"/>
                <w:lang w:eastAsia="en-AU"/>
                <w14:ligatures w14:val="none"/>
              </w:rPr>
              <w:t xml:space="preserve"> </w:t>
            </w:r>
          </w:p>
          <w:p w14:paraId="611D8C28"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3, 14</w:t>
            </w:r>
          </w:p>
          <w:p w14:paraId="4596CD8C" w14:textId="3B4BCFA0" w:rsidR="00D0112A" w:rsidRPr="007A63A8" w:rsidRDefault="00D0112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Extended </w:t>
            </w:r>
            <w:r w:rsidRPr="008D7351">
              <w:rPr>
                <w:rFonts w:ascii="Corbel" w:eastAsia="Times New Roman" w:hAnsi="Corbel" w:cs="Times New Roman"/>
                <w:b/>
                <w:color w:val="4472C4" w:themeColor="accent1"/>
                <w:lang w:eastAsia="en-AU"/>
              </w:rPr>
              <w:t>micro-credentials for supervisors</w:t>
            </w:r>
            <w:r w:rsidRPr="007A63A8">
              <w:rPr>
                <w:rFonts w:ascii="Corbel" w:eastAsia="Times New Roman" w:hAnsi="Corbel" w:cs="Times New Roman"/>
                <w:color w:val="4472C4" w:themeColor="accent1"/>
                <w:lang w:eastAsia="en-AU"/>
              </w:rPr>
              <w:t xml:space="preserve"> – Expansion of free training for employers </w:t>
            </w:r>
            <w:r w:rsidR="00261634" w:rsidRPr="007A63A8">
              <w:rPr>
                <w:rFonts w:ascii="Corbel" w:eastAsia="Times New Roman" w:hAnsi="Corbel" w:cs="Times New Roman"/>
                <w:color w:val="4472C4" w:themeColor="accent1"/>
                <w:lang w:eastAsia="en-AU"/>
              </w:rPr>
              <w:t>of apprentices</w:t>
            </w:r>
            <w:r w:rsidRPr="007A63A8">
              <w:rPr>
                <w:rFonts w:ascii="Corbel" w:eastAsia="Times New Roman" w:hAnsi="Corbel" w:cs="Times New Roman"/>
                <w:color w:val="4472C4" w:themeColor="accent1"/>
                <w:lang w:eastAsia="en-AU"/>
              </w:rPr>
              <w:t xml:space="preserve"> to improve supervision and </w:t>
            </w:r>
            <w:r w:rsidRPr="0053296E">
              <w:rPr>
                <w:rFonts w:ascii="Corbel" w:eastAsia="Times New Roman" w:hAnsi="Corbel" w:cs="Times New Roman"/>
                <w:color w:val="4472C4" w:themeColor="accent1"/>
                <w:lang w:eastAsia="en-AU"/>
              </w:rPr>
              <w:t>mentorship</w:t>
            </w:r>
            <w:r w:rsidRPr="007A63A8">
              <w:rPr>
                <w:rFonts w:ascii="Corbel" w:eastAsia="Times New Roman" w:hAnsi="Corbel" w:cs="Times New Roman"/>
                <w:color w:val="4472C4" w:themeColor="accent1"/>
                <w:lang w:eastAsia="en-AU"/>
              </w:rPr>
              <w:t xml:space="preserve"> quality. Extended </w:t>
            </w:r>
            <w:r w:rsidRPr="007A63A8">
              <w:rPr>
                <w:rFonts w:ascii="Corbel" w:eastAsia="Times New Roman" w:hAnsi="Corbel" w:cs="Times New Roman"/>
                <w:color w:val="4472C4" w:themeColor="accent1"/>
                <w:kern w:val="0"/>
                <w:lang w:eastAsia="en-AU"/>
                <w14:ligatures w14:val="none"/>
              </w:rPr>
              <w:t>micro-credentials will be administered via RTOs in partnership with industry partners,</w:t>
            </w:r>
            <w:r w:rsidR="00AE3232">
              <w:rPr>
                <w:rFonts w:ascii="Corbel" w:eastAsia="Times New Roman" w:hAnsi="Corbel" w:cs="Times New Roman"/>
                <w:color w:val="4472C4" w:themeColor="accent1"/>
                <w:kern w:val="0"/>
                <w:lang w:eastAsia="en-AU"/>
                <w14:ligatures w14:val="none"/>
              </w:rPr>
              <w:t xml:space="preserve"> peak bodies and </w:t>
            </w:r>
            <w:r w:rsidRPr="007A63A8">
              <w:rPr>
                <w:rFonts w:ascii="Corbel" w:eastAsia="Times New Roman" w:hAnsi="Corbel" w:cs="Times New Roman"/>
                <w:color w:val="4472C4" w:themeColor="accent1"/>
                <w:kern w:val="0"/>
                <w:lang w:eastAsia="en-AU"/>
                <w14:ligatures w14:val="none"/>
              </w:rPr>
              <w:t>employer groups</w:t>
            </w:r>
            <w:r w:rsidR="00AE3232">
              <w:rPr>
                <w:rFonts w:ascii="Corbel" w:eastAsia="Times New Roman" w:hAnsi="Corbel" w:cs="Times New Roman"/>
                <w:color w:val="4472C4" w:themeColor="accent1"/>
                <w:kern w:val="0"/>
                <w:lang w:eastAsia="en-AU"/>
                <w14:ligatures w14:val="none"/>
              </w:rPr>
              <w:t>.</w:t>
            </w:r>
          </w:p>
          <w:p w14:paraId="455846BB"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3, 9, 17</w:t>
            </w:r>
          </w:p>
          <w:p w14:paraId="669E49B9" w14:textId="77777777" w:rsidR="00D0112A" w:rsidRPr="007A63A8" w:rsidRDefault="00D0112A"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New </w:t>
            </w:r>
            <w:r w:rsidRPr="008D7351">
              <w:rPr>
                <w:rFonts w:ascii="Corbel" w:eastAsia="Times New Roman" w:hAnsi="Corbel" w:cs="Times New Roman"/>
                <w:b/>
                <w:color w:val="4472C4" w:themeColor="accent1"/>
                <w:lang w:eastAsia="en-AU"/>
              </w:rPr>
              <w:t>flexible funding for disadvantaged students</w:t>
            </w:r>
            <w:r w:rsidRPr="007A63A8">
              <w:rPr>
                <w:rFonts w:ascii="Corbel" w:eastAsia="Times New Roman" w:hAnsi="Corbel" w:cs="Times New Roman"/>
                <w:color w:val="4472C4" w:themeColor="accent1"/>
                <w:lang w:eastAsia="en-AU"/>
              </w:rPr>
              <w:t xml:space="preserve"> – Assistance for students in resolving fee disputes and overcoming financial barriers to completion. </w:t>
            </w:r>
            <w:r w:rsidRPr="007A63A8">
              <w:rPr>
                <w:rFonts w:ascii="Corbel" w:eastAsia="Times New Roman" w:hAnsi="Corbel" w:cs="Times New Roman"/>
                <w:color w:val="4472C4" w:themeColor="accent1"/>
                <w:kern w:val="0"/>
                <w:lang w:eastAsia="en-AU"/>
                <w14:ligatures w14:val="none"/>
              </w:rPr>
              <w:t>Flexible funding for students will be delivered through government support mechanisms such as the Queensland Training Ombudsman.</w:t>
            </w:r>
          </w:p>
          <w:p w14:paraId="5CC3A527" w14:textId="77777777" w:rsidR="00D0112A" w:rsidRPr="007A63A8" w:rsidRDefault="00D0112A"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10, 1</w:t>
            </w:r>
          </w:p>
          <w:p w14:paraId="64A00705" w14:textId="14DFA9AF" w:rsidR="003443FE" w:rsidRPr="007A63A8" w:rsidRDefault="003443FE" w:rsidP="003443FE">
            <w:pPr>
              <w:pStyle w:val="ListParagraph"/>
              <w:numPr>
                <w:ilvl w:val="0"/>
                <w:numId w:val="35"/>
              </w:numPr>
              <w:rPr>
                <w:rFonts w:ascii="Corbel" w:eastAsia="Times New Roman" w:hAnsi="Corbel" w:cs="Times New Roman"/>
                <w:color w:val="4472C4" w:themeColor="accent1"/>
                <w:kern w:val="0"/>
                <w:lang w:eastAsia="en-AU"/>
                <w14:ligatures w14:val="none"/>
              </w:rPr>
            </w:pPr>
            <w:r w:rsidRPr="008D7351">
              <w:rPr>
                <w:rFonts w:ascii="Corbel" w:eastAsia="Times New Roman" w:hAnsi="Corbel" w:cs="Times New Roman"/>
                <w:b/>
                <w:color w:val="4472C4" w:themeColor="accent1"/>
                <w:lang w:eastAsia="en-AU"/>
              </w:rPr>
              <w:t>Re-engaging part completers</w:t>
            </w:r>
            <w:r w:rsidRPr="007A63A8">
              <w:rPr>
                <w:rFonts w:ascii="Corbel" w:eastAsia="Times New Roman" w:hAnsi="Corbel" w:cs="Times New Roman"/>
                <w:color w:val="4472C4" w:themeColor="accent1"/>
                <w:lang w:eastAsia="en-AU"/>
              </w:rPr>
              <w:t xml:space="preserve"> – </w:t>
            </w:r>
            <w:r w:rsidR="00A06BE3">
              <w:rPr>
                <w:rFonts w:ascii="Corbel" w:eastAsia="Times New Roman" w:hAnsi="Corbel" w:cs="Times New Roman"/>
                <w:color w:val="4472C4" w:themeColor="accent1"/>
                <w:lang w:eastAsia="en-AU"/>
              </w:rPr>
              <w:t xml:space="preserve">establishing an </w:t>
            </w:r>
            <w:r w:rsidR="009F2899" w:rsidRPr="007A63A8">
              <w:rPr>
                <w:rFonts w:ascii="Corbel" w:eastAsia="Times New Roman" w:hAnsi="Corbel" w:cs="Times New Roman"/>
                <w:color w:val="4472C4" w:themeColor="accent1"/>
                <w:lang w:eastAsia="en-AU"/>
              </w:rPr>
              <w:t xml:space="preserve">outreach </w:t>
            </w:r>
            <w:r w:rsidR="00A06BE3">
              <w:rPr>
                <w:rFonts w:ascii="Corbel" w:eastAsia="Times New Roman" w:hAnsi="Corbel" w:cs="Times New Roman"/>
                <w:color w:val="4472C4" w:themeColor="accent1"/>
                <w:lang w:eastAsia="en-AU"/>
              </w:rPr>
              <w:t>approach</w:t>
            </w:r>
            <w:r w:rsidR="00A06BE3" w:rsidRPr="007A63A8">
              <w:rPr>
                <w:rFonts w:ascii="Corbel" w:eastAsia="Times New Roman" w:hAnsi="Corbel" w:cs="Times New Roman"/>
                <w:color w:val="4472C4" w:themeColor="accent1"/>
                <w:lang w:eastAsia="en-AU"/>
              </w:rPr>
              <w:t xml:space="preserve"> </w:t>
            </w:r>
            <w:r w:rsidR="009F2899" w:rsidRPr="007A63A8">
              <w:rPr>
                <w:rFonts w:ascii="Corbel" w:eastAsia="Times New Roman" w:hAnsi="Corbel" w:cs="Times New Roman"/>
                <w:color w:val="4472C4" w:themeColor="accent1"/>
                <w:lang w:eastAsia="en-AU"/>
              </w:rPr>
              <w:t>for disengaged students</w:t>
            </w:r>
            <w:r w:rsidR="00A06BE3">
              <w:rPr>
                <w:rFonts w:ascii="Corbel" w:eastAsia="Times New Roman" w:hAnsi="Corbel" w:cs="Times New Roman"/>
                <w:color w:val="4472C4" w:themeColor="accent1"/>
                <w:lang w:eastAsia="en-AU"/>
              </w:rPr>
              <w:t xml:space="preserve"> to either </w:t>
            </w:r>
            <w:r w:rsidR="006B7808">
              <w:rPr>
                <w:rFonts w:ascii="Corbel" w:eastAsia="Times New Roman" w:hAnsi="Corbel" w:cs="Times New Roman"/>
                <w:color w:val="4472C4" w:themeColor="accent1"/>
                <w:lang w:eastAsia="en-AU"/>
              </w:rPr>
              <w:t>recommence or connect with an alternative VTE pathways</w:t>
            </w:r>
          </w:p>
          <w:p w14:paraId="769406A2" w14:textId="560B11D2" w:rsidR="00812BD1" w:rsidRPr="007A63A8" w:rsidRDefault="003443FE" w:rsidP="003443FE">
            <w:pPr>
              <w:pStyle w:val="ListParagraph"/>
              <w:numPr>
                <w:ilvl w:val="1"/>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Aligns with Recommendations: 10, 1</w:t>
            </w:r>
          </w:p>
        </w:tc>
      </w:tr>
      <w:tr w:rsidR="00E7504A" w:rsidRPr="008F1196" w14:paraId="65D0E793" w14:textId="77777777" w:rsidTr="0072310D">
        <w:tc>
          <w:tcPr>
            <w:tcW w:w="2349" w:type="dxa"/>
          </w:tcPr>
          <w:p w14:paraId="09F18547" w14:textId="2BEBEB16"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Expected reach and additionality</w:t>
            </w:r>
          </w:p>
        </w:tc>
        <w:tc>
          <w:tcPr>
            <w:tcW w:w="7007" w:type="dxa"/>
            <w:gridSpan w:val="3"/>
            <w:vAlign w:val="bottom"/>
          </w:tcPr>
          <w:p w14:paraId="2B62EB61" w14:textId="5ECD41B3" w:rsidR="00A97EE2" w:rsidRPr="007A63A8" w:rsidRDefault="000C6B0A" w:rsidP="00A97EE2">
            <w:pPr>
              <w:pStyle w:val="ListParagraph"/>
              <w:numPr>
                <w:ilvl w:val="0"/>
                <w:numId w:val="35"/>
              </w:numPr>
              <w:rPr>
                <w:rFonts w:ascii="Corbel" w:hAnsi="Corbel"/>
                <w:color w:val="4472C4" w:themeColor="accent1"/>
              </w:rPr>
            </w:pPr>
            <w:r w:rsidRPr="007A63A8">
              <w:rPr>
                <w:rFonts w:ascii="Corbel" w:eastAsia="Times New Roman" w:hAnsi="Corbel" w:cs="Times New Roman"/>
                <w:color w:val="4472C4" w:themeColor="accent1"/>
                <w:kern w:val="0"/>
                <w:lang w:eastAsia="en-AU"/>
                <w14:ligatures w14:val="none"/>
              </w:rPr>
              <w:t>A&amp;T</w:t>
            </w:r>
            <w:r w:rsidR="00E7504A" w:rsidRPr="007A63A8">
              <w:rPr>
                <w:rFonts w:ascii="Corbel" w:eastAsia="Times New Roman" w:hAnsi="Corbel" w:cs="Times New Roman"/>
                <w:color w:val="4472C4" w:themeColor="accent1"/>
                <w:kern w:val="0"/>
                <w:lang w:eastAsia="en-AU"/>
                <w14:ligatures w14:val="none"/>
              </w:rPr>
              <w:t xml:space="preserve"> across Queensland, particularly in regional, rural, and remote areas</w:t>
            </w:r>
            <w:r w:rsidR="00A97EE2" w:rsidRPr="007A63A8">
              <w:rPr>
                <w:rFonts w:ascii="Corbel" w:eastAsia="Times New Roman" w:hAnsi="Corbel" w:cs="Times New Roman"/>
                <w:color w:val="4472C4" w:themeColor="accent1"/>
                <w:kern w:val="0"/>
                <w:lang w:eastAsia="en-AU"/>
                <w14:ligatures w14:val="none"/>
              </w:rPr>
              <w:t xml:space="preserve"> - </w:t>
            </w:r>
            <w:r w:rsidR="00B91BB6" w:rsidRPr="007A63A8">
              <w:rPr>
                <w:rFonts w:ascii="Corbel" w:eastAsia="Times New Roman" w:hAnsi="Corbel" w:cs="Times New Roman"/>
                <w:color w:val="4472C4" w:themeColor="accent1"/>
                <w:lang w:eastAsia="en-AU"/>
              </w:rPr>
              <w:t>with a</w:t>
            </w:r>
            <w:r w:rsidR="00A97EE2" w:rsidRPr="007A63A8">
              <w:rPr>
                <w:rFonts w:ascii="Corbel" w:eastAsia="Times New Roman" w:hAnsi="Corbel" w:cs="Times New Roman"/>
                <w:color w:val="4472C4" w:themeColor="accent1"/>
                <w:lang w:eastAsia="en-AU"/>
              </w:rPr>
              <w:t xml:space="preserve"> focus on </w:t>
            </w:r>
            <w:r w:rsidR="00BF5F8E" w:rsidRPr="007A63A8">
              <w:rPr>
                <w:rFonts w:ascii="Corbel" w:eastAsia="Times New Roman" w:hAnsi="Corbel" w:cs="Times New Roman"/>
                <w:color w:val="4472C4" w:themeColor="accent1"/>
                <w:lang w:eastAsia="en-AU"/>
              </w:rPr>
              <w:t>the</w:t>
            </w:r>
            <w:r w:rsidR="00A97EE2" w:rsidRPr="007A63A8">
              <w:rPr>
                <w:rFonts w:ascii="Corbel" w:eastAsia="Times New Roman" w:hAnsi="Corbel" w:cs="Times New Roman"/>
                <w:color w:val="4472C4" w:themeColor="accent1"/>
                <w:lang w:eastAsia="en-AU"/>
              </w:rPr>
              <w:t xml:space="preserve"> </w:t>
            </w:r>
            <w:r w:rsidRPr="007A63A8">
              <w:rPr>
                <w:rFonts w:ascii="Corbel" w:eastAsia="Times New Roman" w:hAnsi="Corbel" w:cs="Times New Roman"/>
                <w:color w:val="4472C4" w:themeColor="accent1"/>
                <w:lang w:eastAsia="en-AU"/>
              </w:rPr>
              <w:t xml:space="preserve">A&amp;T </w:t>
            </w:r>
            <w:r w:rsidR="00A97EE2" w:rsidRPr="007A63A8">
              <w:rPr>
                <w:rFonts w:ascii="Corbel" w:eastAsia="Times New Roman" w:hAnsi="Corbel" w:cs="Times New Roman"/>
                <w:color w:val="4472C4" w:themeColor="accent1"/>
                <w:lang w:eastAsia="en-AU"/>
              </w:rPr>
              <w:t>that</w:t>
            </w:r>
            <w:r w:rsidR="00A1054F" w:rsidRPr="007A63A8">
              <w:rPr>
                <w:rFonts w:ascii="Corbel" w:eastAsia="Times New Roman" w:hAnsi="Corbel" w:cs="Times New Roman"/>
                <w:color w:val="4472C4" w:themeColor="accent1"/>
                <w:lang w:eastAsia="en-AU"/>
              </w:rPr>
              <w:t xml:space="preserve"> data analysis</w:t>
            </w:r>
            <w:r w:rsidR="00A97EE2" w:rsidRPr="007A63A8">
              <w:rPr>
                <w:rFonts w:ascii="Corbel" w:eastAsia="Times New Roman" w:hAnsi="Corbel" w:cs="Times New Roman"/>
                <w:color w:val="4472C4" w:themeColor="accent1"/>
                <w:lang w:eastAsia="en-AU"/>
              </w:rPr>
              <w:t xml:space="preserve"> </w:t>
            </w:r>
            <w:r w:rsidR="00A1054F" w:rsidRPr="007A63A8">
              <w:rPr>
                <w:rFonts w:ascii="Corbel" w:eastAsia="Times New Roman" w:hAnsi="Corbel" w:cs="Times New Roman"/>
                <w:color w:val="4472C4" w:themeColor="accent1"/>
                <w:lang w:eastAsia="en-AU"/>
              </w:rPr>
              <w:t>identifies</w:t>
            </w:r>
            <w:r w:rsidR="00A97EE2" w:rsidRPr="007A63A8">
              <w:rPr>
                <w:rFonts w:ascii="Corbel" w:eastAsia="Times New Roman" w:hAnsi="Corbel" w:cs="Times New Roman"/>
                <w:color w:val="4472C4" w:themeColor="accent1"/>
                <w:lang w:eastAsia="en-AU"/>
              </w:rPr>
              <w:t xml:space="preserve"> as being at high</w:t>
            </w:r>
            <w:r w:rsidR="00BF5F8E" w:rsidRPr="007A63A8">
              <w:rPr>
                <w:rFonts w:ascii="Corbel" w:eastAsia="Times New Roman" w:hAnsi="Corbel" w:cs="Times New Roman"/>
                <w:color w:val="4472C4" w:themeColor="accent1"/>
                <w:lang w:eastAsia="en-AU"/>
              </w:rPr>
              <w:t>est</w:t>
            </w:r>
            <w:r w:rsidR="00A97EE2" w:rsidRPr="007A63A8">
              <w:rPr>
                <w:rFonts w:ascii="Corbel" w:eastAsia="Times New Roman" w:hAnsi="Corbel" w:cs="Times New Roman"/>
                <w:color w:val="4472C4" w:themeColor="accent1"/>
                <w:lang w:eastAsia="en-AU"/>
              </w:rPr>
              <w:t xml:space="preserve"> risk of non-completion</w:t>
            </w:r>
            <w:r w:rsidR="00A1054F" w:rsidRPr="007A63A8">
              <w:rPr>
                <w:rFonts w:ascii="Corbel" w:eastAsia="Times New Roman" w:hAnsi="Corbel" w:cs="Times New Roman"/>
                <w:color w:val="4472C4" w:themeColor="accent1"/>
                <w:lang w:eastAsia="en-AU"/>
              </w:rPr>
              <w:t xml:space="preserve"> that are not already receiving Australian Government services. </w:t>
            </w:r>
          </w:p>
          <w:p w14:paraId="30B9E2FB" w14:textId="73F8EC3D"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Disadvantaged students </w:t>
            </w:r>
            <w:r w:rsidR="00A1054F" w:rsidRPr="007A63A8">
              <w:rPr>
                <w:rFonts w:ascii="Corbel" w:eastAsia="Times New Roman" w:hAnsi="Corbel" w:cs="Times New Roman"/>
                <w:color w:val="4472C4" w:themeColor="accent1"/>
                <w:kern w:val="0"/>
                <w:lang w:eastAsia="en-AU"/>
                <w14:ligatures w14:val="none"/>
              </w:rPr>
              <w:t xml:space="preserve">accessing training through </w:t>
            </w:r>
            <w:r w:rsidR="7DA8F3C4" w:rsidRPr="007A63A8">
              <w:rPr>
                <w:rFonts w:ascii="Corbel" w:eastAsia="Times New Roman" w:hAnsi="Corbel" w:cs="Times New Roman"/>
                <w:color w:val="4472C4" w:themeColor="accent1"/>
                <w:kern w:val="0"/>
                <w:lang w:eastAsia="en-AU"/>
                <w14:ligatures w14:val="none"/>
              </w:rPr>
              <w:t>private provider</w:t>
            </w:r>
            <w:r w:rsidR="00706E57" w:rsidRPr="007A63A8">
              <w:rPr>
                <w:rFonts w:ascii="Corbel" w:eastAsia="Times New Roman" w:hAnsi="Corbel" w:cs="Times New Roman"/>
                <w:color w:val="4472C4" w:themeColor="accent1"/>
                <w:kern w:val="0"/>
                <w:lang w:eastAsia="en-AU"/>
                <w14:ligatures w14:val="none"/>
              </w:rPr>
              <w:t xml:space="preserve"> </w:t>
            </w:r>
            <w:r w:rsidR="00722A7E" w:rsidRPr="007A63A8">
              <w:rPr>
                <w:rFonts w:ascii="Corbel" w:eastAsia="Times New Roman" w:hAnsi="Corbel" w:cs="Times New Roman"/>
                <w:color w:val="4472C4" w:themeColor="accent1"/>
                <w:kern w:val="0"/>
                <w:lang w:eastAsia="en-AU"/>
                <w14:ligatures w14:val="none"/>
              </w:rPr>
              <w:t>SAS</w:t>
            </w:r>
            <w:r w:rsidR="00A1054F" w:rsidRPr="007A63A8">
              <w:rPr>
                <w:rFonts w:ascii="Corbel" w:eastAsia="Times New Roman" w:hAnsi="Corbel" w:cs="Times New Roman"/>
                <w:color w:val="4472C4" w:themeColor="accent1"/>
                <w:kern w:val="0"/>
                <w:lang w:eastAsia="en-AU"/>
                <w14:ligatures w14:val="none"/>
              </w:rPr>
              <w:t xml:space="preserve"> </w:t>
            </w:r>
            <w:r w:rsidRPr="007A63A8">
              <w:rPr>
                <w:rFonts w:ascii="Corbel" w:eastAsia="Times New Roman" w:hAnsi="Corbel" w:cs="Times New Roman"/>
                <w:color w:val="4472C4" w:themeColor="accent1"/>
                <w:kern w:val="0"/>
                <w:lang w:eastAsia="en-AU"/>
                <w14:ligatures w14:val="none"/>
              </w:rPr>
              <w:t>needing</w:t>
            </w:r>
            <w:r w:rsidRPr="007A63A8">
              <w:rPr>
                <w:rFonts w:ascii="Corbel" w:eastAsia="Times New Roman" w:hAnsi="Corbel" w:cs="Times New Roman"/>
                <w:color w:val="4472C4" w:themeColor="accent1"/>
                <w:lang w:eastAsia="en-AU"/>
              </w:rPr>
              <w:t xml:space="preserve"> pastoral,</w:t>
            </w:r>
            <w:r w:rsidRPr="007A63A8">
              <w:rPr>
                <w:rFonts w:ascii="Corbel" w:eastAsia="Times New Roman" w:hAnsi="Corbel" w:cs="Times New Roman"/>
                <w:color w:val="4472C4" w:themeColor="accent1"/>
                <w:kern w:val="0"/>
                <w:lang w:eastAsia="en-AU"/>
                <w14:ligatures w14:val="none"/>
              </w:rPr>
              <w:t xml:space="preserve"> financial or academic support</w:t>
            </w:r>
            <w:r w:rsidR="00A1054F" w:rsidRPr="007A63A8">
              <w:rPr>
                <w:rFonts w:ascii="Corbel" w:eastAsia="Times New Roman" w:hAnsi="Corbel" w:cs="Times New Roman"/>
                <w:color w:val="4472C4" w:themeColor="accent1"/>
                <w:kern w:val="0"/>
                <w:lang w:eastAsia="en-AU"/>
                <w14:ligatures w14:val="none"/>
              </w:rPr>
              <w:t>.</w:t>
            </w:r>
            <w:r w:rsidR="003F3DF0" w:rsidRPr="007A63A8">
              <w:rPr>
                <w:rFonts w:ascii="Corbel" w:eastAsia="Times New Roman" w:hAnsi="Corbel" w:cs="Times New Roman"/>
                <w:color w:val="4472C4" w:themeColor="accent1"/>
                <w:kern w:val="0"/>
                <w:lang w:eastAsia="en-AU"/>
                <w14:ligatures w14:val="none"/>
              </w:rPr>
              <w:t xml:space="preserve"> Approximately 60,000 eligible Queensland </w:t>
            </w:r>
            <w:r w:rsidR="009D3943">
              <w:rPr>
                <w:rFonts w:ascii="Corbel" w:eastAsia="Times New Roman" w:hAnsi="Corbel" w:cs="Times New Roman"/>
                <w:color w:val="4472C4" w:themeColor="accent1"/>
                <w:kern w:val="0"/>
                <w:lang w:eastAsia="en-AU"/>
                <w14:ligatures w14:val="none"/>
              </w:rPr>
              <w:t xml:space="preserve">government funded </w:t>
            </w:r>
            <w:r w:rsidR="003F3DF0" w:rsidRPr="007A63A8">
              <w:rPr>
                <w:rFonts w:ascii="Corbel" w:eastAsia="Times New Roman" w:hAnsi="Corbel" w:cs="Times New Roman"/>
                <w:color w:val="4472C4" w:themeColor="accent1"/>
                <w:kern w:val="0"/>
                <w:lang w:eastAsia="en-AU"/>
                <w14:ligatures w14:val="none"/>
              </w:rPr>
              <w:t xml:space="preserve">students </w:t>
            </w:r>
            <w:r w:rsidR="009D3943">
              <w:rPr>
                <w:rFonts w:ascii="Corbel" w:eastAsia="Times New Roman" w:hAnsi="Corbel" w:cs="Times New Roman"/>
                <w:color w:val="4472C4" w:themeColor="accent1"/>
                <w:kern w:val="0"/>
                <w:lang w:eastAsia="en-AU"/>
                <w14:ligatures w14:val="none"/>
              </w:rPr>
              <w:t xml:space="preserve">per annum </w:t>
            </w:r>
            <w:r w:rsidR="00BF5F8E" w:rsidRPr="007A63A8">
              <w:rPr>
                <w:rFonts w:ascii="Corbel" w:eastAsia="Times New Roman" w:hAnsi="Corbel" w:cs="Times New Roman"/>
                <w:color w:val="4472C4" w:themeColor="accent1"/>
                <w:kern w:val="0"/>
                <w:lang w:eastAsia="en-AU"/>
                <w14:ligatures w14:val="none"/>
              </w:rPr>
              <w:t xml:space="preserve">potentially do not have </w:t>
            </w:r>
            <w:r w:rsidR="003F3DF0" w:rsidRPr="007A63A8">
              <w:rPr>
                <w:rFonts w:ascii="Corbel" w:eastAsia="Times New Roman" w:hAnsi="Corbel" w:cs="Times New Roman"/>
                <w:color w:val="4472C4" w:themeColor="accent1"/>
                <w:kern w:val="0"/>
                <w:lang w:eastAsia="en-AU"/>
                <w14:ligatures w14:val="none"/>
              </w:rPr>
              <w:t>access</w:t>
            </w:r>
            <w:r w:rsidR="00BF5F8E" w:rsidRPr="007A63A8">
              <w:rPr>
                <w:rFonts w:ascii="Corbel" w:eastAsia="Times New Roman" w:hAnsi="Corbel" w:cs="Times New Roman"/>
                <w:color w:val="4472C4" w:themeColor="accent1"/>
                <w:kern w:val="0"/>
                <w:lang w:eastAsia="en-AU"/>
                <w14:ligatures w14:val="none"/>
              </w:rPr>
              <w:t xml:space="preserve"> to</w:t>
            </w:r>
            <w:r w:rsidR="003F3DF0" w:rsidRPr="007A63A8">
              <w:rPr>
                <w:rFonts w:ascii="Corbel" w:eastAsia="Times New Roman" w:hAnsi="Corbel" w:cs="Times New Roman"/>
                <w:color w:val="4472C4" w:themeColor="accent1"/>
                <w:kern w:val="0"/>
                <w:lang w:eastAsia="en-AU"/>
                <w14:ligatures w14:val="none"/>
              </w:rPr>
              <w:t xml:space="preserve"> support services.</w:t>
            </w:r>
          </w:p>
          <w:p w14:paraId="664587BB" w14:textId="5F254C3F"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kern w:val="0"/>
                <w:lang w:eastAsia="en-AU"/>
                <w14:ligatures w14:val="none"/>
              </w:rPr>
              <w:t>Small business employers requiring structured support for apprentice retention</w:t>
            </w:r>
            <w:r w:rsidR="007837F8" w:rsidRPr="007A63A8">
              <w:rPr>
                <w:rFonts w:ascii="Corbel" w:eastAsia="Times New Roman" w:hAnsi="Corbel" w:cs="Times New Roman"/>
                <w:color w:val="4472C4" w:themeColor="accent1"/>
                <w:kern w:val="0"/>
                <w:lang w:eastAsia="en-AU"/>
                <w14:ligatures w14:val="none"/>
              </w:rPr>
              <w:t xml:space="preserve"> </w:t>
            </w:r>
            <w:r w:rsidR="00A97EE2" w:rsidRPr="007A63A8">
              <w:rPr>
                <w:rFonts w:ascii="Corbel" w:eastAsia="Times New Roman" w:hAnsi="Corbel" w:cs="Times New Roman"/>
                <w:color w:val="4472C4" w:themeColor="accent1"/>
                <w:kern w:val="0"/>
                <w:lang w:eastAsia="en-AU"/>
                <w14:ligatures w14:val="none"/>
              </w:rPr>
              <w:t xml:space="preserve">- </w:t>
            </w:r>
            <w:r w:rsidR="00BF5F8E" w:rsidRPr="007A63A8">
              <w:rPr>
                <w:rFonts w:ascii="Corbel" w:eastAsia="Times New Roman" w:hAnsi="Corbel" w:cs="Times New Roman"/>
                <w:color w:val="4472C4" w:themeColor="accent1"/>
                <w:kern w:val="0"/>
                <w:lang w:eastAsia="en-AU"/>
                <w14:ligatures w14:val="none"/>
              </w:rPr>
              <w:t>u</w:t>
            </w:r>
            <w:r w:rsidR="00A97EE2" w:rsidRPr="007A63A8">
              <w:rPr>
                <w:rFonts w:ascii="Corbel" w:eastAsia="Times New Roman" w:hAnsi="Corbel" w:cs="Times New Roman"/>
                <w:color w:val="4472C4" w:themeColor="accent1"/>
                <w:kern w:val="0"/>
                <w:lang w:eastAsia="en-AU"/>
                <w14:ligatures w14:val="none"/>
              </w:rPr>
              <w:t>p to 2000 construction trade apprentices employed by small and family businesses will be supported.</w:t>
            </w:r>
          </w:p>
          <w:p w14:paraId="65E38E24" w14:textId="73102A36" w:rsidR="00E7504A" w:rsidRPr="007A63A8" w:rsidRDefault="00DE26E6" w:rsidP="008F093E">
            <w:pPr>
              <w:pStyle w:val="ListParagraph"/>
              <w:numPr>
                <w:ilvl w:val="0"/>
                <w:numId w:val="35"/>
              </w:numPr>
              <w:rPr>
                <w:rFonts w:ascii="Corbel" w:eastAsia="Times New Roman" w:hAnsi="Corbel" w:cs="Times New Roman"/>
                <w:color w:val="4472C4" w:themeColor="accent1"/>
                <w:lang w:eastAsia="en-AU"/>
              </w:rPr>
            </w:pPr>
            <w:r>
              <w:rPr>
                <w:rFonts w:ascii="Corbel" w:eastAsia="Times New Roman" w:hAnsi="Corbel" w:cs="Times New Roman"/>
                <w:color w:val="4472C4" w:themeColor="accent1"/>
                <w:lang w:eastAsia="en-AU"/>
              </w:rPr>
              <w:t>Approximately</w:t>
            </w:r>
            <w:r w:rsidR="002F6A1B" w:rsidRPr="007A63A8">
              <w:rPr>
                <w:rFonts w:ascii="Corbel" w:eastAsia="Times New Roman" w:hAnsi="Corbel" w:cs="Times New Roman"/>
                <w:color w:val="4472C4" w:themeColor="accent1"/>
                <w:lang w:eastAsia="en-AU"/>
              </w:rPr>
              <w:t xml:space="preserve"> </w:t>
            </w:r>
            <w:r w:rsidR="00590C56">
              <w:rPr>
                <w:rFonts w:ascii="Corbel" w:eastAsia="Times New Roman" w:hAnsi="Corbel" w:cs="Times New Roman"/>
                <w:color w:val="4472C4" w:themeColor="accent1"/>
                <w:lang w:eastAsia="en-AU"/>
              </w:rPr>
              <w:t>20</w:t>
            </w:r>
            <w:r w:rsidR="00590C56" w:rsidRPr="007A63A8">
              <w:rPr>
                <w:rFonts w:ascii="Corbel" w:eastAsia="Times New Roman" w:hAnsi="Corbel" w:cs="Times New Roman"/>
                <w:color w:val="4472C4" w:themeColor="accent1"/>
                <w:lang w:eastAsia="en-AU"/>
              </w:rPr>
              <w:t xml:space="preserve"> </w:t>
            </w:r>
            <w:r w:rsidR="00D81FAA" w:rsidRPr="007A63A8">
              <w:rPr>
                <w:rFonts w:ascii="Corbel" w:eastAsia="Times New Roman" w:hAnsi="Corbel" w:cs="Times New Roman"/>
                <w:color w:val="4472C4" w:themeColor="accent1"/>
                <w:lang w:eastAsia="en-AU"/>
              </w:rPr>
              <w:t>RTOs supported to introduce innovative student support practices</w:t>
            </w:r>
            <w:r>
              <w:rPr>
                <w:rFonts w:ascii="Corbel" w:eastAsia="Times New Roman" w:hAnsi="Corbel" w:cs="Times New Roman"/>
                <w:color w:val="4472C4" w:themeColor="accent1"/>
                <w:lang w:eastAsia="en-AU"/>
              </w:rPr>
              <w:t xml:space="preserve"> through Set for Success</w:t>
            </w:r>
            <w:r w:rsidR="00032C63">
              <w:rPr>
                <w:rFonts w:ascii="Corbel" w:eastAsia="Times New Roman" w:hAnsi="Corbel" w:cs="Times New Roman"/>
                <w:color w:val="4472C4" w:themeColor="accent1"/>
                <w:lang w:eastAsia="en-AU"/>
              </w:rPr>
              <w:t xml:space="preserve"> grants</w:t>
            </w:r>
            <w:r w:rsidR="008F093E" w:rsidRPr="007A63A8">
              <w:rPr>
                <w:rFonts w:ascii="Corbel" w:eastAsia="Times New Roman" w:hAnsi="Corbel" w:cs="Times New Roman"/>
                <w:color w:val="4472C4" w:themeColor="accent1"/>
                <w:lang w:eastAsia="en-AU"/>
              </w:rPr>
              <w:t>.</w:t>
            </w:r>
            <w:r w:rsidR="00286491" w:rsidRPr="007A63A8">
              <w:rPr>
                <w:rFonts w:ascii="Corbel" w:eastAsia="Times New Roman" w:hAnsi="Corbel" w:cs="Times New Roman"/>
                <w:color w:val="4472C4" w:themeColor="accent1"/>
                <w:lang w:eastAsia="en-AU"/>
              </w:rPr>
              <w:t xml:space="preserve"> </w:t>
            </w:r>
          </w:p>
        </w:tc>
      </w:tr>
      <w:tr w:rsidR="00E7504A" w:rsidRPr="008F1196" w14:paraId="6DA4B5CC" w14:textId="77777777" w:rsidTr="0072310D">
        <w:tc>
          <w:tcPr>
            <w:tcW w:w="2349" w:type="dxa"/>
          </w:tcPr>
          <w:p w14:paraId="1A50CCD8" w14:textId="7777777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Engagement and partnerships</w:t>
            </w:r>
          </w:p>
        </w:tc>
        <w:tc>
          <w:tcPr>
            <w:tcW w:w="7007" w:type="dxa"/>
            <w:gridSpan w:val="3"/>
            <w:vAlign w:val="bottom"/>
          </w:tcPr>
          <w:p w14:paraId="28CF372A" w14:textId="43E2CC21"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kern w:val="0"/>
                <w:lang w:eastAsia="en-AU"/>
                <w14:ligatures w14:val="none"/>
              </w:rPr>
              <w:t>Collaboration with RTOs</w:t>
            </w:r>
            <w:r w:rsidR="000129A2" w:rsidRPr="007A63A8">
              <w:rPr>
                <w:rFonts w:ascii="Corbel" w:eastAsia="Times New Roman" w:hAnsi="Corbel" w:cs="Times New Roman"/>
                <w:color w:val="4472C4" w:themeColor="accent1"/>
                <w:kern w:val="0"/>
                <w:lang w:eastAsia="en-AU"/>
                <w14:ligatures w14:val="none"/>
              </w:rPr>
              <w:t>.</w:t>
            </w:r>
          </w:p>
          <w:p w14:paraId="3083FEAE" w14:textId="77777777"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 xml:space="preserve">Collaboration with ACAPs, </w:t>
            </w:r>
            <w:r w:rsidRPr="007A63A8">
              <w:rPr>
                <w:rFonts w:ascii="Corbel" w:eastAsia="Times New Roman" w:hAnsi="Corbel" w:cs="Times New Roman"/>
                <w:color w:val="4472C4" w:themeColor="accent1"/>
                <w:kern w:val="0"/>
                <w:lang w:eastAsia="en-AU"/>
                <w14:ligatures w14:val="none"/>
              </w:rPr>
              <w:t>apprenticeship networks</w:t>
            </w:r>
            <w:r w:rsidRPr="007A63A8">
              <w:rPr>
                <w:rFonts w:ascii="Corbel" w:eastAsia="Times New Roman" w:hAnsi="Corbel" w:cs="Times New Roman"/>
                <w:color w:val="4472C4" w:themeColor="accent1"/>
                <w:lang w:eastAsia="en-AU"/>
              </w:rPr>
              <w:t xml:space="preserve"> and employers.</w:t>
            </w:r>
          </w:p>
          <w:p w14:paraId="52CE2A6F" w14:textId="097277C8"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 xml:space="preserve">Participate with the Australian Government on </w:t>
            </w:r>
            <w:r w:rsidR="00C445FE" w:rsidRPr="007A63A8">
              <w:rPr>
                <w:rFonts w:ascii="Corbel" w:eastAsia="Times New Roman" w:hAnsi="Corbel" w:cs="Times New Roman"/>
                <w:color w:val="4472C4" w:themeColor="accent1"/>
                <w:lang w:eastAsia="en-AU"/>
              </w:rPr>
              <w:t>implementing</w:t>
            </w:r>
            <w:r w:rsidR="00706E57" w:rsidRPr="007A63A8">
              <w:rPr>
                <w:rFonts w:ascii="Corbel" w:eastAsia="Times New Roman" w:hAnsi="Corbel" w:cs="Times New Roman"/>
                <w:color w:val="4472C4" w:themeColor="accent1"/>
                <w:lang w:eastAsia="en-AU"/>
              </w:rPr>
              <w:t xml:space="preserve"> the findings o</w:t>
            </w:r>
            <w:r w:rsidR="009A0C03">
              <w:rPr>
                <w:rFonts w:ascii="Corbel" w:eastAsia="Times New Roman" w:hAnsi="Corbel" w:cs="Times New Roman"/>
                <w:color w:val="4472C4" w:themeColor="accent1"/>
                <w:lang w:eastAsia="en-AU"/>
              </w:rPr>
              <w:t>f</w:t>
            </w:r>
            <w:r w:rsidR="00706E57" w:rsidRPr="007A63A8">
              <w:rPr>
                <w:rFonts w:ascii="Corbel" w:eastAsia="Times New Roman" w:hAnsi="Corbel" w:cs="Times New Roman"/>
                <w:color w:val="4472C4" w:themeColor="accent1"/>
                <w:lang w:eastAsia="en-AU"/>
              </w:rPr>
              <w:t xml:space="preserve"> the </w:t>
            </w:r>
            <w:r w:rsidRPr="007A63A8">
              <w:rPr>
                <w:rFonts w:ascii="Corbel" w:eastAsia="Times New Roman" w:hAnsi="Corbel" w:cs="Times New Roman"/>
                <w:color w:val="4472C4" w:themeColor="accent1"/>
                <w:lang w:eastAsia="en-AU"/>
              </w:rPr>
              <w:t>review</w:t>
            </w:r>
            <w:r w:rsidR="00706E57" w:rsidRPr="007A63A8">
              <w:rPr>
                <w:rFonts w:ascii="Corbel" w:eastAsia="Times New Roman" w:hAnsi="Corbel" w:cs="Times New Roman"/>
                <w:color w:val="4472C4" w:themeColor="accent1"/>
                <w:lang w:eastAsia="en-AU"/>
              </w:rPr>
              <w:t xml:space="preserve"> of </w:t>
            </w:r>
            <w:r w:rsidRPr="007A63A8">
              <w:rPr>
                <w:rFonts w:ascii="Corbel" w:eastAsia="Times New Roman" w:hAnsi="Corbel" w:cs="Times New Roman"/>
                <w:color w:val="4472C4" w:themeColor="accent1"/>
                <w:lang w:eastAsia="en-AU"/>
              </w:rPr>
              <w:t xml:space="preserve">A&amp;T </w:t>
            </w:r>
            <w:r w:rsidR="007644DF" w:rsidRPr="007A63A8">
              <w:rPr>
                <w:rFonts w:ascii="Corbel" w:eastAsia="Times New Roman" w:hAnsi="Corbel" w:cs="Times New Roman"/>
                <w:color w:val="4472C4" w:themeColor="accent1"/>
                <w:lang w:eastAsia="en-AU"/>
              </w:rPr>
              <w:t>incentives.</w:t>
            </w:r>
            <w:r w:rsidRPr="007A63A8">
              <w:rPr>
                <w:rFonts w:ascii="Corbel" w:eastAsia="Times New Roman" w:hAnsi="Corbel" w:cs="Times New Roman"/>
                <w:color w:val="4472C4" w:themeColor="accent1"/>
                <w:lang w:eastAsia="en-AU"/>
              </w:rPr>
              <w:t xml:space="preserve"> </w:t>
            </w:r>
          </w:p>
          <w:p w14:paraId="4A3EBA44" w14:textId="77777777"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lastRenderedPageBreak/>
              <w:t>Industry associations and employer groups to co-design incentives and micro-credentials.</w:t>
            </w:r>
          </w:p>
          <w:p w14:paraId="637CA9A7" w14:textId="0CCB494B"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First Nations organisations to ensure cultural</w:t>
            </w:r>
            <w:r w:rsidR="001B1E6C">
              <w:rPr>
                <w:rFonts w:ascii="Corbel" w:eastAsia="Times New Roman" w:hAnsi="Corbel" w:cs="Times New Roman"/>
                <w:color w:val="4472C4" w:themeColor="accent1"/>
                <w:kern w:val="0"/>
                <w:lang w:eastAsia="en-AU"/>
                <w14:ligatures w14:val="none"/>
              </w:rPr>
              <w:t xml:space="preserve"> safety and </w:t>
            </w:r>
            <w:r w:rsidRPr="007A63A8">
              <w:rPr>
                <w:rFonts w:ascii="Corbel" w:eastAsia="Times New Roman" w:hAnsi="Corbel" w:cs="Times New Roman"/>
                <w:color w:val="4472C4" w:themeColor="accent1"/>
                <w:kern w:val="0"/>
                <w:lang w:eastAsia="en-AU"/>
                <w14:ligatures w14:val="none"/>
              </w:rPr>
              <w:t>support</w:t>
            </w:r>
            <w:r w:rsidR="001B1E6C">
              <w:rPr>
                <w:rFonts w:ascii="Corbel" w:eastAsia="Times New Roman" w:hAnsi="Corbel" w:cs="Times New Roman"/>
                <w:color w:val="4472C4" w:themeColor="accent1"/>
                <w:kern w:val="0"/>
                <w:lang w:eastAsia="en-AU"/>
                <w14:ligatures w14:val="none"/>
              </w:rPr>
              <w:t>s</w:t>
            </w:r>
            <w:r w:rsidRPr="007A63A8">
              <w:rPr>
                <w:rFonts w:ascii="Corbel" w:eastAsia="Times New Roman" w:hAnsi="Corbel" w:cs="Times New Roman"/>
                <w:color w:val="4472C4" w:themeColor="accent1"/>
                <w:kern w:val="0"/>
                <w:lang w:eastAsia="en-AU"/>
                <w14:ligatures w14:val="none"/>
              </w:rPr>
              <w:t>.</w:t>
            </w:r>
          </w:p>
          <w:p w14:paraId="40855B89" w14:textId="77777777"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Government agencies to oversee funding and evaluation.</w:t>
            </w:r>
          </w:p>
          <w:p w14:paraId="571577E0" w14:textId="532C28D2" w:rsidR="00E7504A" w:rsidRPr="007A63A8" w:rsidRDefault="00E7504A" w:rsidP="00E7504A">
            <w:pPr>
              <w:pStyle w:val="ListParagraph"/>
              <w:numPr>
                <w:ilvl w:val="0"/>
                <w:numId w:val="35"/>
              </w:numPr>
              <w:rPr>
                <w:rFonts w:ascii="Corbel" w:hAnsi="Corbel"/>
                <w:color w:val="4472C4" w:themeColor="accent1"/>
                <w:lang w:eastAsia="en-US"/>
              </w:rPr>
            </w:pPr>
            <w:r w:rsidRPr="007A63A8">
              <w:rPr>
                <w:rFonts w:ascii="Corbel" w:eastAsia="Times New Roman" w:hAnsi="Corbel" w:cs="Times New Roman"/>
                <w:color w:val="4472C4" w:themeColor="accent1"/>
                <w:lang w:eastAsia="en-AU"/>
              </w:rPr>
              <w:t xml:space="preserve">Community Groups to ensure </w:t>
            </w:r>
            <w:r w:rsidR="00A97188">
              <w:rPr>
                <w:rFonts w:ascii="Corbel" w:eastAsia="Times New Roman" w:hAnsi="Corbel" w:cs="Times New Roman"/>
                <w:color w:val="4472C4" w:themeColor="accent1"/>
                <w:lang w:eastAsia="en-AU"/>
              </w:rPr>
              <w:t xml:space="preserve">practices </w:t>
            </w:r>
            <w:r w:rsidR="00A36B11">
              <w:rPr>
                <w:rFonts w:ascii="Corbel" w:eastAsia="Times New Roman" w:hAnsi="Corbel" w:cs="Times New Roman"/>
                <w:color w:val="4472C4" w:themeColor="accent1"/>
                <w:lang w:eastAsia="en-AU"/>
              </w:rPr>
              <w:t xml:space="preserve">reflect </w:t>
            </w:r>
            <w:r w:rsidR="00F63126">
              <w:rPr>
                <w:rFonts w:ascii="Corbel" w:eastAsia="Times New Roman" w:hAnsi="Corbel" w:cs="Times New Roman"/>
                <w:color w:val="4472C4" w:themeColor="accent1"/>
                <w:lang w:eastAsia="en-AU"/>
              </w:rPr>
              <w:t xml:space="preserve">diversity and inclusion </w:t>
            </w:r>
            <w:r w:rsidRPr="007A63A8">
              <w:rPr>
                <w:rFonts w:ascii="Corbel" w:eastAsia="Times New Roman" w:hAnsi="Corbel" w:cs="Times New Roman"/>
                <w:color w:val="4472C4" w:themeColor="accent1"/>
                <w:lang w:eastAsia="en-AU"/>
              </w:rPr>
              <w:t>and professional support for students</w:t>
            </w:r>
            <w:r w:rsidR="007644DF" w:rsidRPr="007A63A8">
              <w:rPr>
                <w:rFonts w:ascii="Corbel" w:hAnsi="Corbel" w:cs="Times New Roman"/>
                <w:color w:val="4472C4" w:themeColor="accent1"/>
              </w:rPr>
              <w:t>.</w:t>
            </w:r>
          </w:p>
        </w:tc>
      </w:tr>
      <w:tr w:rsidR="00E7504A" w:rsidRPr="0078657A" w14:paraId="2B0BC946" w14:textId="77777777" w:rsidTr="0072310D">
        <w:tc>
          <w:tcPr>
            <w:tcW w:w="2349" w:type="dxa"/>
          </w:tcPr>
          <w:p w14:paraId="62DF42C0" w14:textId="7777777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Evidence Base</w:t>
            </w:r>
          </w:p>
        </w:tc>
        <w:tc>
          <w:tcPr>
            <w:tcW w:w="7007" w:type="dxa"/>
            <w:gridSpan w:val="3"/>
            <w:vAlign w:val="bottom"/>
          </w:tcPr>
          <w:p w14:paraId="2A10B278" w14:textId="77777777" w:rsidR="00E7504A" w:rsidRPr="007A63A8" w:rsidRDefault="00E7504A" w:rsidP="005D523E">
            <w:pPr>
              <w:rPr>
                <w:rFonts w:ascii="Corbel" w:hAnsi="Corbel"/>
                <w:color w:val="4472C4" w:themeColor="accent1"/>
              </w:rPr>
            </w:pPr>
            <w:r w:rsidRPr="007A63A8">
              <w:rPr>
                <w:rFonts w:ascii="Corbel" w:hAnsi="Corbel"/>
                <w:color w:val="4472C4" w:themeColor="accent1"/>
              </w:rPr>
              <w:t>Existing</w:t>
            </w:r>
          </w:p>
          <w:p w14:paraId="5D9B5C97" w14:textId="77777777"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NCVER research – Shows early intervention in apprenticeships increases retention.</w:t>
            </w:r>
          </w:p>
          <w:p w14:paraId="2C3BF322" w14:textId="77777777"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National VET Completions Taskforce findings – Highlighted the need for employer engagement and structured support systems.</w:t>
            </w:r>
          </w:p>
          <w:p w14:paraId="12EB36DF" w14:textId="270EC7C9"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Stakeholder consultations (publicly available) – Identified financial barriers as a key reason for non-completion</w:t>
            </w:r>
            <w:r w:rsidR="004E5E28" w:rsidRPr="007A63A8">
              <w:rPr>
                <w:rFonts w:ascii="Corbel" w:eastAsia="Times New Roman" w:hAnsi="Corbel" w:cs="Times New Roman"/>
                <w:color w:val="4472C4" w:themeColor="accent1"/>
                <w:lang w:eastAsia="en-AU"/>
              </w:rPr>
              <w:t xml:space="preserve">; </w:t>
            </w:r>
            <w:r w:rsidR="00E702AA" w:rsidRPr="007A63A8">
              <w:rPr>
                <w:rFonts w:ascii="Corbel" w:eastAsia="Times New Roman" w:hAnsi="Corbel" w:cs="Times New Roman"/>
                <w:color w:val="4472C4" w:themeColor="accent1"/>
                <w:lang w:eastAsia="en-AU"/>
              </w:rPr>
              <w:t>Learners need more wrap-around support, including mental health support</w:t>
            </w:r>
          </w:p>
          <w:p w14:paraId="215B1381" w14:textId="103FF95F" w:rsidR="00A4410B" w:rsidRPr="007A63A8" w:rsidRDefault="00A86CFE" w:rsidP="00E7504A">
            <w:pPr>
              <w:pStyle w:val="ListParagraph"/>
              <w:numPr>
                <w:ilvl w:val="0"/>
                <w:numId w:val="35"/>
              </w:numPr>
              <w:rPr>
                <w:rFonts w:ascii="Corbel" w:eastAsia="Times New Roman" w:hAnsi="Corbel" w:cs="Times New Roman"/>
                <w:color w:val="4472C4" w:themeColor="accent1"/>
                <w:lang w:eastAsia="en-AU"/>
              </w:rPr>
            </w:pPr>
            <w:r w:rsidRPr="007A63A8">
              <w:rPr>
                <w:color w:val="4472C4" w:themeColor="accent1"/>
              </w:rPr>
              <w:t>Jobs Queensland's Anticipating Future Skills Series 2027 -28, employment in Queensland is projected to increase by 5.4%, or 156,240 workers, between 2023–24 and 2027–28.</w:t>
            </w:r>
          </w:p>
          <w:p w14:paraId="64A4C27B" w14:textId="77777777" w:rsidR="00E7504A" w:rsidRPr="00547994" w:rsidRDefault="00E7504A" w:rsidP="005D523E">
            <w:p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 xml:space="preserve">Future </w:t>
            </w:r>
            <w:r w:rsidRPr="00547994">
              <w:rPr>
                <w:rFonts w:ascii="Corbel" w:eastAsia="Times New Roman" w:hAnsi="Corbel" w:cs="Times New Roman"/>
                <w:color w:val="4472C4" w:themeColor="accent1"/>
                <w:lang w:eastAsia="en-AU"/>
              </w:rPr>
              <w:t>National Contribution</w:t>
            </w:r>
          </w:p>
          <w:p w14:paraId="1FC5CEBD" w14:textId="2F8847D8" w:rsidR="00E7504A" w:rsidRPr="00547994" w:rsidRDefault="00E7504A" w:rsidP="00E7504A">
            <w:pPr>
              <w:pStyle w:val="ListParagraph"/>
              <w:numPr>
                <w:ilvl w:val="0"/>
                <w:numId w:val="35"/>
              </w:numPr>
              <w:rPr>
                <w:rFonts w:ascii="Corbel" w:eastAsia="Times New Roman" w:hAnsi="Corbel" w:cs="Times New Roman"/>
                <w:color w:val="4472C4" w:themeColor="accent1"/>
                <w:lang w:eastAsia="en-AU"/>
              </w:rPr>
            </w:pPr>
            <w:r w:rsidRPr="00547994">
              <w:rPr>
                <w:rFonts w:ascii="Corbel" w:eastAsia="Times New Roman" w:hAnsi="Corbel" w:cs="Times New Roman"/>
                <w:color w:val="4472C4" w:themeColor="accent1"/>
                <w:lang w:eastAsia="en-AU"/>
              </w:rPr>
              <w:t xml:space="preserve">Best practice dissemination through a central repository </w:t>
            </w:r>
            <w:r w:rsidR="00FC3A35" w:rsidRPr="00547994">
              <w:rPr>
                <w:rFonts w:ascii="Corbel" w:eastAsia="Times New Roman" w:hAnsi="Corbel" w:cs="Times New Roman"/>
                <w:color w:val="4472C4" w:themeColor="accent1"/>
                <w:lang w:eastAsia="en-AU"/>
              </w:rPr>
              <w:t xml:space="preserve">and national sharing arrangements to support continuous improvement </w:t>
            </w:r>
            <w:r w:rsidRPr="00547994">
              <w:rPr>
                <w:rFonts w:ascii="Corbel" w:eastAsia="Times New Roman" w:hAnsi="Corbel" w:cs="Times New Roman"/>
                <w:color w:val="4472C4" w:themeColor="accent1"/>
                <w:lang w:eastAsia="en-AU"/>
              </w:rPr>
              <w:t>to support continuous improvement.</w:t>
            </w:r>
          </w:p>
          <w:p w14:paraId="0298EB47" w14:textId="7C7A7544"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Survey results may be shared</w:t>
            </w:r>
            <w:r w:rsidR="0078467E" w:rsidRPr="007A63A8">
              <w:rPr>
                <w:rFonts w:ascii="Corbel" w:eastAsia="Times New Roman" w:hAnsi="Corbel" w:cs="Times New Roman"/>
                <w:color w:val="4472C4" w:themeColor="accent1"/>
                <w:lang w:eastAsia="en-AU"/>
              </w:rPr>
              <w:t>.</w:t>
            </w:r>
          </w:p>
          <w:p w14:paraId="3F86A243" w14:textId="7B0B1763" w:rsidR="00E7504A" w:rsidRPr="007A63A8" w:rsidRDefault="00E7504A" w:rsidP="00E7504A">
            <w:pPr>
              <w:pStyle w:val="ListParagraph"/>
              <w:numPr>
                <w:ilvl w:val="0"/>
                <w:numId w:val="35"/>
              </w:numPr>
              <w:rPr>
                <w:rFonts w:ascii="Corbel" w:eastAsia="Times New Roman" w:hAnsi="Corbel" w:cs="Times New Roman"/>
                <w:color w:val="4472C4" w:themeColor="accent1"/>
                <w:lang w:eastAsia="en-AU"/>
              </w:rPr>
            </w:pPr>
            <w:r w:rsidRPr="08352599">
              <w:rPr>
                <w:rFonts w:ascii="Corbel" w:eastAsia="Times New Roman" w:hAnsi="Corbel" w:cs="Times New Roman"/>
                <w:color w:val="4472C4" w:themeColor="accent1"/>
                <w:lang w:eastAsia="en-AU"/>
              </w:rPr>
              <w:t>Opportunity to include bespoke questions in the National Students Outcomes Survey pertaining to Queensland students</w:t>
            </w:r>
            <w:r w:rsidR="40E1D25F" w:rsidRPr="08352599">
              <w:rPr>
                <w:rFonts w:ascii="Corbel" w:eastAsia="Times New Roman" w:hAnsi="Corbel" w:cs="Times New Roman"/>
                <w:color w:val="4472C4" w:themeColor="accent1"/>
                <w:lang w:eastAsia="en-AU"/>
              </w:rPr>
              <w:t>.</w:t>
            </w:r>
          </w:p>
        </w:tc>
      </w:tr>
      <w:tr w:rsidR="00E7504A" w:rsidRPr="008F1196" w14:paraId="20A9D2B8" w14:textId="77777777" w:rsidTr="0072310D">
        <w:tc>
          <w:tcPr>
            <w:tcW w:w="2349" w:type="dxa"/>
          </w:tcPr>
          <w:p w14:paraId="7E35403E" w14:textId="7777777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Evaluation</w:t>
            </w:r>
          </w:p>
        </w:tc>
        <w:tc>
          <w:tcPr>
            <w:tcW w:w="7007" w:type="dxa"/>
            <w:gridSpan w:val="3"/>
            <w:vAlign w:val="bottom"/>
          </w:tcPr>
          <w:p w14:paraId="5BEE851B" w14:textId="39CEA00C"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Annual retention rate analysis for </w:t>
            </w:r>
            <w:r w:rsidRPr="007A63A8">
              <w:rPr>
                <w:rFonts w:ascii="Corbel" w:eastAsia="Times New Roman" w:hAnsi="Corbel" w:cs="Times New Roman"/>
                <w:color w:val="4472C4" w:themeColor="accent1"/>
                <w:lang w:eastAsia="en-AU"/>
              </w:rPr>
              <w:t xml:space="preserve">at risk of cancelling </w:t>
            </w:r>
            <w:r w:rsidR="3E92E876" w:rsidRPr="007A63A8">
              <w:rPr>
                <w:rFonts w:ascii="Corbel" w:eastAsia="Times New Roman" w:hAnsi="Corbel" w:cs="Times New Roman"/>
                <w:color w:val="4472C4" w:themeColor="accent1"/>
                <w:kern w:val="0"/>
                <w:lang w:eastAsia="en-AU"/>
                <w14:ligatures w14:val="none"/>
              </w:rPr>
              <w:t>A&amp;T</w:t>
            </w:r>
            <w:r w:rsidRPr="602CBBB2">
              <w:rPr>
                <w:rFonts w:ascii="Corbel" w:eastAsia="Times New Roman" w:hAnsi="Corbel" w:cs="Times New Roman"/>
                <w:color w:val="4472C4" w:themeColor="accent1"/>
                <w:lang w:eastAsia="en-AU"/>
              </w:rPr>
              <w:t xml:space="preserve"> </w:t>
            </w:r>
          </w:p>
          <w:p w14:paraId="68753CF0" w14:textId="1E6B7A24"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Employer feedback surveys on micro-credential and incentive effectiveness.</w:t>
            </w:r>
            <w:r w:rsidR="00471F1B">
              <w:rPr>
                <w:rFonts w:ascii="Corbel" w:eastAsia="Times New Roman" w:hAnsi="Corbel" w:cs="Times New Roman"/>
                <w:color w:val="4472C4" w:themeColor="accent1"/>
                <w:kern w:val="0"/>
                <w:lang w:eastAsia="en-AU"/>
                <w14:ligatures w14:val="none"/>
              </w:rPr>
              <w:t xml:space="preserve"> Annual review </w:t>
            </w:r>
            <w:r w:rsidR="005A1351">
              <w:rPr>
                <w:rFonts w:ascii="Corbel" w:eastAsia="Times New Roman" w:hAnsi="Corbel" w:cs="Times New Roman"/>
                <w:color w:val="4472C4" w:themeColor="accent1"/>
                <w:kern w:val="0"/>
                <w:lang w:eastAsia="en-AU"/>
                <w14:ligatures w14:val="none"/>
              </w:rPr>
              <w:t xml:space="preserve">of the program </w:t>
            </w:r>
            <w:r w:rsidR="002C0A89">
              <w:rPr>
                <w:rFonts w:ascii="Corbel" w:eastAsia="Times New Roman" w:hAnsi="Corbel" w:cs="Times New Roman"/>
                <w:color w:val="4472C4" w:themeColor="accent1"/>
                <w:kern w:val="0"/>
                <w:lang w:eastAsia="en-AU"/>
                <w14:ligatures w14:val="none"/>
              </w:rPr>
              <w:t>will consider the</w:t>
            </w:r>
            <w:r w:rsidR="00471F1B">
              <w:rPr>
                <w:rFonts w:ascii="Corbel" w:eastAsia="Times New Roman" w:hAnsi="Corbel" w:cs="Times New Roman"/>
                <w:color w:val="4472C4" w:themeColor="accent1"/>
                <w:kern w:val="0"/>
                <w:lang w:eastAsia="en-AU"/>
                <w14:ligatures w14:val="none"/>
              </w:rPr>
              <w:t xml:space="preserve"> opportunity</w:t>
            </w:r>
            <w:r w:rsidR="00EF48A5">
              <w:rPr>
                <w:rFonts w:ascii="Corbel" w:eastAsia="Times New Roman" w:hAnsi="Corbel" w:cs="Times New Roman"/>
                <w:color w:val="4472C4" w:themeColor="accent1"/>
                <w:kern w:val="0"/>
                <w:lang w:eastAsia="en-AU"/>
                <w14:ligatures w14:val="none"/>
              </w:rPr>
              <w:t xml:space="preserve"> </w:t>
            </w:r>
            <w:r w:rsidR="005A1351">
              <w:rPr>
                <w:rFonts w:ascii="Corbel" w:eastAsia="Times New Roman" w:hAnsi="Corbel" w:cs="Times New Roman"/>
                <w:color w:val="4472C4" w:themeColor="accent1"/>
                <w:kern w:val="0"/>
                <w:lang w:eastAsia="en-AU"/>
                <w14:ligatures w14:val="none"/>
              </w:rPr>
              <w:t xml:space="preserve">to extend evaluation </w:t>
            </w:r>
            <w:r w:rsidR="00D06F31">
              <w:rPr>
                <w:rFonts w:ascii="Corbel" w:eastAsia="Times New Roman" w:hAnsi="Corbel" w:cs="Times New Roman"/>
                <w:color w:val="4472C4" w:themeColor="accent1"/>
                <w:kern w:val="0"/>
                <w:lang w:eastAsia="en-AU"/>
                <w14:ligatures w14:val="none"/>
              </w:rPr>
              <w:t>to</w:t>
            </w:r>
            <w:r w:rsidR="00EF48A5">
              <w:rPr>
                <w:rFonts w:ascii="Corbel" w:eastAsia="Times New Roman" w:hAnsi="Corbel" w:cs="Times New Roman"/>
                <w:color w:val="4472C4" w:themeColor="accent1"/>
                <w:kern w:val="0"/>
                <w:lang w:eastAsia="en-AU"/>
                <w14:ligatures w14:val="none"/>
              </w:rPr>
              <w:t xml:space="preserve"> q</w:t>
            </w:r>
            <w:r w:rsidR="00DE0539">
              <w:rPr>
                <w:rFonts w:ascii="Corbel" w:eastAsia="Times New Roman" w:hAnsi="Corbel" w:cs="Times New Roman"/>
                <w:color w:val="4472C4" w:themeColor="accent1"/>
                <w:kern w:val="0"/>
                <w:lang w:eastAsia="en-AU"/>
                <w14:ligatures w14:val="none"/>
              </w:rPr>
              <w:t>ualitative and</w:t>
            </w:r>
            <w:r w:rsidR="003F4357">
              <w:rPr>
                <w:rFonts w:ascii="Corbel" w:eastAsia="Times New Roman" w:hAnsi="Corbel" w:cs="Times New Roman"/>
                <w:color w:val="4472C4" w:themeColor="accent1"/>
                <w:kern w:val="0"/>
                <w:lang w:eastAsia="en-AU"/>
                <w14:ligatures w14:val="none"/>
              </w:rPr>
              <w:t>/or</w:t>
            </w:r>
            <w:r w:rsidR="00DE0539">
              <w:rPr>
                <w:rFonts w:ascii="Corbel" w:eastAsia="Times New Roman" w:hAnsi="Corbel" w:cs="Times New Roman"/>
                <w:color w:val="4472C4" w:themeColor="accent1"/>
                <w:kern w:val="0"/>
                <w:lang w:eastAsia="en-AU"/>
                <w14:ligatures w14:val="none"/>
              </w:rPr>
              <w:t xml:space="preserve"> quantitative</w:t>
            </w:r>
            <w:r w:rsidR="00936235">
              <w:rPr>
                <w:rFonts w:ascii="Corbel" w:eastAsia="Times New Roman" w:hAnsi="Corbel" w:cs="Times New Roman"/>
                <w:color w:val="4472C4" w:themeColor="accent1"/>
                <w:kern w:val="0"/>
                <w:lang w:eastAsia="en-AU"/>
                <w14:ligatures w14:val="none"/>
              </w:rPr>
              <w:t xml:space="preserve"> feedback </w:t>
            </w:r>
            <w:r w:rsidR="0026294F">
              <w:rPr>
                <w:rFonts w:ascii="Corbel" w:eastAsia="Times New Roman" w:hAnsi="Corbel" w:cs="Times New Roman"/>
                <w:color w:val="4472C4" w:themeColor="accent1"/>
                <w:kern w:val="0"/>
                <w:lang w:eastAsia="en-AU"/>
                <w14:ligatures w14:val="none"/>
              </w:rPr>
              <w:t>from</w:t>
            </w:r>
            <w:r w:rsidR="00421EDB">
              <w:rPr>
                <w:rFonts w:ascii="Corbel" w:eastAsia="Times New Roman" w:hAnsi="Corbel" w:cs="Times New Roman"/>
                <w:color w:val="4472C4" w:themeColor="accent1"/>
                <w:kern w:val="0"/>
                <w:lang w:eastAsia="en-AU"/>
                <w14:ligatures w14:val="none"/>
              </w:rPr>
              <w:t xml:space="preserve"> targeted</w:t>
            </w:r>
            <w:r w:rsidR="0026294F">
              <w:rPr>
                <w:rFonts w:ascii="Corbel" w:eastAsia="Times New Roman" w:hAnsi="Corbel" w:cs="Times New Roman"/>
                <w:color w:val="4472C4" w:themeColor="accent1"/>
                <w:kern w:val="0"/>
                <w:lang w:eastAsia="en-AU"/>
                <w14:ligatures w14:val="none"/>
              </w:rPr>
              <w:t xml:space="preserve"> </w:t>
            </w:r>
            <w:r w:rsidR="003F4357">
              <w:rPr>
                <w:rFonts w:ascii="Corbel" w:eastAsia="Times New Roman" w:hAnsi="Corbel" w:cs="Times New Roman"/>
                <w:color w:val="4472C4" w:themeColor="accent1"/>
                <w:kern w:val="0"/>
                <w:lang w:eastAsia="en-AU"/>
                <w14:ligatures w14:val="none"/>
              </w:rPr>
              <w:t xml:space="preserve">employer groups, </w:t>
            </w:r>
            <w:r w:rsidR="0026294F">
              <w:rPr>
                <w:rFonts w:ascii="Corbel" w:eastAsia="Times New Roman" w:hAnsi="Corbel" w:cs="Times New Roman"/>
                <w:color w:val="4472C4" w:themeColor="accent1"/>
                <w:kern w:val="0"/>
                <w:lang w:eastAsia="en-AU"/>
                <w14:ligatures w14:val="none"/>
              </w:rPr>
              <w:t xml:space="preserve">peak bodies and regional offices on </w:t>
            </w:r>
            <w:r w:rsidR="00D973BA" w:rsidRPr="00D973BA">
              <w:rPr>
                <w:rFonts w:ascii="Corbel" w:eastAsia="Times New Roman" w:hAnsi="Corbel" w:cs="Times New Roman"/>
                <w:color w:val="4472C4" w:themeColor="accent1"/>
                <w:kern w:val="0"/>
                <w:lang w:eastAsia="en-AU"/>
                <w14:ligatures w14:val="none"/>
              </w:rPr>
              <w:t>the content of the micro-credentials and whether this lead better understanding of the importance of appropriate supervision and supervisory practices.</w:t>
            </w:r>
          </w:p>
          <w:p w14:paraId="74AFC51C" w14:textId="3247B69F" w:rsidR="00E7504A" w:rsidRPr="007A63A8" w:rsidRDefault="004F124F"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Monitoring</w:t>
            </w:r>
            <w:r w:rsidR="00C0752D" w:rsidRPr="007A63A8">
              <w:rPr>
                <w:rFonts w:ascii="Corbel" w:eastAsia="Times New Roman" w:hAnsi="Corbel" w:cs="Times New Roman"/>
                <w:color w:val="4472C4" w:themeColor="accent1"/>
                <w:kern w:val="0"/>
                <w:lang w:eastAsia="en-AU"/>
                <w14:ligatures w14:val="none"/>
              </w:rPr>
              <w:t xml:space="preserve"> impact of programs</w:t>
            </w:r>
            <w:r w:rsidRPr="007A63A8">
              <w:rPr>
                <w:rFonts w:ascii="Corbel" w:eastAsia="Times New Roman" w:hAnsi="Corbel" w:cs="Times New Roman"/>
                <w:color w:val="4472C4" w:themeColor="accent1"/>
                <w:kern w:val="0"/>
                <w:lang w:eastAsia="en-AU"/>
                <w14:ligatures w14:val="none"/>
              </w:rPr>
              <w:t xml:space="preserve"> </w:t>
            </w:r>
            <w:r w:rsidR="00E7504A" w:rsidRPr="007A63A8">
              <w:rPr>
                <w:rFonts w:ascii="Corbel" w:eastAsia="Times New Roman" w:hAnsi="Corbel" w:cs="Times New Roman"/>
                <w:color w:val="4472C4" w:themeColor="accent1"/>
                <w:kern w:val="0"/>
                <w:lang w:eastAsia="en-AU"/>
                <w14:ligatures w14:val="none"/>
              </w:rPr>
              <w:t>on completion rates</w:t>
            </w:r>
            <w:r w:rsidR="00E7504A" w:rsidRPr="007A63A8">
              <w:rPr>
                <w:rFonts w:ascii="Corbel" w:eastAsia="Times New Roman" w:hAnsi="Corbel" w:cs="Times New Roman"/>
                <w:color w:val="4472C4" w:themeColor="accent1"/>
                <w:lang w:eastAsia="en-AU"/>
              </w:rPr>
              <w:t xml:space="preserve"> or further study</w:t>
            </w:r>
            <w:r w:rsidR="00E7504A" w:rsidRPr="007A63A8">
              <w:rPr>
                <w:rFonts w:ascii="Corbel" w:eastAsia="Times New Roman" w:hAnsi="Corbel" w:cs="Times New Roman"/>
                <w:color w:val="4472C4" w:themeColor="accent1"/>
                <w:kern w:val="0"/>
                <w:lang w:eastAsia="en-AU"/>
                <w14:ligatures w14:val="none"/>
              </w:rPr>
              <w:t>.</w:t>
            </w:r>
          </w:p>
          <w:p w14:paraId="1629C207" w14:textId="4180D959" w:rsidR="00E7504A" w:rsidRPr="007A63A8" w:rsidRDefault="00E7504A" w:rsidP="00E7504A">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Student </w:t>
            </w:r>
            <w:r w:rsidR="00795F37">
              <w:rPr>
                <w:rFonts w:ascii="Corbel" w:eastAsia="Times New Roman" w:hAnsi="Corbel" w:cs="Times New Roman"/>
                <w:color w:val="4472C4" w:themeColor="accent1"/>
                <w:kern w:val="0"/>
                <w:lang w:eastAsia="en-AU"/>
                <w14:ligatures w14:val="none"/>
              </w:rPr>
              <w:t>v</w:t>
            </w:r>
            <w:r w:rsidRPr="007A63A8">
              <w:rPr>
                <w:rFonts w:ascii="Corbel" w:eastAsia="Times New Roman" w:hAnsi="Corbel" w:cs="Times New Roman"/>
                <w:color w:val="4472C4" w:themeColor="accent1"/>
                <w:kern w:val="0"/>
                <w:lang w:eastAsia="en-AU"/>
                <w14:ligatures w14:val="none"/>
              </w:rPr>
              <w:t>oice: student experience survey to measure effectiveness of the Student Support Network, capturing feedback on</w:t>
            </w:r>
            <w:r w:rsidRPr="00AB3618">
              <w:rPr>
                <w:rFonts w:ascii="Corbel" w:eastAsia="Times New Roman" w:hAnsi="Corbel" w:cs="Times New Roman"/>
                <w:color w:val="4472C4" w:themeColor="accent1"/>
                <w:kern w:val="0"/>
                <w:lang w:eastAsia="en-AU"/>
                <w14:ligatures w14:val="none"/>
              </w:rPr>
              <w:t xml:space="preserve"> interventions,</w:t>
            </w:r>
            <w:r w:rsidRPr="007A63A8">
              <w:rPr>
                <w:rFonts w:ascii="Corbel" w:eastAsia="Times New Roman" w:hAnsi="Corbel" w:cs="Times New Roman"/>
                <w:color w:val="4472C4" w:themeColor="accent1"/>
                <w:kern w:val="0"/>
                <w:lang w:eastAsia="en-AU"/>
                <w14:ligatures w14:val="none"/>
              </w:rPr>
              <w:t xml:space="preserve"> barriers, accessibility, and career confidence.</w:t>
            </w:r>
          </w:p>
          <w:p w14:paraId="758C4116" w14:textId="1E48B340" w:rsidR="00E7504A" w:rsidRPr="007A63A8" w:rsidRDefault="00E7504A" w:rsidP="602CBBB2">
            <w:pPr>
              <w:pStyle w:val="ListParagraph"/>
              <w:numPr>
                <w:ilvl w:val="0"/>
                <w:numId w:val="35"/>
              </w:numPr>
            </w:pPr>
            <w:r w:rsidRPr="00AB3618">
              <w:rPr>
                <w:rFonts w:ascii="Corbel" w:eastAsia="Times New Roman" w:hAnsi="Corbel" w:cs="Times New Roman"/>
                <w:color w:val="4472C4" w:themeColor="accent1"/>
                <w:kern w:val="0"/>
                <w:lang w:eastAsia="en-AU"/>
                <w14:ligatures w14:val="none"/>
              </w:rPr>
              <w:t xml:space="preserve">Outcome </w:t>
            </w:r>
            <w:r w:rsidR="006F238C">
              <w:rPr>
                <w:rFonts w:ascii="Corbel" w:eastAsia="Times New Roman" w:hAnsi="Corbel" w:cs="Times New Roman"/>
                <w:color w:val="4472C4" w:themeColor="accent1"/>
                <w:kern w:val="0"/>
                <w:lang w:eastAsia="en-AU"/>
                <w14:ligatures w14:val="none"/>
              </w:rPr>
              <w:t>e</w:t>
            </w:r>
            <w:r w:rsidRPr="00AB3618">
              <w:rPr>
                <w:rFonts w:ascii="Corbel" w:eastAsia="Times New Roman" w:hAnsi="Corbel" w:cs="Times New Roman"/>
                <w:color w:val="4472C4" w:themeColor="accent1"/>
                <w:kern w:val="0"/>
                <w:lang w:eastAsia="en-AU"/>
                <w14:ligatures w14:val="none"/>
              </w:rPr>
              <w:t>valuation:  tracking of students receiving support services to assess their completion rates and employment outcomes post-training.</w:t>
            </w:r>
          </w:p>
        </w:tc>
      </w:tr>
      <w:tr w:rsidR="00E7504A" w:rsidRPr="00155A95" w14:paraId="168CD7BC" w14:textId="77777777" w:rsidTr="0072310D">
        <w:tc>
          <w:tcPr>
            <w:tcW w:w="2349" w:type="dxa"/>
          </w:tcPr>
          <w:p w14:paraId="2E059BB6" w14:textId="39F4FF9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KPIs</w:t>
            </w:r>
            <w:r w:rsidRPr="007A63A8">
              <w:rPr>
                <w:rFonts w:ascii="Corbel" w:hAnsi="Corbel"/>
                <w:b/>
                <w:bCs/>
                <w:color w:val="4472C4" w:themeColor="accent1"/>
              </w:rPr>
              <w:br/>
            </w:r>
          </w:p>
        </w:tc>
        <w:tc>
          <w:tcPr>
            <w:tcW w:w="7007" w:type="dxa"/>
            <w:gridSpan w:val="3"/>
            <w:vAlign w:val="bottom"/>
          </w:tcPr>
          <w:p w14:paraId="3AC2C592" w14:textId="47D6A7CA" w:rsidR="00A03900" w:rsidRPr="00A03900" w:rsidRDefault="00863515" w:rsidP="00A03900">
            <w:pPr>
              <w:rPr>
                <w:rFonts w:ascii="Corbel" w:eastAsia="Times New Roman" w:hAnsi="Corbel" w:cs="Times New Roman"/>
                <w:color w:val="4472C4" w:themeColor="accent1"/>
                <w:lang w:eastAsia="en-AU"/>
              </w:rPr>
            </w:pPr>
            <w:r>
              <w:rPr>
                <w:rFonts w:ascii="Corbel" w:eastAsia="Times New Roman" w:hAnsi="Corbel" w:cs="Times New Roman"/>
                <w:color w:val="4472C4" w:themeColor="accent1"/>
                <w:lang w:eastAsia="en-AU"/>
              </w:rPr>
              <w:t>Increase</w:t>
            </w:r>
            <w:r w:rsidR="00A03900" w:rsidRPr="00A03900">
              <w:rPr>
                <w:rFonts w:ascii="Corbel" w:eastAsia="Times New Roman" w:hAnsi="Corbel" w:cs="Times New Roman"/>
                <w:color w:val="4472C4" w:themeColor="accent1"/>
                <w:lang w:eastAsia="en-AU"/>
              </w:rPr>
              <w:t xml:space="preserve"> in completion rates among priority cohorts (apprentices, disadvantaged students, out-of-trade apprentices)</w:t>
            </w:r>
          </w:p>
          <w:p w14:paraId="74F282B2" w14:textId="2AB5D9B4" w:rsidR="00E7504A" w:rsidRPr="007A63A8" w:rsidRDefault="00E7504A" w:rsidP="005D523E">
            <w:pPr>
              <w:rPr>
                <w:rFonts w:ascii="Corbel" w:eastAsia="Times New Roman" w:hAnsi="Corbel" w:cs="Times New Roman"/>
                <w:i/>
                <w:iCs/>
                <w:color w:val="4472C4" w:themeColor="accent1"/>
                <w:lang w:eastAsia="en-AU"/>
              </w:rPr>
            </w:pPr>
          </w:p>
        </w:tc>
      </w:tr>
      <w:tr w:rsidR="00E7504A" w:rsidRPr="008F1196" w14:paraId="662CC4CB" w14:textId="77777777" w:rsidTr="0072310D">
        <w:tc>
          <w:tcPr>
            <w:tcW w:w="2349" w:type="dxa"/>
            <w:vAlign w:val="bottom"/>
          </w:tcPr>
          <w:p w14:paraId="343CFE85" w14:textId="77777777" w:rsidR="00E7504A" w:rsidRPr="007A63A8" w:rsidRDefault="00E7504A"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Commonwealth Investment ($)</w:t>
            </w:r>
          </w:p>
        </w:tc>
        <w:tc>
          <w:tcPr>
            <w:tcW w:w="2342" w:type="dxa"/>
            <w:vAlign w:val="bottom"/>
          </w:tcPr>
          <w:p w14:paraId="22FD0923" w14:textId="77777777" w:rsidR="00E7504A" w:rsidRPr="007A63A8" w:rsidRDefault="00E7504A"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State Investment ($)</w:t>
            </w:r>
          </w:p>
        </w:tc>
        <w:tc>
          <w:tcPr>
            <w:tcW w:w="2322" w:type="dxa"/>
            <w:vAlign w:val="bottom"/>
          </w:tcPr>
          <w:p w14:paraId="60544EDE" w14:textId="77777777" w:rsidR="00E7504A" w:rsidRPr="007A63A8" w:rsidRDefault="00E7504A"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Start Date</w:t>
            </w:r>
          </w:p>
        </w:tc>
        <w:tc>
          <w:tcPr>
            <w:tcW w:w="2343" w:type="dxa"/>
            <w:vAlign w:val="bottom"/>
          </w:tcPr>
          <w:p w14:paraId="1D627B9C" w14:textId="77777777" w:rsidR="00E7504A" w:rsidRPr="007A63A8" w:rsidRDefault="00E7504A"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End Date</w:t>
            </w:r>
          </w:p>
        </w:tc>
      </w:tr>
      <w:tr w:rsidR="0038458D" w:rsidRPr="008F1196" w14:paraId="56C006DE" w14:textId="77777777" w:rsidTr="0072310D">
        <w:tc>
          <w:tcPr>
            <w:tcW w:w="2349" w:type="dxa"/>
          </w:tcPr>
          <w:p w14:paraId="5E8697A1" w14:textId="18F94A18" w:rsidR="0038458D" w:rsidRPr="007A63A8" w:rsidRDefault="0038458D" w:rsidP="04AB25A2">
            <w:pPr>
              <w:pStyle w:val="ListParagraph"/>
              <w:spacing w:before="120" w:after="120"/>
              <w:ind w:left="0"/>
              <w:rPr>
                <w:rFonts w:ascii="Corbel" w:hAnsi="Corbel"/>
                <w:color w:val="4472C4" w:themeColor="accent1"/>
              </w:rPr>
            </w:pPr>
            <w:r w:rsidRPr="007A63A8">
              <w:rPr>
                <w:rFonts w:ascii="Corbel" w:hAnsi="Corbel"/>
                <w:color w:val="4472C4" w:themeColor="accent1"/>
              </w:rPr>
              <w:t>$</w:t>
            </w:r>
            <w:r w:rsidR="00134AF2">
              <w:rPr>
                <w:rFonts w:ascii="Corbel" w:hAnsi="Corbel"/>
                <w:color w:val="4472C4" w:themeColor="accent1"/>
              </w:rPr>
              <w:t>30.52</w:t>
            </w:r>
            <w:r w:rsidR="00AF1FCB">
              <w:rPr>
                <w:rFonts w:ascii="Corbel" w:hAnsi="Corbel"/>
                <w:color w:val="4472C4" w:themeColor="accent1"/>
              </w:rPr>
              <w:t xml:space="preserve"> million</w:t>
            </w:r>
          </w:p>
        </w:tc>
        <w:tc>
          <w:tcPr>
            <w:tcW w:w="2342" w:type="dxa"/>
          </w:tcPr>
          <w:p w14:paraId="6C73ED4D" w14:textId="2E9C3025" w:rsidR="0038458D" w:rsidRPr="007A63A8" w:rsidRDefault="64B2AC88" w:rsidP="0038458D">
            <w:pPr>
              <w:spacing w:before="120" w:after="120"/>
              <w:rPr>
                <w:rFonts w:ascii="Corbel" w:hAnsi="Corbel"/>
                <w:color w:val="4472C4" w:themeColor="accent1"/>
              </w:rPr>
            </w:pPr>
            <w:r w:rsidRPr="71ACBD45">
              <w:rPr>
                <w:rFonts w:ascii="Corbel" w:hAnsi="Corbel"/>
                <w:color w:val="4472C4" w:themeColor="accent1"/>
              </w:rPr>
              <w:t>$2</w:t>
            </w:r>
            <w:r w:rsidR="00134AF2">
              <w:rPr>
                <w:rFonts w:ascii="Corbel" w:hAnsi="Corbel"/>
                <w:color w:val="4472C4" w:themeColor="accent1"/>
              </w:rPr>
              <w:t>1</w:t>
            </w:r>
            <w:r w:rsidRPr="71ACBD45">
              <w:rPr>
                <w:rFonts w:ascii="Corbel" w:hAnsi="Corbel"/>
                <w:color w:val="4472C4" w:themeColor="accent1"/>
              </w:rPr>
              <w:t>.</w:t>
            </w:r>
            <w:r w:rsidR="00134AF2">
              <w:rPr>
                <w:rFonts w:ascii="Corbel" w:hAnsi="Corbel"/>
                <w:color w:val="4472C4" w:themeColor="accent1"/>
              </w:rPr>
              <w:t>0</w:t>
            </w:r>
            <w:r w:rsidR="00C0243A">
              <w:rPr>
                <w:rFonts w:ascii="Corbel" w:hAnsi="Corbel"/>
                <w:color w:val="4472C4" w:themeColor="accent1"/>
              </w:rPr>
              <w:t>8</w:t>
            </w:r>
            <w:r w:rsidR="00AF1FCB">
              <w:rPr>
                <w:rFonts w:ascii="Corbel" w:hAnsi="Corbel"/>
                <w:color w:val="4472C4" w:themeColor="accent1"/>
              </w:rPr>
              <w:t xml:space="preserve"> million</w:t>
            </w:r>
          </w:p>
        </w:tc>
        <w:tc>
          <w:tcPr>
            <w:tcW w:w="2322" w:type="dxa"/>
          </w:tcPr>
          <w:p w14:paraId="36639FCE" w14:textId="5D6464F7" w:rsidR="0038458D" w:rsidRPr="007A63A8" w:rsidRDefault="0038458D" w:rsidP="0038458D">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January 2025</w:t>
            </w:r>
          </w:p>
        </w:tc>
        <w:tc>
          <w:tcPr>
            <w:tcW w:w="2343" w:type="dxa"/>
          </w:tcPr>
          <w:p w14:paraId="26F66CFE" w14:textId="749712F6" w:rsidR="0038458D" w:rsidRPr="007A63A8" w:rsidRDefault="0038458D" w:rsidP="0038458D">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December 2028</w:t>
            </w:r>
          </w:p>
        </w:tc>
      </w:tr>
    </w:tbl>
    <w:p w14:paraId="2B811F1A" w14:textId="0580D450" w:rsidR="00E7504A" w:rsidRDefault="00E7504A" w:rsidP="009C2911">
      <w:pPr>
        <w:rPr>
          <w:rFonts w:ascii="Corbel" w:hAnsi="Corbel"/>
        </w:rPr>
      </w:pPr>
      <w:r>
        <w:rPr>
          <w:rFonts w:ascii="Corbel" w:hAnsi="Corbel"/>
        </w:rPr>
        <w:t>Table 3</w:t>
      </w:r>
    </w:p>
    <w:tbl>
      <w:tblPr>
        <w:tblStyle w:val="TableGrid"/>
        <w:tblW w:w="9356" w:type="dxa"/>
        <w:tblInd w:w="-147" w:type="dxa"/>
        <w:tblLook w:val="04A0" w:firstRow="1" w:lastRow="0" w:firstColumn="1" w:lastColumn="0" w:noHBand="0" w:noVBand="1"/>
      </w:tblPr>
      <w:tblGrid>
        <w:gridCol w:w="2233"/>
        <w:gridCol w:w="2378"/>
        <w:gridCol w:w="2367"/>
        <w:gridCol w:w="2378"/>
      </w:tblGrid>
      <w:tr w:rsidR="00605F62" w:rsidRPr="008F1196" w14:paraId="61A18217" w14:textId="77777777" w:rsidTr="3AF90611">
        <w:tc>
          <w:tcPr>
            <w:tcW w:w="2233" w:type="dxa"/>
          </w:tcPr>
          <w:p w14:paraId="669C9169" w14:textId="05268493"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Focus Area 3</w:t>
            </w:r>
          </w:p>
        </w:tc>
        <w:tc>
          <w:tcPr>
            <w:tcW w:w="7123" w:type="dxa"/>
            <w:gridSpan w:val="3"/>
            <w:vAlign w:val="bottom"/>
          </w:tcPr>
          <w:p w14:paraId="1F836035" w14:textId="77777777" w:rsidR="00605F62" w:rsidRPr="007A63A8" w:rsidRDefault="00605F62" w:rsidP="005D523E">
            <w:pPr>
              <w:pStyle w:val="ListParagraph"/>
              <w:spacing w:before="120" w:after="120"/>
              <w:ind w:left="0"/>
              <w:contextualSpacing w:val="0"/>
              <w:rPr>
                <w:rFonts w:ascii="Corbel" w:hAnsi="Corbel"/>
                <w:b/>
                <w:bCs/>
                <w:color w:val="4472C4" w:themeColor="accent1"/>
              </w:rPr>
            </w:pPr>
            <w:r w:rsidRPr="007A63A8">
              <w:rPr>
                <w:rFonts w:ascii="Corbel" w:hAnsi="Corbel"/>
                <w:b/>
                <w:bCs/>
                <w:color w:val="4472C4" w:themeColor="accent1"/>
              </w:rPr>
              <w:t xml:space="preserve">Insights and innovation </w:t>
            </w:r>
          </w:p>
          <w:p w14:paraId="0E0E9CC9" w14:textId="77777777" w:rsidR="00605F62" w:rsidRPr="007A63A8" w:rsidRDefault="00605F62" w:rsidP="005D523E">
            <w:pPr>
              <w:pStyle w:val="ListParagraph"/>
              <w:spacing w:before="120" w:after="120"/>
              <w:ind w:left="0"/>
              <w:contextualSpacing w:val="0"/>
              <w:rPr>
                <w:rFonts w:ascii="Corbel" w:hAnsi="Corbel"/>
                <w:b/>
                <w:bCs/>
                <w:color w:val="4472C4" w:themeColor="accent1"/>
              </w:rPr>
            </w:pPr>
            <w:r w:rsidRPr="007A63A8">
              <w:rPr>
                <w:rFonts w:ascii="Corbel" w:hAnsi="Corbel"/>
                <w:i/>
                <w:iCs/>
                <w:color w:val="4472C4" w:themeColor="accent1"/>
              </w:rPr>
              <w:t>All activities are potentially scalable under this Focus Area</w:t>
            </w:r>
          </w:p>
        </w:tc>
      </w:tr>
      <w:tr w:rsidR="00D4072C" w:rsidRPr="008F1196" w14:paraId="135DFBD5" w14:textId="77777777" w:rsidTr="3AF90611">
        <w:tc>
          <w:tcPr>
            <w:tcW w:w="2233" w:type="dxa"/>
          </w:tcPr>
          <w:p w14:paraId="173005AC" w14:textId="09FB8F35" w:rsidR="00D4072C" w:rsidRPr="007A63A8" w:rsidRDefault="00D4072C" w:rsidP="00D4072C">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Objective</w:t>
            </w:r>
          </w:p>
        </w:tc>
        <w:tc>
          <w:tcPr>
            <w:tcW w:w="7123" w:type="dxa"/>
            <w:gridSpan w:val="3"/>
            <w:vAlign w:val="bottom"/>
          </w:tcPr>
          <w:p w14:paraId="28565740" w14:textId="4A56A7E2" w:rsidR="00D4072C" w:rsidRPr="007A63A8" w:rsidRDefault="00D4072C" w:rsidP="00D4072C">
            <w:pPr>
              <w:pStyle w:val="ListParagraph"/>
              <w:spacing w:before="120" w:after="120"/>
              <w:ind w:left="0"/>
              <w:contextualSpacing w:val="0"/>
              <w:rPr>
                <w:rFonts w:ascii="Corbel" w:hAnsi="Corbel"/>
                <w:b/>
                <w:bCs/>
                <w:color w:val="4472C4" w:themeColor="accent1"/>
              </w:rPr>
            </w:pPr>
            <w:r w:rsidRPr="007A63A8">
              <w:rPr>
                <w:rStyle w:val="Strong"/>
                <w:rFonts w:ascii="Corbel" w:hAnsi="Corbel"/>
                <w:b w:val="0"/>
                <w:bCs w:val="0"/>
                <w:color w:val="4472C4" w:themeColor="accent1"/>
              </w:rPr>
              <w:t xml:space="preserve">Enhance evidence-based decision-making, ensure policy and funding sustainability, and continuously improve student support and completion outcomes through best practice and </w:t>
            </w:r>
            <w:r w:rsidR="005F6BE0">
              <w:rPr>
                <w:rStyle w:val="Strong"/>
                <w:rFonts w:ascii="Corbel" w:hAnsi="Corbel"/>
                <w:b w:val="0"/>
                <w:bCs w:val="0"/>
                <w:color w:val="4472C4" w:themeColor="accent1"/>
              </w:rPr>
              <w:t>i</w:t>
            </w:r>
            <w:r w:rsidR="005F6BE0" w:rsidRPr="007259CC">
              <w:rPr>
                <w:rStyle w:val="Strong"/>
                <w:rFonts w:ascii="Corbel" w:hAnsi="Corbel"/>
                <w:b w:val="0"/>
                <w:color w:val="4472C4" w:themeColor="accent1"/>
              </w:rPr>
              <w:t>nnovative approaches.</w:t>
            </w:r>
            <w:r w:rsidR="005F6BE0">
              <w:rPr>
                <w:rStyle w:val="Strong"/>
              </w:rPr>
              <w:t xml:space="preserve"> </w:t>
            </w:r>
          </w:p>
        </w:tc>
      </w:tr>
      <w:tr w:rsidR="00605F62" w:rsidRPr="008F1196" w14:paraId="781B37EE" w14:textId="77777777" w:rsidTr="3AF90611">
        <w:tc>
          <w:tcPr>
            <w:tcW w:w="2233" w:type="dxa"/>
          </w:tcPr>
          <w:p w14:paraId="0C08999B" w14:textId="43ABE807"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 xml:space="preserve">Activity </w:t>
            </w:r>
            <w:r w:rsidR="00F04D59" w:rsidRPr="007A63A8">
              <w:rPr>
                <w:rFonts w:ascii="Corbel" w:hAnsi="Corbel"/>
                <w:b/>
                <w:bCs/>
                <w:color w:val="4472C4" w:themeColor="accent1"/>
              </w:rPr>
              <w:t xml:space="preserve">and delivery </w:t>
            </w:r>
          </w:p>
          <w:p w14:paraId="40F97C57" w14:textId="77777777" w:rsidR="00605F62" w:rsidRPr="007A63A8" w:rsidRDefault="00605F62" w:rsidP="005D523E">
            <w:pPr>
              <w:rPr>
                <w:rFonts w:ascii="Corbel" w:hAnsi="Corbel"/>
                <w:b/>
                <w:bCs/>
                <w:color w:val="4472C4" w:themeColor="accent1"/>
              </w:rPr>
            </w:pPr>
          </w:p>
        </w:tc>
        <w:tc>
          <w:tcPr>
            <w:tcW w:w="7123" w:type="dxa"/>
            <w:gridSpan w:val="3"/>
            <w:vAlign w:val="bottom"/>
          </w:tcPr>
          <w:p w14:paraId="3E23F5D0" w14:textId="77777777" w:rsidR="00605F62" w:rsidRPr="007A63A8" w:rsidRDefault="00605F62" w:rsidP="005D523E">
            <w:p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lang w:eastAsia="en-AU"/>
              </w:rPr>
              <w:t>To ensure targeted support, Queensland will embed data-driven strategies, review of pricing arrangements and best practice frameworks. Activities and a</w:t>
            </w:r>
            <w:r w:rsidRPr="007A63A8">
              <w:rPr>
                <w:rFonts w:ascii="Corbel" w:eastAsia="Times New Roman" w:hAnsi="Corbel" w:cs="Times New Roman"/>
                <w:color w:val="4472C4" w:themeColor="accent1"/>
                <w:kern w:val="0"/>
                <w:lang w:eastAsia="en-AU"/>
                <w14:ligatures w14:val="none"/>
              </w:rPr>
              <w:t>lignment with National VET Completions Taskforce Recommendations:</w:t>
            </w:r>
          </w:p>
          <w:p w14:paraId="492D6289" w14:textId="31E97209" w:rsidR="0016639D" w:rsidRPr="007A63A8" w:rsidRDefault="00E3347D" w:rsidP="0016639D">
            <w:pPr>
              <w:pStyle w:val="ListParagraph"/>
              <w:numPr>
                <w:ilvl w:val="0"/>
                <w:numId w:val="35"/>
              </w:numPr>
              <w:rPr>
                <w:rFonts w:ascii="Corbel" w:eastAsia="Times New Roman" w:hAnsi="Corbel" w:cs="Times New Roman"/>
                <w:color w:val="4472C4" w:themeColor="accent1"/>
                <w:kern w:val="0"/>
                <w:lang w:eastAsia="en-AU"/>
                <w14:ligatures w14:val="none"/>
              </w:rPr>
            </w:pPr>
            <w:r>
              <w:rPr>
                <w:rFonts w:ascii="Corbel" w:eastAsia="Times New Roman" w:hAnsi="Corbel" w:cs="Times New Roman"/>
                <w:color w:val="4472C4" w:themeColor="accent1"/>
                <w:kern w:val="0"/>
                <w:lang w:eastAsia="en-AU"/>
                <w14:ligatures w14:val="none"/>
              </w:rPr>
              <w:t xml:space="preserve">New annual </w:t>
            </w:r>
            <w:r w:rsidR="00605F62" w:rsidRPr="007259CC">
              <w:rPr>
                <w:rFonts w:ascii="Corbel" w:eastAsia="Times New Roman" w:hAnsi="Corbel" w:cs="Times New Roman"/>
                <w:b/>
                <w:color w:val="4472C4" w:themeColor="accent1"/>
                <w:kern w:val="0"/>
                <w:lang w:eastAsia="en-AU"/>
                <w14:ligatures w14:val="none"/>
              </w:rPr>
              <w:t>Queensland student survey</w:t>
            </w:r>
            <w:r>
              <w:rPr>
                <w:rFonts w:ascii="Corbel" w:eastAsia="Times New Roman" w:hAnsi="Corbel" w:cs="Times New Roman"/>
                <w:b/>
                <w:bCs/>
                <w:color w:val="4472C4" w:themeColor="accent1"/>
                <w:kern w:val="0"/>
                <w:lang w:eastAsia="en-AU"/>
                <w14:ligatures w14:val="none"/>
              </w:rPr>
              <w:t xml:space="preserve"> program</w:t>
            </w:r>
            <w:r w:rsidR="00605F62" w:rsidRPr="007A63A8">
              <w:rPr>
                <w:rFonts w:ascii="Corbel" w:eastAsia="Times New Roman" w:hAnsi="Corbel" w:cs="Times New Roman"/>
                <w:color w:val="4472C4" w:themeColor="accent1"/>
                <w:kern w:val="0"/>
                <w:lang w:eastAsia="en-AU"/>
                <w14:ligatures w14:val="none"/>
              </w:rPr>
              <w:t xml:space="preserve"> – Capturing diverse student </w:t>
            </w:r>
            <w:r w:rsidR="00F00C7F" w:rsidRPr="007A63A8">
              <w:rPr>
                <w:rFonts w:ascii="Corbel" w:eastAsia="Times New Roman" w:hAnsi="Corbel" w:cs="Times New Roman"/>
                <w:color w:val="4472C4" w:themeColor="accent1"/>
                <w:kern w:val="0"/>
                <w:lang w:eastAsia="en-AU"/>
                <w14:ligatures w14:val="none"/>
              </w:rPr>
              <w:t xml:space="preserve">voices and </w:t>
            </w:r>
            <w:r w:rsidR="00605F62" w:rsidRPr="007A63A8">
              <w:rPr>
                <w:rFonts w:ascii="Corbel" w:eastAsia="Times New Roman" w:hAnsi="Corbel" w:cs="Times New Roman"/>
                <w:color w:val="4472C4" w:themeColor="accent1"/>
                <w:kern w:val="0"/>
                <w:lang w:eastAsia="en-AU"/>
                <w14:ligatures w14:val="none"/>
              </w:rPr>
              <w:t>experiences to inform policy decisions and program improvements</w:t>
            </w:r>
            <w:r w:rsidR="009C06CD" w:rsidRPr="007A63A8">
              <w:rPr>
                <w:rFonts w:ascii="Corbel" w:eastAsia="Times New Roman" w:hAnsi="Corbel" w:cs="Times New Roman"/>
                <w:color w:val="4472C4" w:themeColor="accent1"/>
                <w:kern w:val="0"/>
                <w:lang w:eastAsia="en-AU"/>
                <w14:ligatures w14:val="none"/>
              </w:rPr>
              <w:t xml:space="preserve"> across the student journey</w:t>
            </w:r>
            <w:r w:rsidR="001A3D89">
              <w:rPr>
                <w:rFonts w:ascii="Corbel" w:eastAsia="Times New Roman" w:hAnsi="Corbel" w:cs="Times New Roman"/>
                <w:color w:val="4472C4" w:themeColor="accent1"/>
                <w:kern w:val="0"/>
                <w:lang w:eastAsia="en-AU"/>
                <w14:ligatures w14:val="none"/>
              </w:rPr>
              <w:t xml:space="preserve"> from enrolment to completion and</w:t>
            </w:r>
            <w:r>
              <w:rPr>
                <w:rFonts w:ascii="Corbel" w:eastAsia="Times New Roman" w:hAnsi="Corbel" w:cs="Times New Roman"/>
                <w:color w:val="4472C4" w:themeColor="accent1"/>
                <w:kern w:val="0"/>
                <w:lang w:eastAsia="en-AU"/>
                <w14:ligatures w14:val="none"/>
              </w:rPr>
              <w:t xml:space="preserve"> post training</w:t>
            </w:r>
            <w:r w:rsidR="00605F62" w:rsidRPr="007A63A8">
              <w:rPr>
                <w:rFonts w:ascii="Corbel" w:eastAsia="Times New Roman" w:hAnsi="Corbel" w:cs="Times New Roman"/>
                <w:color w:val="4472C4" w:themeColor="accent1"/>
                <w:kern w:val="0"/>
                <w:lang w:eastAsia="en-AU"/>
                <w14:ligatures w14:val="none"/>
              </w:rPr>
              <w:t>.</w:t>
            </w:r>
            <w:r w:rsidR="0016639D" w:rsidRPr="007A63A8">
              <w:rPr>
                <w:rFonts w:ascii="Corbel" w:eastAsia="Times New Roman" w:hAnsi="Corbel" w:cs="Times New Roman"/>
                <w:color w:val="4472C4" w:themeColor="accent1"/>
                <w:kern w:val="0"/>
                <w:lang w:eastAsia="en-AU"/>
                <w14:ligatures w14:val="none"/>
              </w:rPr>
              <w:t xml:space="preserve"> Student surveys will be conducted by the Queensland Government</w:t>
            </w:r>
            <w:r w:rsidR="00DB7EB0" w:rsidRPr="007A63A8">
              <w:rPr>
                <w:rFonts w:ascii="Corbel" w:eastAsia="Times New Roman" w:hAnsi="Corbel" w:cs="Times New Roman"/>
                <w:color w:val="4472C4" w:themeColor="accent1"/>
                <w:kern w:val="0"/>
                <w:lang w:eastAsia="en-AU"/>
                <w14:ligatures w14:val="none"/>
              </w:rPr>
              <w:t xml:space="preserve"> and external partners</w:t>
            </w:r>
            <w:r w:rsidR="00E4587C">
              <w:rPr>
                <w:rFonts w:ascii="Corbel" w:eastAsia="Times New Roman" w:hAnsi="Corbel" w:cs="Times New Roman"/>
                <w:color w:val="4472C4" w:themeColor="accent1"/>
                <w:kern w:val="0"/>
                <w:lang w:eastAsia="en-AU"/>
                <w14:ligatures w14:val="none"/>
              </w:rPr>
              <w:t>.</w:t>
            </w:r>
            <w:r w:rsidR="00DB7EB0" w:rsidRPr="007A63A8">
              <w:rPr>
                <w:rFonts w:ascii="Corbel" w:eastAsia="Times New Roman" w:hAnsi="Corbel" w:cs="Times New Roman"/>
                <w:color w:val="4472C4" w:themeColor="accent1"/>
                <w:kern w:val="0"/>
                <w:lang w:eastAsia="en-AU"/>
                <w14:ligatures w14:val="none"/>
              </w:rPr>
              <w:t xml:space="preserve"> </w:t>
            </w:r>
            <w:r w:rsidR="001E4D7D" w:rsidRPr="001E4D7D">
              <w:rPr>
                <w:rFonts w:ascii="Corbel" w:eastAsia="Times New Roman" w:hAnsi="Corbel" w:cs="Times New Roman"/>
                <w:color w:val="4472C4" w:themeColor="accent1"/>
                <w:kern w:val="0"/>
                <w:lang w:eastAsia="en-AU"/>
                <w14:ligatures w14:val="none"/>
              </w:rPr>
              <w:t>Provides additionality through the establishment of the first statewide, systematic student survey program</w:t>
            </w:r>
            <w:r w:rsidR="00F04AFC">
              <w:rPr>
                <w:rFonts w:ascii="Corbel" w:eastAsia="Times New Roman" w:hAnsi="Corbel" w:cs="Times New Roman"/>
                <w:color w:val="4472C4" w:themeColor="accent1"/>
                <w:kern w:val="0"/>
                <w:lang w:eastAsia="en-AU"/>
                <w14:ligatures w14:val="none"/>
              </w:rPr>
              <w:t xml:space="preserve"> </w:t>
            </w:r>
            <w:r w:rsidR="002346CE">
              <w:rPr>
                <w:rFonts w:ascii="Corbel" w:eastAsia="Times New Roman" w:hAnsi="Corbel" w:cs="Times New Roman"/>
                <w:color w:val="4472C4" w:themeColor="accent1"/>
                <w:kern w:val="0"/>
                <w:lang w:eastAsia="en-AU"/>
                <w14:ligatures w14:val="none"/>
              </w:rPr>
              <w:t>through</w:t>
            </w:r>
            <w:r w:rsidR="001E4D7D" w:rsidRPr="001E4D7D">
              <w:rPr>
                <w:rFonts w:ascii="Corbel" w:eastAsia="Times New Roman" w:hAnsi="Corbel" w:cs="Times New Roman"/>
                <w:color w:val="4472C4" w:themeColor="accent1"/>
                <w:kern w:val="0"/>
                <w:lang w:eastAsia="en-AU"/>
                <w14:ligatures w14:val="none"/>
              </w:rPr>
              <w:t xml:space="preserve"> </w:t>
            </w:r>
            <w:r w:rsidR="0026517E">
              <w:rPr>
                <w:rFonts w:ascii="Corbel" w:eastAsia="Times New Roman" w:hAnsi="Corbel" w:cs="Times New Roman"/>
                <w:color w:val="4472C4" w:themeColor="accent1"/>
                <w:kern w:val="0"/>
                <w:lang w:eastAsia="en-AU"/>
                <w14:ligatures w14:val="none"/>
              </w:rPr>
              <w:t>sending surveys to</w:t>
            </w:r>
            <w:r w:rsidR="001E4D7D" w:rsidRPr="001E4D7D">
              <w:rPr>
                <w:rFonts w:ascii="Corbel" w:eastAsia="Times New Roman" w:hAnsi="Corbel" w:cs="Times New Roman"/>
                <w:color w:val="4472C4" w:themeColor="accent1"/>
                <w:kern w:val="0"/>
                <w:lang w:eastAsia="en-AU"/>
                <w14:ligatures w14:val="none"/>
              </w:rPr>
              <w:t xml:space="preserve"> over </w:t>
            </w:r>
            <w:r w:rsidR="0026517E">
              <w:rPr>
                <w:rFonts w:ascii="Corbel" w:eastAsia="Times New Roman" w:hAnsi="Corbel" w:cs="Times New Roman"/>
                <w:color w:val="4472C4" w:themeColor="accent1"/>
                <w:kern w:val="0"/>
                <w:lang w:eastAsia="en-AU"/>
                <w14:ligatures w14:val="none"/>
              </w:rPr>
              <w:t>150</w:t>
            </w:r>
            <w:r w:rsidR="001E4D7D" w:rsidRPr="001E4D7D">
              <w:rPr>
                <w:rFonts w:ascii="Corbel" w:eastAsia="Times New Roman" w:hAnsi="Corbel" w:cs="Times New Roman"/>
                <w:color w:val="4472C4" w:themeColor="accent1"/>
                <w:kern w:val="0"/>
                <w:lang w:eastAsia="en-AU"/>
                <w14:ligatures w14:val="none"/>
              </w:rPr>
              <w:t>,000 student</w:t>
            </w:r>
            <w:r w:rsidR="002346CE">
              <w:rPr>
                <w:rFonts w:ascii="Corbel" w:eastAsia="Times New Roman" w:hAnsi="Corbel" w:cs="Times New Roman"/>
                <w:color w:val="4472C4" w:themeColor="accent1"/>
                <w:kern w:val="0"/>
                <w:lang w:eastAsia="en-AU"/>
                <w14:ligatures w14:val="none"/>
              </w:rPr>
              <w:t xml:space="preserve">s </w:t>
            </w:r>
            <w:r w:rsidR="001E4D7D" w:rsidRPr="001E4D7D">
              <w:rPr>
                <w:rFonts w:ascii="Corbel" w:eastAsia="Times New Roman" w:hAnsi="Corbel" w:cs="Times New Roman"/>
                <w:color w:val="4472C4" w:themeColor="accent1"/>
                <w:kern w:val="0"/>
                <w:lang w:eastAsia="en-AU"/>
                <w14:ligatures w14:val="none"/>
              </w:rPr>
              <w:t>annually</w:t>
            </w:r>
            <w:r w:rsidR="004E6769">
              <w:rPr>
                <w:rFonts w:ascii="Corbel" w:eastAsia="Times New Roman" w:hAnsi="Corbel" w:cs="Times New Roman"/>
                <w:color w:val="4472C4" w:themeColor="accent1"/>
                <w:kern w:val="0"/>
                <w:lang w:eastAsia="en-AU"/>
                <w14:ligatures w14:val="none"/>
              </w:rPr>
              <w:t xml:space="preserve"> to seek their input </w:t>
            </w:r>
            <w:r w:rsidR="008C1885">
              <w:rPr>
                <w:rFonts w:ascii="Corbel" w:eastAsia="Times New Roman" w:hAnsi="Corbel" w:cs="Times New Roman"/>
                <w:color w:val="4472C4" w:themeColor="accent1"/>
                <w:kern w:val="0"/>
                <w:lang w:eastAsia="en-AU"/>
                <w14:ligatures w14:val="none"/>
              </w:rPr>
              <w:t>to the system</w:t>
            </w:r>
            <w:r w:rsidR="001E4D7D" w:rsidRPr="001E4D7D">
              <w:rPr>
                <w:rFonts w:ascii="Corbel" w:eastAsia="Times New Roman" w:hAnsi="Corbel" w:cs="Times New Roman"/>
                <w:color w:val="4472C4" w:themeColor="accent1"/>
                <w:kern w:val="0"/>
                <w:lang w:eastAsia="en-AU"/>
                <w14:ligatures w14:val="none"/>
              </w:rPr>
              <w:t xml:space="preserve"> — enabling real-time policy responsiveness not previously possible.</w:t>
            </w:r>
          </w:p>
          <w:p w14:paraId="2541E017" w14:textId="77777777" w:rsidR="00605F62" w:rsidRPr="007A63A8" w:rsidRDefault="00605F62" w:rsidP="00605F62">
            <w:pPr>
              <w:pStyle w:val="ListParagraph"/>
              <w:numPr>
                <w:ilvl w:val="1"/>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12, 15, 16</w:t>
            </w:r>
          </w:p>
          <w:p w14:paraId="6B3E9A0F" w14:textId="74C5C49D" w:rsidR="00605F62" w:rsidRPr="007A63A8" w:rsidRDefault="00605F62" w:rsidP="00605F62">
            <w:pPr>
              <w:pStyle w:val="ListParagraph"/>
              <w:numPr>
                <w:ilvl w:val="0"/>
                <w:numId w:val="35"/>
              </w:numPr>
              <w:rPr>
                <w:rFonts w:ascii="Corbel" w:eastAsia="Times New Roman" w:hAnsi="Corbel" w:cs="Times New Roman"/>
                <w:color w:val="4472C4" w:themeColor="accent1"/>
                <w:lang w:eastAsia="en-AU"/>
              </w:rPr>
            </w:pPr>
            <w:r w:rsidRPr="007259CC">
              <w:rPr>
                <w:rFonts w:ascii="Corbel" w:eastAsia="Times New Roman" w:hAnsi="Corbel" w:cs="Times New Roman"/>
                <w:b/>
                <w:color w:val="4472C4" w:themeColor="accent1"/>
                <w:kern w:val="0"/>
                <w:lang w:eastAsia="en-AU"/>
                <w14:ligatures w14:val="none"/>
              </w:rPr>
              <w:t>Longitudinal research and analysis projects</w:t>
            </w:r>
            <w:r w:rsidRPr="007A63A8">
              <w:rPr>
                <w:rFonts w:ascii="Corbel" w:eastAsia="Times New Roman" w:hAnsi="Corbel" w:cs="Times New Roman"/>
                <w:color w:val="4472C4" w:themeColor="accent1"/>
                <w:kern w:val="0"/>
                <w:lang w:eastAsia="en-AU"/>
                <w14:ligatures w14:val="none"/>
              </w:rPr>
              <w:t xml:space="preserve"> – Tracking student progression, completion outcomes, and post-training employment</w:t>
            </w:r>
            <w:r w:rsidR="00BD3EC0" w:rsidRPr="007A63A8">
              <w:rPr>
                <w:rFonts w:ascii="Corbel" w:eastAsia="Times New Roman" w:hAnsi="Corbel" w:cs="Times New Roman"/>
                <w:color w:val="4472C4" w:themeColor="accent1"/>
                <w:kern w:val="0"/>
                <w:lang w:eastAsia="en-AU"/>
                <w14:ligatures w14:val="none"/>
              </w:rPr>
              <w:t xml:space="preserve"> through the establishment of a </w:t>
            </w:r>
            <w:r w:rsidR="00E44EF6" w:rsidRPr="007A63A8">
              <w:rPr>
                <w:rFonts w:ascii="Corbel" w:eastAsia="Times New Roman" w:hAnsi="Corbel" w:cs="Times New Roman"/>
                <w:color w:val="4472C4" w:themeColor="accent1"/>
                <w:kern w:val="0"/>
                <w:lang w:eastAsia="en-AU"/>
                <w14:ligatures w14:val="none"/>
              </w:rPr>
              <w:t xml:space="preserve">Departmental </w:t>
            </w:r>
            <w:r w:rsidR="00BD3EC0" w:rsidRPr="007A63A8">
              <w:rPr>
                <w:rFonts w:ascii="Corbel" w:eastAsia="Times New Roman" w:hAnsi="Corbel" w:cs="Times New Roman"/>
                <w:color w:val="4472C4" w:themeColor="accent1"/>
                <w:kern w:val="0"/>
                <w:lang w:eastAsia="en-AU"/>
                <w14:ligatures w14:val="none"/>
              </w:rPr>
              <w:t xml:space="preserve">student journey database and other data matching </w:t>
            </w:r>
            <w:r w:rsidR="005626FC" w:rsidRPr="007A63A8">
              <w:rPr>
                <w:rFonts w:ascii="Corbel" w:eastAsia="Times New Roman" w:hAnsi="Corbel" w:cs="Times New Roman"/>
                <w:color w:val="4472C4" w:themeColor="accent1"/>
                <w:kern w:val="0"/>
                <w:lang w:eastAsia="en-AU"/>
                <w14:ligatures w14:val="none"/>
              </w:rPr>
              <w:t>projects. This</w:t>
            </w:r>
            <w:r w:rsidR="00DB7EB0" w:rsidRPr="007A63A8">
              <w:rPr>
                <w:rFonts w:ascii="Corbel" w:eastAsia="Times New Roman" w:hAnsi="Corbel" w:cs="Times New Roman"/>
                <w:color w:val="4472C4" w:themeColor="accent1"/>
                <w:kern w:val="0"/>
                <w:lang w:eastAsia="en-AU"/>
                <w14:ligatures w14:val="none"/>
              </w:rPr>
              <w:t xml:space="preserve"> </w:t>
            </w:r>
            <w:r w:rsidR="005626FC" w:rsidRPr="007A63A8">
              <w:rPr>
                <w:rFonts w:ascii="Corbel" w:eastAsia="Times New Roman" w:hAnsi="Corbel" w:cs="Times New Roman"/>
                <w:color w:val="4472C4" w:themeColor="accent1"/>
                <w:kern w:val="0"/>
                <w:lang w:eastAsia="en-AU"/>
                <w14:ligatures w14:val="none"/>
              </w:rPr>
              <w:t xml:space="preserve">Queensland Government led research will be managed in collaboration with NCVER, </w:t>
            </w:r>
            <w:r w:rsidR="00E4587C">
              <w:rPr>
                <w:rFonts w:ascii="Corbel" w:eastAsia="Times New Roman" w:hAnsi="Corbel" w:cs="Times New Roman"/>
                <w:color w:val="4472C4" w:themeColor="accent1"/>
                <w:kern w:val="0"/>
                <w:lang w:eastAsia="en-AU"/>
                <w14:ligatures w14:val="none"/>
              </w:rPr>
              <w:t xml:space="preserve">Jobs and Skills Australia, </w:t>
            </w:r>
            <w:r w:rsidR="005626FC" w:rsidRPr="007A63A8">
              <w:rPr>
                <w:rFonts w:ascii="Corbel" w:eastAsia="Times New Roman" w:hAnsi="Corbel" w:cs="Times New Roman"/>
                <w:color w:val="4472C4" w:themeColor="accent1"/>
                <w:kern w:val="0"/>
                <w:lang w:eastAsia="en-AU"/>
                <w14:ligatures w14:val="none"/>
              </w:rPr>
              <w:t>universities, and industry partners.</w:t>
            </w:r>
            <w:r w:rsidR="00C019AA">
              <w:rPr>
                <w:rFonts w:ascii="Corbel" w:eastAsia="Times New Roman" w:hAnsi="Corbel" w:cs="Times New Roman"/>
                <w:color w:val="4472C4" w:themeColor="accent1"/>
                <w:kern w:val="0"/>
                <w:lang w:eastAsia="en-AU"/>
                <w14:ligatures w14:val="none"/>
              </w:rPr>
              <w:t xml:space="preserve"> </w:t>
            </w:r>
            <w:r w:rsidR="00C019AA" w:rsidRPr="00C019AA">
              <w:rPr>
                <w:rFonts w:ascii="Corbel" w:eastAsia="Times New Roman" w:hAnsi="Corbel" w:cs="Times New Roman"/>
                <w:color w:val="4472C4" w:themeColor="accent1"/>
                <w:kern w:val="0"/>
                <w:lang w:eastAsia="en-AU"/>
                <w14:ligatures w14:val="none"/>
              </w:rPr>
              <w:t xml:space="preserve">Delivers new analytical </w:t>
            </w:r>
            <w:r w:rsidR="003326E7">
              <w:rPr>
                <w:rFonts w:ascii="Corbel" w:eastAsia="Times New Roman" w:hAnsi="Corbel" w:cs="Times New Roman"/>
                <w:color w:val="4472C4" w:themeColor="accent1"/>
                <w:kern w:val="0"/>
                <w:lang w:eastAsia="en-AU"/>
                <w14:ligatures w14:val="none"/>
              </w:rPr>
              <w:t>insight</w:t>
            </w:r>
            <w:r w:rsidR="00C019AA" w:rsidRPr="00C019AA">
              <w:rPr>
                <w:rFonts w:ascii="Corbel" w:eastAsia="Times New Roman" w:hAnsi="Corbel" w:cs="Times New Roman"/>
                <w:color w:val="4472C4" w:themeColor="accent1"/>
                <w:kern w:val="0"/>
                <w:lang w:eastAsia="en-AU"/>
                <w14:ligatures w14:val="none"/>
              </w:rPr>
              <w:t xml:space="preserve"> for Queensland, adding depth to national data sets and generating actionable insights specific to state-based learners and programs.</w:t>
            </w:r>
          </w:p>
          <w:p w14:paraId="5BA92B22" w14:textId="77777777" w:rsidR="00605F62" w:rsidRPr="007A63A8" w:rsidRDefault="00605F62" w:rsidP="00605F62">
            <w:pPr>
              <w:pStyle w:val="ListParagraph"/>
              <w:numPr>
                <w:ilvl w:val="1"/>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10, 11, 16</w:t>
            </w:r>
          </w:p>
          <w:p w14:paraId="03E89098" w14:textId="62D72799" w:rsidR="00605F62" w:rsidRPr="007A63A8" w:rsidRDefault="008B6C9D" w:rsidP="00605F62">
            <w:pPr>
              <w:pStyle w:val="ListParagraph"/>
              <w:numPr>
                <w:ilvl w:val="0"/>
                <w:numId w:val="35"/>
              </w:numPr>
              <w:rPr>
                <w:rFonts w:ascii="Corbel" w:eastAsia="Times New Roman" w:hAnsi="Corbel" w:cs="Times New Roman"/>
                <w:color w:val="4472C4" w:themeColor="accent1"/>
                <w:lang w:eastAsia="en-AU"/>
              </w:rPr>
            </w:pPr>
            <w:r w:rsidRPr="007259CC">
              <w:rPr>
                <w:rFonts w:ascii="Corbel" w:eastAsia="Times New Roman" w:hAnsi="Corbel" w:cs="Times New Roman"/>
                <w:b/>
                <w:color w:val="4472C4" w:themeColor="accent1"/>
                <w:kern w:val="0"/>
                <w:lang w:eastAsia="en-AU"/>
                <w14:ligatures w14:val="none"/>
              </w:rPr>
              <w:t>Review of pricing and subsidy framework</w:t>
            </w:r>
            <w:r w:rsidR="00605F62" w:rsidRPr="007A63A8">
              <w:rPr>
                <w:rFonts w:ascii="Corbel" w:eastAsia="Times New Roman" w:hAnsi="Corbel" w:cs="Times New Roman"/>
                <w:color w:val="4472C4" w:themeColor="accent1"/>
                <w:kern w:val="0"/>
                <w:lang w:eastAsia="en-AU"/>
                <w14:ligatures w14:val="none"/>
              </w:rPr>
              <w:t xml:space="preserve"> </w:t>
            </w:r>
            <w:r w:rsidR="00F04D59" w:rsidRPr="007A63A8">
              <w:rPr>
                <w:rFonts w:ascii="Corbel" w:eastAsia="Times New Roman" w:hAnsi="Corbel" w:cs="Times New Roman"/>
                <w:color w:val="4472C4" w:themeColor="accent1"/>
                <w:kern w:val="0"/>
                <w:lang w:eastAsia="en-AU"/>
                <w14:ligatures w14:val="none"/>
              </w:rPr>
              <w:t>for government funded training</w:t>
            </w:r>
            <w:r w:rsidR="00A21924">
              <w:rPr>
                <w:rFonts w:ascii="Corbel" w:eastAsia="Times New Roman" w:hAnsi="Corbel" w:cs="Times New Roman"/>
                <w:color w:val="4472C4" w:themeColor="accent1"/>
                <w:kern w:val="0"/>
                <w:lang w:eastAsia="en-AU"/>
                <w14:ligatures w14:val="none"/>
              </w:rPr>
              <w:t xml:space="preserve">, including apprentice travel and </w:t>
            </w:r>
            <w:r w:rsidR="00E4587C">
              <w:rPr>
                <w:rFonts w:ascii="Corbel" w:eastAsia="Times New Roman" w:hAnsi="Corbel" w:cs="Times New Roman"/>
                <w:color w:val="4472C4" w:themeColor="accent1"/>
                <w:kern w:val="0"/>
                <w:lang w:eastAsia="en-AU"/>
                <w14:ligatures w14:val="none"/>
              </w:rPr>
              <w:t>accommodation</w:t>
            </w:r>
            <w:r w:rsidR="00A21924">
              <w:rPr>
                <w:rFonts w:ascii="Corbel" w:eastAsia="Times New Roman" w:hAnsi="Corbel" w:cs="Times New Roman"/>
                <w:color w:val="4472C4" w:themeColor="accent1"/>
                <w:kern w:val="0"/>
                <w:lang w:eastAsia="en-AU"/>
                <w14:ligatures w14:val="none"/>
              </w:rPr>
              <w:t xml:space="preserve"> subsidies</w:t>
            </w:r>
            <w:r w:rsidR="00BC679F" w:rsidRPr="007A63A8">
              <w:rPr>
                <w:rFonts w:ascii="Corbel" w:hAnsi="Corbel"/>
                <w:color w:val="4472C4" w:themeColor="accent1"/>
              </w:rPr>
              <w:t>.</w:t>
            </w:r>
            <w:r w:rsidR="00E32D7E" w:rsidRPr="007A63A8">
              <w:rPr>
                <w:rFonts w:ascii="Corbel" w:hAnsi="Corbel"/>
                <w:color w:val="4472C4" w:themeColor="accent1"/>
              </w:rPr>
              <w:t xml:space="preserve"> </w:t>
            </w:r>
            <w:r w:rsidR="00A04DA5" w:rsidRPr="007A63A8">
              <w:rPr>
                <w:rFonts w:ascii="Corbel" w:eastAsia="Times New Roman" w:hAnsi="Corbel" w:cs="Times New Roman"/>
                <w:color w:val="4472C4" w:themeColor="accent1"/>
                <w:kern w:val="0"/>
                <w:lang w:eastAsia="en-AU"/>
                <w14:ligatures w14:val="none"/>
              </w:rPr>
              <w:t xml:space="preserve">The review will be delivered and led by </w:t>
            </w:r>
            <w:r w:rsidR="00A04DA5" w:rsidRPr="007A63A8">
              <w:rPr>
                <w:rFonts w:ascii="Corbel" w:eastAsia="Times New Roman" w:hAnsi="Corbel" w:cs="Times New Roman"/>
                <w:color w:val="4472C4" w:themeColor="accent1"/>
                <w:lang w:eastAsia="en-AU"/>
              </w:rPr>
              <w:t>Queensland Training Ombudsman</w:t>
            </w:r>
            <w:r w:rsidR="00A04DA5" w:rsidRPr="007A63A8">
              <w:rPr>
                <w:rFonts w:ascii="Corbel" w:eastAsia="Times New Roman" w:hAnsi="Corbel" w:cs="Times New Roman"/>
                <w:color w:val="4472C4" w:themeColor="accent1"/>
                <w:kern w:val="0"/>
                <w:lang w:eastAsia="en-AU"/>
                <w14:ligatures w14:val="none"/>
              </w:rPr>
              <w:t xml:space="preserve">, engaging RTOs, industry, and student </w:t>
            </w:r>
            <w:r w:rsidR="00E32D7E" w:rsidRPr="007A63A8">
              <w:rPr>
                <w:rFonts w:ascii="Corbel" w:eastAsia="Times New Roman" w:hAnsi="Corbel" w:cs="Times New Roman"/>
                <w:color w:val="4472C4" w:themeColor="accent1"/>
                <w:kern w:val="0"/>
                <w:lang w:eastAsia="en-AU"/>
                <w14:ligatures w14:val="none"/>
              </w:rPr>
              <w:t>representatives.</w:t>
            </w:r>
            <w:r w:rsidR="003818ED">
              <w:rPr>
                <w:rFonts w:ascii="Corbel" w:eastAsia="Times New Roman" w:hAnsi="Corbel" w:cs="Times New Roman"/>
                <w:color w:val="4472C4" w:themeColor="accent1"/>
                <w:kern w:val="0"/>
                <w:lang w:eastAsia="en-AU"/>
                <w14:ligatures w14:val="none"/>
              </w:rPr>
              <w:t xml:space="preserve"> </w:t>
            </w:r>
            <w:r w:rsidR="003818ED" w:rsidRPr="003818ED">
              <w:rPr>
                <w:rFonts w:ascii="Corbel" w:eastAsia="Times New Roman" w:hAnsi="Corbel" w:cs="Times New Roman"/>
                <w:color w:val="4472C4" w:themeColor="accent1"/>
                <w:kern w:val="0"/>
                <w:lang w:eastAsia="en-AU"/>
                <w14:ligatures w14:val="none"/>
              </w:rPr>
              <w:t xml:space="preserve">Supports </w:t>
            </w:r>
            <w:r w:rsidR="003326E7">
              <w:rPr>
                <w:rFonts w:ascii="Corbel" w:eastAsia="Times New Roman" w:hAnsi="Corbel" w:cs="Times New Roman"/>
                <w:color w:val="4472C4" w:themeColor="accent1"/>
                <w:kern w:val="0"/>
                <w:lang w:eastAsia="en-AU"/>
                <w14:ligatures w14:val="none"/>
              </w:rPr>
              <w:t xml:space="preserve">ongoing system stewardship to deliver </w:t>
            </w:r>
            <w:r w:rsidR="003818ED" w:rsidRPr="003818ED">
              <w:rPr>
                <w:rFonts w:ascii="Corbel" w:eastAsia="Times New Roman" w:hAnsi="Corbel" w:cs="Times New Roman"/>
                <w:color w:val="4472C4" w:themeColor="accent1"/>
                <w:kern w:val="0"/>
                <w:lang w:eastAsia="en-AU"/>
                <w14:ligatures w14:val="none"/>
              </w:rPr>
              <w:t xml:space="preserve">equitable </w:t>
            </w:r>
            <w:r w:rsidR="00696C99">
              <w:rPr>
                <w:rFonts w:ascii="Corbel" w:eastAsia="Times New Roman" w:hAnsi="Corbel" w:cs="Times New Roman"/>
                <w:color w:val="4472C4" w:themeColor="accent1"/>
                <w:kern w:val="0"/>
                <w:lang w:eastAsia="en-AU"/>
                <w14:ligatures w14:val="none"/>
              </w:rPr>
              <w:t xml:space="preserve">outcomes </w:t>
            </w:r>
            <w:r w:rsidR="003818ED" w:rsidRPr="003818ED">
              <w:rPr>
                <w:rFonts w:ascii="Corbel" w:eastAsia="Times New Roman" w:hAnsi="Corbel" w:cs="Times New Roman"/>
                <w:color w:val="4472C4" w:themeColor="accent1"/>
                <w:kern w:val="0"/>
                <w:lang w:eastAsia="en-AU"/>
                <w14:ligatures w14:val="none"/>
              </w:rPr>
              <w:t>aligned with completion</w:t>
            </w:r>
            <w:r w:rsidR="00696C99">
              <w:rPr>
                <w:rFonts w:ascii="Corbel" w:eastAsia="Times New Roman" w:hAnsi="Corbel" w:cs="Times New Roman"/>
                <w:color w:val="4472C4" w:themeColor="accent1"/>
                <w:kern w:val="0"/>
                <w:lang w:eastAsia="en-AU"/>
                <w14:ligatures w14:val="none"/>
              </w:rPr>
              <w:t>s</w:t>
            </w:r>
            <w:r w:rsidR="003818ED" w:rsidRPr="003818ED">
              <w:rPr>
                <w:rFonts w:ascii="Corbel" w:eastAsia="Times New Roman" w:hAnsi="Corbel" w:cs="Times New Roman"/>
                <w:color w:val="4472C4" w:themeColor="accent1"/>
                <w:kern w:val="0"/>
                <w:lang w:eastAsia="en-AU"/>
                <w14:ligatures w14:val="none"/>
              </w:rPr>
              <w:t>.</w:t>
            </w:r>
          </w:p>
          <w:p w14:paraId="0BFFD783" w14:textId="77777777" w:rsidR="00605F62" w:rsidRPr="007A63A8" w:rsidRDefault="00605F62" w:rsidP="00605F62">
            <w:pPr>
              <w:pStyle w:val="ListParagraph"/>
              <w:numPr>
                <w:ilvl w:val="1"/>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5, 10</w:t>
            </w:r>
          </w:p>
          <w:p w14:paraId="70FB6A38" w14:textId="76ECE501" w:rsidR="00605F62" w:rsidRPr="007A63A8" w:rsidRDefault="00605F62" w:rsidP="00605F62">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kern w:val="0"/>
                <w:lang w:eastAsia="en-AU"/>
                <w14:ligatures w14:val="none"/>
              </w:rPr>
              <w:t xml:space="preserve">Structured </w:t>
            </w:r>
            <w:r w:rsidRPr="007259CC">
              <w:rPr>
                <w:rFonts w:ascii="Corbel" w:eastAsia="Times New Roman" w:hAnsi="Corbel" w:cs="Times New Roman"/>
                <w:b/>
                <w:color w:val="4472C4" w:themeColor="accent1"/>
                <w:kern w:val="0"/>
                <w:lang w:eastAsia="en-AU"/>
                <w14:ligatures w14:val="none"/>
              </w:rPr>
              <w:t xml:space="preserve">evaluation </w:t>
            </w:r>
            <w:r w:rsidRPr="007A63A8">
              <w:rPr>
                <w:rFonts w:ascii="Corbel" w:eastAsia="Times New Roman" w:hAnsi="Corbel" w:cs="Times New Roman"/>
                <w:color w:val="4472C4" w:themeColor="accent1"/>
                <w:kern w:val="0"/>
                <w:lang w:eastAsia="en-AU"/>
                <w14:ligatures w14:val="none"/>
              </w:rPr>
              <w:t>processes – Embedding systematic assessment frameworks to refine completion initiatives and ensure effectiveness.</w:t>
            </w:r>
            <w:r w:rsidR="00A04DA5" w:rsidRPr="007A63A8">
              <w:rPr>
                <w:rFonts w:ascii="Corbel" w:eastAsia="Times New Roman" w:hAnsi="Corbel" w:cs="Times New Roman"/>
                <w:color w:val="4472C4" w:themeColor="accent1"/>
                <w:kern w:val="0"/>
                <w:lang w:eastAsia="en-AU"/>
                <w14:ligatures w14:val="none"/>
              </w:rPr>
              <w:t xml:space="preserve"> The evaluation will be embedded into program reporting frameworks by government agencies</w:t>
            </w:r>
            <w:r w:rsidR="00E73A66" w:rsidRPr="007A63A8">
              <w:rPr>
                <w:rFonts w:ascii="Corbel" w:eastAsia="Times New Roman" w:hAnsi="Corbel" w:cs="Times New Roman"/>
                <w:color w:val="4472C4" w:themeColor="accent1"/>
                <w:kern w:val="0"/>
                <w:lang w:eastAsia="en-AU"/>
                <w14:ligatures w14:val="none"/>
              </w:rPr>
              <w:t xml:space="preserve"> and may </w:t>
            </w:r>
            <w:r w:rsidR="00521414">
              <w:rPr>
                <w:rFonts w:ascii="Corbel" w:eastAsia="Times New Roman" w:hAnsi="Corbel" w:cs="Times New Roman"/>
                <w:color w:val="4472C4" w:themeColor="accent1"/>
                <w:kern w:val="0"/>
                <w:lang w:eastAsia="en-AU"/>
                <w14:ligatures w14:val="none"/>
              </w:rPr>
              <w:t>be</w:t>
            </w:r>
            <w:r w:rsidR="00E73A66" w:rsidRPr="007A63A8">
              <w:rPr>
                <w:rFonts w:ascii="Corbel" w:eastAsia="Times New Roman" w:hAnsi="Corbel" w:cs="Times New Roman"/>
                <w:color w:val="4472C4" w:themeColor="accent1"/>
                <w:kern w:val="0"/>
                <w:lang w:eastAsia="en-AU"/>
                <w14:ligatures w14:val="none"/>
              </w:rPr>
              <w:t xml:space="preserve"> delivered through </w:t>
            </w:r>
            <w:r w:rsidR="00AB7A82">
              <w:rPr>
                <w:rFonts w:ascii="Corbel" w:eastAsia="Times New Roman" w:hAnsi="Corbel" w:cs="Times New Roman"/>
                <w:color w:val="4472C4" w:themeColor="accent1"/>
                <w:kern w:val="0"/>
                <w:lang w:eastAsia="en-AU"/>
                <w14:ligatures w14:val="none"/>
              </w:rPr>
              <w:t xml:space="preserve">specialised </w:t>
            </w:r>
            <w:r w:rsidR="00E73A66" w:rsidRPr="007A63A8">
              <w:rPr>
                <w:rFonts w:ascii="Corbel" w:eastAsia="Times New Roman" w:hAnsi="Corbel" w:cs="Times New Roman"/>
                <w:color w:val="4472C4" w:themeColor="accent1"/>
                <w:kern w:val="0"/>
                <w:lang w:eastAsia="en-AU"/>
                <w14:ligatures w14:val="none"/>
              </w:rPr>
              <w:t>evaluators.</w:t>
            </w:r>
            <w:r w:rsidR="007069E5" w:rsidRPr="007069E5">
              <w:t xml:space="preserve"> </w:t>
            </w:r>
            <w:r w:rsidR="007069E5" w:rsidRPr="007069E5">
              <w:rPr>
                <w:rFonts w:ascii="Corbel" w:eastAsia="Times New Roman" w:hAnsi="Corbel" w:cs="Times New Roman"/>
                <w:color w:val="4472C4" w:themeColor="accent1"/>
                <w:kern w:val="0"/>
                <w:lang w:eastAsia="en-AU"/>
                <w14:ligatures w14:val="none"/>
              </w:rPr>
              <w:t>Introduces a coordinated, consistent evaluation model that enhances accountability and enables faster iteration of support strategies.</w:t>
            </w:r>
          </w:p>
          <w:p w14:paraId="7826D7EF" w14:textId="77777777" w:rsidR="00605F62" w:rsidRPr="007A63A8" w:rsidRDefault="00605F62" w:rsidP="00605F62">
            <w:pPr>
              <w:pStyle w:val="ListParagraph"/>
              <w:numPr>
                <w:ilvl w:val="1"/>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9, 10, 11</w:t>
            </w:r>
          </w:p>
          <w:p w14:paraId="0536D3C1" w14:textId="6FA6BBD8" w:rsidR="00605F62" w:rsidRPr="00043B6B" w:rsidRDefault="00605F62" w:rsidP="00605F62">
            <w:pPr>
              <w:pStyle w:val="ListParagraph"/>
              <w:numPr>
                <w:ilvl w:val="0"/>
                <w:numId w:val="35"/>
              </w:numPr>
              <w:rPr>
                <w:rFonts w:ascii="Corbel" w:eastAsia="Times New Roman" w:hAnsi="Corbel" w:cs="Times New Roman"/>
                <w:color w:val="4472C4" w:themeColor="accent1"/>
                <w:lang w:eastAsia="en-AU"/>
              </w:rPr>
            </w:pPr>
            <w:r w:rsidRPr="00043B6B">
              <w:rPr>
                <w:rFonts w:ascii="Corbel" w:eastAsia="Times New Roman" w:hAnsi="Corbel" w:cs="Times New Roman"/>
                <w:b/>
                <w:color w:val="4472C4" w:themeColor="accent1"/>
                <w:kern w:val="0"/>
                <w:lang w:eastAsia="en-AU"/>
                <w14:ligatures w14:val="none"/>
              </w:rPr>
              <w:t>Best practice dissemination</w:t>
            </w:r>
            <w:r w:rsidRPr="00043B6B">
              <w:rPr>
                <w:rFonts w:ascii="Corbel" w:eastAsia="Times New Roman" w:hAnsi="Corbel" w:cs="Times New Roman"/>
                <w:color w:val="4472C4" w:themeColor="accent1"/>
                <w:kern w:val="0"/>
                <w:lang w:eastAsia="en-AU"/>
                <w14:ligatures w14:val="none"/>
              </w:rPr>
              <w:t xml:space="preserve"> through a central repository and TAFE Network</w:t>
            </w:r>
            <w:r w:rsidR="00043B6B" w:rsidRPr="008C7933">
              <w:rPr>
                <w:rFonts w:ascii="Corbel" w:eastAsia="Times New Roman" w:hAnsi="Corbel" w:cs="Times New Roman"/>
                <w:color w:val="4472C4" w:themeColor="accent1"/>
                <w:kern w:val="0"/>
                <w:lang w:eastAsia="en-AU"/>
                <w14:ligatures w14:val="none"/>
              </w:rPr>
              <w:t>s</w:t>
            </w:r>
            <w:r w:rsidRPr="00043B6B">
              <w:rPr>
                <w:rFonts w:ascii="Corbel" w:eastAsia="Times New Roman" w:hAnsi="Corbel" w:cs="Times New Roman"/>
                <w:color w:val="4472C4" w:themeColor="accent1"/>
                <w:kern w:val="0"/>
                <w:lang w:eastAsia="en-AU"/>
                <w14:ligatures w14:val="none"/>
              </w:rPr>
              <w:t xml:space="preserve"> – Facilitating continuous improvement and knowledge sharing across the sector.</w:t>
            </w:r>
            <w:r w:rsidR="00E73A66" w:rsidRPr="00043B6B">
              <w:rPr>
                <w:rFonts w:ascii="Corbel" w:eastAsia="Times New Roman" w:hAnsi="Corbel" w:cs="Times New Roman"/>
                <w:color w:val="4472C4" w:themeColor="accent1"/>
                <w:lang w:eastAsia="en-AU"/>
              </w:rPr>
              <w:t xml:space="preserve"> The best practice repository will be delivered and maintained through the Queensland Government </w:t>
            </w:r>
            <w:r w:rsidR="00C506CA" w:rsidRPr="00043B6B">
              <w:rPr>
                <w:rFonts w:ascii="Corbel" w:eastAsia="Times New Roman" w:hAnsi="Corbel" w:cs="Times New Roman"/>
                <w:color w:val="4472C4" w:themeColor="accent1"/>
                <w:lang w:eastAsia="en-AU"/>
              </w:rPr>
              <w:t xml:space="preserve">and shared with </w:t>
            </w:r>
            <w:r w:rsidR="00435CEA" w:rsidRPr="00043B6B">
              <w:rPr>
                <w:rFonts w:ascii="Corbel" w:eastAsia="Times New Roman" w:hAnsi="Corbel" w:cs="Times New Roman"/>
                <w:color w:val="4472C4" w:themeColor="accent1"/>
                <w:lang w:eastAsia="en-AU"/>
              </w:rPr>
              <w:t xml:space="preserve">VET </w:t>
            </w:r>
            <w:r w:rsidR="00BE1995" w:rsidRPr="00043B6B">
              <w:rPr>
                <w:rFonts w:ascii="Corbel" w:eastAsia="Times New Roman" w:hAnsi="Corbel" w:cs="Times New Roman"/>
                <w:color w:val="4472C4" w:themeColor="accent1"/>
                <w:lang w:eastAsia="en-AU"/>
              </w:rPr>
              <w:t>stakeholders</w:t>
            </w:r>
            <w:r w:rsidR="008D0FB3" w:rsidRPr="00043B6B">
              <w:rPr>
                <w:rFonts w:ascii="Corbel" w:eastAsia="Times New Roman" w:hAnsi="Corbel" w:cs="Times New Roman"/>
                <w:color w:val="4472C4" w:themeColor="accent1"/>
                <w:lang w:eastAsia="en-AU"/>
              </w:rPr>
              <w:t xml:space="preserve"> and aligned</w:t>
            </w:r>
            <w:r w:rsidR="00A33A9D" w:rsidRPr="00043B6B">
              <w:rPr>
                <w:rFonts w:ascii="Corbel" w:eastAsia="Times New Roman" w:hAnsi="Corbel" w:cs="Times New Roman"/>
                <w:color w:val="4472C4" w:themeColor="accent1"/>
                <w:lang w:eastAsia="en-AU"/>
              </w:rPr>
              <w:t xml:space="preserve"> to national knowledge-sharing efforts.</w:t>
            </w:r>
            <w:r w:rsidR="00377A52" w:rsidRPr="00377A52">
              <w:t xml:space="preserve"> </w:t>
            </w:r>
            <w:r w:rsidR="00377A52" w:rsidRPr="00377A52">
              <w:rPr>
                <w:rFonts w:ascii="Corbel" w:eastAsia="Times New Roman" w:hAnsi="Corbel" w:cs="Times New Roman"/>
                <w:color w:val="4472C4" w:themeColor="accent1"/>
                <w:lang w:eastAsia="en-AU"/>
              </w:rPr>
              <w:t>Adds a new system-wide mechanism to share and embed proven practices across providers, driving uplift in training quality and completion outcomes.</w:t>
            </w:r>
          </w:p>
          <w:p w14:paraId="2552E4AB" w14:textId="5F60F741" w:rsidR="00605F62" w:rsidRPr="007A63A8" w:rsidRDefault="00605F62" w:rsidP="00034CEB">
            <w:pPr>
              <w:pStyle w:val="ListParagraph"/>
              <w:numPr>
                <w:ilvl w:val="1"/>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Aligns with Recommendations: 4, 7, 17</w:t>
            </w:r>
          </w:p>
        </w:tc>
      </w:tr>
      <w:tr w:rsidR="00605F62" w:rsidRPr="0078657A" w14:paraId="0BD78D88" w14:textId="77777777" w:rsidTr="3AF90611">
        <w:tc>
          <w:tcPr>
            <w:tcW w:w="2233" w:type="dxa"/>
          </w:tcPr>
          <w:p w14:paraId="3FEE16B4" w14:textId="14A681E9"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lastRenderedPageBreak/>
              <w:t>Expected reach and additionality</w:t>
            </w:r>
          </w:p>
        </w:tc>
        <w:tc>
          <w:tcPr>
            <w:tcW w:w="7123" w:type="dxa"/>
            <w:gridSpan w:val="3"/>
            <w:vAlign w:val="bottom"/>
          </w:tcPr>
          <w:p w14:paraId="44713194" w14:textId="6C370C34" w:rsidR="00605F62" w:rsidRPr="007A63A8" w:rsidRDefault="00823250"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Strengthens student voice in policy decisions; s</w:t>
            </w:r>
            <w:r w:rsidR="00605F62" w:rsidRPr="007A63A8">
              <w:rPr>
                <w:rFonts w:ascii="Corbel" w:eastAsia="Times New Roman" w:hAnsi="Corbel" w:cs="Times New Roman"/>
                <w:color w:val="4472C4" w:themeColor="accent1"/>
                <w:kern w:val="0"/>
                <w:lang w:eastAsia="en-AU"/>
                <w14:ligatures w14:val="none"/>
              </w:rPr>
              <w:t>tudents across Queensland, particularly regional, rural, and remote learners</w:t>
            </w:r>
            <w:r w:rsidR="0002069A" w:rsidRPr="007A63A8">
              <w:rPr>
                <w:rFonts w:ascii="Corbel" w:eastAsia="Times New Roman" w:hAnsi="Corbel" w:cs="Times New Roman"/>
                <w:color w:val="4472C4" w:themeColor="accent1"/>
                <w:kern w:val="0"/>
                <w:lang w:eastAsia="en-AU"/>
                <w14:ligatures w14:val="none"/>
              </w:rPr>
              <w:t xml:space="preserve"> – all Queensland Government funded students to be survey</w:t>
            </w:r>
            <w:r w:rsidRPr="007A63A8">
              <w:rPr>
                <w:rFonts w:ascii="Corbel" w:eastAsia="Times New Roman" w:hAnsi="Corbel" w:cs="Times New Roman"/>
                <w:color w:val="4472C4" w:themeColor="accent1"/>
                <w:kern w:val="0"/>
                <w:lang w:eastAsia="en-AU"/>
                <w14:ligatures w14:val="none"/>
              </w:rPr>
              <w:t xml:space="preserve">ed during their study and at completion (over 200,000 students </w:t>
            </w:r>
            <w:r w:rsidR="007A63A8" w:rsidRPr="007A63A8">
              <w:rPr>
                <w:rFonts w:ascii="Corbel" w:eastAsia="Times New Roman" w:hAnsi="Corbel" w:cs="Times New Roman"/>
                <w:color w:val="4472C4" w:themeColor="accent1"/>
                <w:kern w:val="0"/>
                <w:lang w:eastAsia="en-AU"/>
                <w14:ligatures w14:val="none"/>
              </w:rPr>
              <w:t>annually).</w:t>
            </w:r>
          </w:p>
          <w:p w14:paraId="4587DD5F" w14:textId="7317127D"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Disadvantaged groups </w:t>
            </w:r>
            <w:r w:rsidRPr="007A63A8">
              <w:rPr>
                <w:rFonts w:ascii="Corbel" w:eastAsia="Times New Roman" w:hAnsi="Corbel" w:cs="Times New Roman"/>
                <w:color w:val="4472C4" w:themeColor="accent1"/>
                <w:lang w:eastAsia="en-AU"/>
              </w:rPr>
              <w:t xml:space="preserve">and students at SAS providers </w:t>
            </w:r>
            <w:r w:rsidRPr="007A63A8">
              <w:rPr>
                <w:rFonts w:ascii="Corbel" w:eastAsia="Times New Roman" w:hAnsi="Corbel" w:cs="Times New Roman"/>
                <w:color w:val="4472C4" w:themeColor="accent1"/>
                <w:kern w:val="0"/>
                <w:lang w:eastAsia="en-AU"/>
                <w14:ligatures w14:val="none"/>
              </w:rPr>
              <w:t>needing targeted support</w:t>
            </w:r>
          </w:p>
          <w:p w14:paraId="084460DA"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Employers and training providers seeking best practice insights.</w:t>
            </w:r>
          </w:p>
          <w:p w14:paraId="4105D42D" w14:textId="5DC466F8" w:rsidR="00F24B86" w:rsidRPr="007A63A8" w:rsidRDefault="00F24B86"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Policy makers </w:t>
            </w:r>
            <w:r w:rsidR="00267769" w:rsidRPr="007A63A8">
              <w:rPr>
                <w:rFonts w:ascii="Corbel" w:eastAsia="Times New Roman" w:hAnsi="Corbel" w:cs="Times New Roman"/>
                <w:color w:val="4472C4" w:themeColor="accent1"/>
                <w:kern w:val="0"/>
                <w:lang w:eastAsia="en-AU"/>
                <w14:ligatures w14:val="none"/>
              </w:rPr>
              <w:t>to improve student support mechanisms</w:t>
            </w:r>
            <w:r w:rsidR="00823250" w:rsidRPr="007A63A8">
              <w:rPr>
                <w:rFonts w:ascii="Corbel" w:eastAsia="Times New Roman" w:hAnsi="Corbel" w:cs="Times New Roman"/>
                <w:color w:val="4472C4" w:themeColor="accent1"/>
                <w:kern w:val="0"/>
                <w:lang w:eastAsia="en-AU"/>
                <w14:ligatures w14:val="none"/>
              </w:rPr>
              <w:t xml:space="preserve"> through evidence-based insights for funding and policy refinements.</w:t>
            </w:r>
          </w:p>
          <w:p w14:paraId="4C9705E4" w14:textId="77777777" w:rsidR="004D2653" w:rsidRPr="00810B07" w:rsidRDefault="0090561E" w:rsidP="00605F62">
            <w:pPr>
              <w:pStyle w:val="ListParagraph"/>
              <w:numPr>
                <w:ilvl w:val="0"/>
                <w:numId w:val="35"/>
              </w:numPr>
              <w:rPr>
                <w:rFonts w:ascii="Corbel" w:eastAsia="Times New Roman" w:hAnsi="Corbel" w:cs="Times New Roman"/>
                <w:color w:val="4472C4" w:themeColor="accent1"/>
                <w:lang w:eastAsia="en-AU"/>
              </w:rPr>
            </w:pPr>
            <w:r w:rsidRPr="0090561E">
              <w:rPr>
                <w:rFonts w:ascii="Corbel" w:eastAsia="Times New Roman" w:hAnsi="Corbel" w:cs="Times New Roman"/>
                <w:color w:val="4472C4" w:themeColor="accent1"/>
                <w:kern w:val="0"/>
                <w:lang w:eastAsia="en-AU"/>
                <w14:ligatures w14:val="none"/>
              </w:rPr>
              <w:t>Enables new and more precise targeting of interventions and support models across student cohorts and providers.</w:t>
            </w:r>
          </w:p>
          <w:p w14:paraId="6F54308D" w14:textId="572D338E" w:rsidR="00605F62" w:rsidRPr="007A63A8" w:rsidRDefault="00823250" w:rsidP="00605F62">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kern w:val="0"/>
                <w:lang w:eastAsia="en-AU"/>
                <w14:ligatures w14:val="none"/>
              </w:rPr>
              <w:t>Expands data-driven support models to increase completion rates</w:t>
            </w:r>
            <w:r w:rsidR="00DE5F5D">
              <w:rPr>
                <w:rFonts w:ascii="Corbel" w:eastAsia="Times New Roman" w:hAnsi="Corbel" w:cs="Times New Roman"/>
                <w:color w:val="4472C4" w:themeColor="accent1"/>
                <w:kern w:val="0"/>
                <w:lang w:eastAsia="en-AU"/>
                <w14:ligatures w14:val="none"/>
              </w:rPr>
              <w:t xml:space="preserve">, </w:t>
            </w:r>
            <w:r w:rsidR="00DE5F5D" w:rsidRPr="00DE5F5D">
              <w:rPr>
                <w:rFonts w:ascii="Corbel" w:eastAsia="Times New Roman" w:hAnsi="Corbel" w:cs="Times New Roman"/>
                <w:color w:val="4472C4" w:themeColor="accent1"/>
                <w:kern w:val="0"/>
                <w:lang w:eastAsia="en-AU"/>
                <w14:ligatures w14:val="none"/>
              </w:rPr>
              <w:t>providing new visibility into where, when and why students disengage — enabling proactive retention strategies.</w:t>
            </w:r>
            <w:r w:rsidRPr="007A63A8">
              <w:rPr>
                <w:rFonts w:ascii="Corbel" w:hAnsi="Corbel"/>
                <w:color w:val="4472C4" w:themeColor="accent1"/>
              </w:rPr>
              <w:t xml:space="preserve"> </w:t>
            </w:r>
          </w:p>
        </w:tc>
      </w:tr>
      <w:tr w:rsidR="00605F62" w:rsidRPr="008F1196" w14:paraId="2BD906C4" w14:textId="77777777" w:rsidTr="3AF90611">
        <w:tc>
          <w:tcPr>
            <w:tcW w:w="2233" w:type="dxa"/>
          </w:tcPr>
          <w:p w14:paraId="675D5B11" w14:textId="77777777"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Engagement and partnerships</w:t>
            </w:r>
          </w:p>
        </w:tc>
        <w:tc>
          <w:tcPr>
            <w:tcW w:w="7123" w:type="dxa"/>
            <w:gridSpan w:val="3"/>
            <w:vAlign w:val="bottom"/>
          </w:tcPr>
          <w:p w14:paraId="037B9204"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Collaboration with TAFEs, RTOs, and universities for research.</w:t>
            </w:r>
          </w:p>
          <w:p w14:paraId="369D5A14"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First Nations organisations to ensure culturally appropriate evaluation.</w:t>
            </w:r>
          </w:p>
          <w:p w14:paraId="4D9574B3"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Industry and employer groups to co-design initiatives.</w:t>
            </w:r>
          </w:p>
          <w:p w14:paraId="34311279" w14:textId="77777777" w:rsidR="00605F62" w:rsidRDefault="001577DC" w:rsidP="00605F62">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 xml:space="preserve">Jobs and Skills Australia, </w:t>
            </w:r>
            <w:r w:rsidR="00605F62" w:rsidRPr="007A63A8">
              <w:rPr>
                <w:rFonts w:ascii="Corbel" w:eastAsia="Times New Roman" w:hAnsi="Corbel" w:cs="Times New Roman"/>
                <w:color w:val="4472C4" w:themeColor="accent1"/>
                <w:lang w:eastAsia="en-AU"/>
              </w:rPr>
              <w:t>NCVER and government agencies for longitudinal data analysis.</w:t>
            </w:r>
          </w:p>
          <w:p w14:paraId="79AAE325" w14:textId="069FEF19" w:rsidR="001971B5" w:rsidRPr="007A63A8" w:rsidRDefault="001971B5" w:rsidP="00605F62">
            <w:pPr>
              <w:pStyle w:val="ListParagraph"/>
              <w:numPr>
                <w:ilvl w:val="0"/>
                <w:numId w:val="35"/>
              </w:numPr>
              <w:rPr>
                <w:rFonts w:ascii="Corbel" w:eastAsia="Times New Roman" w:hAnsi="Corbel" w:cs="Times New Roman"/>
                <w:color w:val="4472C4" w:themeColor="accent1"/>
                <w:lang w:eastAsia="en-AU"/>
              </w:rPr>
            </w:pPr>
            <w:r w:rsidRPr="001971B5">
              <w:rPr>
                <w:rFonts w:ascii="Corbel" w:eastAsia="Times New Roman" w:hAnsi="Corbel" w:cs="Times New Roman"/>
                <w:color w:val="4472C4" w:themeColor="accent1"/>
                <w:lang w:eastAsia="en-AU"/>
              </w:rPr>
              <w:t>New partnerships enabl</w:t>
            </w:r>
            <w:r w:rsidR="00696C99">
              <w:rPr>
                <w:rFonts w:ascii="Corbel" w:eastAsia="Times New Roman" w:hAnsi="Corbel" w:cs="Times New Roman"/>
                <w:color w:val="4472C4" w:themeColor="accent1"/>
                <w:lang w:eastAsia="en-AU"/>
              </w:rPr>
              <w:t>e</w:t>
            </w:r>
            <w:r w:rsidRPr="001971B5">
              <w:rPr>
                <w:rFonts w:ascii="Corbel" w:eastAsia="Times New Roman" w:hAnsi="Corbel" w:cs="Times New Roman"/>
                <w:color w:val="4472C4" w:themeColor="accent1"/>
                <w:lang w:eastAsia="en-AU"/>
              </w:rPr>
              <w:t xml:space="preserve"> deeper integration </w:t>
            </w:r>
            <w:r w:rsidR="009A26D8">
              <w:rPr>
                <w:rFonts w:ascii="Corbel" w:eastAsia="Times New Roman" w:hAnsi="Corbel" w:cs="Times New Roman"/>
                <w:color w:val="4472C4" w:themeColor="accent1"/>
                <w:lang w:eastAsia="en-AU"/>
              </w:rPr>
              <w:t xml:space="preserve">and coordination </w:t>
            </w:r>
            <w:r w:rsidRPr="001971B5">
              <w:rPr>
                <w:rFonts w:ascii="Corbel" w:eastAsia="Times New Roman" w:hAnsi="Corbel" w:cs="Times New Roman"/>
                <w:color w:val="4472C4" w:themeColor="accent1"/>
                <w:lang w:eastAsia="en-AU"/>
              </w:rPr>
              <w:t xml:space="preserve">of learner </w:t>
            </w:r>
            <w:r w:rsidR="009A26D8">
              <w:rPr>
                <w:rFonts w:ascii="Corbel" w:eastAsia="Times New Roman" w:hAnsi="Corbel" w:cs="Times New Roman"/>
                <w:color w:val="4472C4" w:themeColor="accent1"/>
                <w:lang w:eastAsia="en-AU"/>
              </w:rPr>
              <w:t>experience</w:t>
            </w:r>
            <w:r w:rsidRPr="001971B5">
              <w:rPr>
                <w:rFonts w:ascii="Corbel" w:eastAsia="Times New Roman" w:hAnsi="Corbel" w:cs="Times New Roman"/>
                <w:color w:val="4472C4" w:themeColor="accent1"/>
                <w:lang w:eastAsia="en-AU"/>
              </w:rPr>
              <w:t xml:space="preserve"> and evidence into decision-making.</w:t>
            </w:r>
          </w:p>
        </w:tc>
      </w:tr>
      <w:tr w:rsidR="00605F62" w:rsidRPr="008F1196" w14:paraId="0EDFB7CE" w14:textId="77777777" w:rsidTr="3AF90611">
        <w:tc>
          <w:tcPr>
            <w:tcW w:w="2233" w:type="dxa"/>
          </w:tcPr>
          <w:p w14:paraId="3FE55EA7" w14:textId="7BDF3D02"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 xml:space="preserve">Evidence </w:t>
            </w:r>
            <w:r w:rsidR="00BA1171">
              <w:rPr>
                <w:rFonts w:ascii="Corbel" w:hAnsi="Corbel"/>
                <w:b/>
                <w:bCs/>
                <w:color w:val="4472C4" w:themeColor="accent1"/>
              </w:rPr>
              <w:t>b</w:t>
            </w:r>
            <w:r w:rsidRPr="007A63A8">
              <w:rPr>
                <w:rFonts w:ascii="Corbel" w:hAnsi="Corbel"/>
                <w:b/>
                <w:bCs/>
                <w:color w:val="4472C4" w:themeColor="accent1"/>
              </w:rPr>
              <w:t>ase</w:t>
            </w:r>
          </w:p>
        </w:tc>
        <w:tc>
          <w:tcPr>
            <w:tcW w:w="7123" w:type="dxa"/>
            <w:gridSpan w:val="3"/>
            <w:vAlign w:val="bottom"/>
          </w:tcPr>
          <w:p w14:paraId="5D6CF127" w14:textId="77777777" w:rsidR="00605F62" w:rsidRPr="007A63A8" w:rsidRDefault="00605F62" w:rsidP="005D523E">
            <w:pPr>
              <w:rPr>
                <w:rFonts w:ascii="Corbel" w:hAnsi="Corbel"/>
                <w:color w:val="4472C4" w:themeColor="accent1"/>
              </w:rPr>
            </w:pPr>
            <w:r w:rsidRPr="007A63A8">
              <w:rPr>
                <w:rFonts w:ascii="Corbel" w:hAnsi="Corbel"/>
                <w:color w:val="4472C4" w:themeColor="accent1"/>
              </w:rPr>
              <w:t xml:space="preserve">Existing </w:t>
            </w:r>
          </w:p>
          <w:p w14:paraId="376C3FC2"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NCVER research – Identified need for better tracking of completion and post-training employment outcomes.</w:t>
            </w:r>
          </w:p>
          <w:p w14:paraId="4ED6C01B"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National VET Completions Taskforce findings – Highlighted pricing, evaluation, and research as critical for VET sustainability.</w:t>
            </w:r>
          </w:p>
          <w:p w14:paraId="1F94A25A"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Stakeholder consultations – Demonstrated demand for structured best practice sharing</w:t>
            </w:r>
          </w:p>
          <w:p w14:paraId="242528AB"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lang w:eastAsia="en-AU"/>
              </w:rPr>
              <w:t>Pricing review (underway)</w:t>
            </w:r>
          </w:p>
          <w:p w14:paraId="4095F705" w14:textId="77777777" w:rsidR="00605F62" w:rsidRPr="00547994" w:rsidRDefault="00605F62" w:rsidP="005D523E">
            <w:pPr>
              <w:rPr>
                <w:rFonts w:ascii="Corbel" w:hAnsi="Corbel"/>
                <w:color w:val="4472C4" w:themeColor="accent1"/>
              </w:rPr>
            </w:pPr>
            <w:r w:rsidRPr="007A63A8">
              <w:rPr>
                <w:rFonts w:ascii="Corbel" w:hAnsi="Corbel"/>
                <w:color w:val="4472C4" w:themeColor="accent1"/>
              </w:rPr>
              <w:t xml:space="preserve">Future national </w:t>
            </w:r>
            <w:r w:rsidRPr="00547994">
              <w:rPr>
                <w:rFonts w:ascii="Corbel" w:hAnsi="Corbel"/>
                <w:color w:val="4472C4" w:themeColor="accent1"/>
              </w:rPr>
              <w:t>contribution</w:t>
            </w:r>
          </w:p>
          <w:p w14:paraId="54325EEB" w14:textId="4C462B12" w:rsidR="00605F62" w:rsidRPr="00547994" w:rsidRDefault="00605F62" w:rsidP="00605F62">
            <w:pPr>
              <w:pStyle w:val="ListParagraph"/>
              <w:numPr>
                <w:ilvl w:val="0"/>
                <w:numId w:val="35"/>
              </w:numPr>
              <w:rPr>
                <w:rFonts w:ascii="Corbel" w:eastAsia="Times New Roman" w:hAnsi="Corbel" w:cs="Times New Roman"/>
                <w:color w:val="4472C4" w:themeColor="accent1"/>
                <w:lang w:eastAsia="en-AU"/>
              </w:rPr>
            </w:pPr>
            <w:r w:rsidRPr="00547994">
              <w:rPr>
                <w:rFonts w:ascii="Corbel" w:eastAsia="Times New Roman" w:hAnsi="Corbel" w:cs="Times New Roman"/>
                <w:color w:val="4472C4" w:themeColor="accent1"/>
                <w:lang w:eastAsia="en-AU"/>
              </w:rPr>
              <w:t xml:space="preserve">Best practice dissemination through a central repository </w:t>
            </w:r>
            <w:r w:rsidR="00106BED" w:rsidRPr="00547994">
              <w:rPr>
                <w:rFonts w:ascii="Corbel" w:eastAsia="Times New Roman" w:hAnsi="Corbel" w:cs="Times New Roman"/>
                <w:color w:val="4472C4" w:themeColor="accent1"/>
                <w:lang w:eastAsia="en-AU"/>
              </w:rPr>
              <w:t xml:space="preserve">and national sharing arrangements </w:t>
            </w:r>
            <w:r w:rsidRPr="00547994">
              <w:rPr>
                <w:rFonts w:ascii="Corbel" w:eastAsia="Times New Roman" w:hAnsi="Corbel" w:cs="Times New Roman"/>
                <w:color w:val="4472C4" w:themeColor="accent1"/>
                <w:lang w:eastAsia="en-AU"/>
              </w:rPr>
              <w:t xml:space="preserve">to support continuous improvement </w:t>
            </w:r>
          </w:p>
          <w:p w14:paraId="08ECD9D1" w14:textId="77777777" w:rsidR="00605F62" w:rsidRPr="00810B07" w:rsidRDefault="00605F62" w:rsidP="00605F62">
            <w:pPr>
              <w:pStyle w:val="ListParagraph"/>
              <w:numPr>
                <w:ilvl w:val="0"/>
                <w:numId w:val="35"/>
              </w:numPr>
              <w:rPr>
                <w:rFonts w:ascii="Corbel" w:hAnsi="Corbel"/>
                <w:color w:val="4472C4" w:themeColor="accent1"/>
              </w:rPr>
            </w:pPr>
            <w:r w:rsidRPr="007A63A8">
              <w:rPr>
                <w:rFonts w:ascii="Corbel" w:eastAsia="Times New Roman" w:hAnsi="Corbel" w:cs="Times New Roman"/>
                <w:color w:val="4472C4" w:themeColor="accent1"/>
                <w:lang w:eastAsia="en-AU"/>
              </w:rPr>
              <w:t>Survey results</w:t>
            </w:r>
            <w:r w:rsidR="00106BED">
              <w:rPr>
                <w:rFonts w:ascii="Corbel" w:eastAsia="Times New Roman" w:hAnsi="Corbel" w:cs="Times New Roman"/>
                <w:color w:val="4472C4" w:themeColor="accent1"/>
                <w:lang w:eastAsia="en-AU"/>
              </w:rPr>
              <w:t xml:space="preserve"> and longitudinal analysis</w:t>
            </w:r>
            <w:r w:rsidRPr="007A63A8">
              <w:rPr>
                <w:rFonts w:ascii="Corbel" w:eastAsia="Times New Roman" w:hAnsi="Corbel" w:cs="Times New Roman"/>
                <w:color w:val="4472C4" w:themeColor="accent1"/>
                <w:lang w:eastAsia="en-AU"/>
              </w:rPr>
              <w:t xml:space="preserve"> may be shared</w:t>
            </w:r>
            <w:r w:rsidR="003A4A19">
              <w:rPr>
                <w:rFonts w:ascii="Corbel" w:eastAsia="Times New Roman" w:hAnsi="Corbel" w:cs="Times New Roman"/>
                <w:color w:val="4472C4" w:themeColor="accent1"/>
                <w:lang w:eastAsia="en-AU"/>
              </w:rPr>
              <w:t>.</w:t>
            </w:r>
          </w:p>
          <w:p w14:paraId="2B7050FD" w14:textId="7BFBD020" w:rsidR="003A4A19" w:rsidRPr="007A63A8" w:rsidRDefault="003A4A19" w:rsidP="00605F62">
            <w:pPr>
              <w:pStyle w:val="ListParagraph"/>
              <w:numPr>
                <w:ilvl w:val="0"/>
                <w:numId w:val="35"/>
              </w:numPr>
              <w:rPr>
                <w:rFonts w:ascii="Corbel" w:hAnsi="Corbel"/>
                <w:color w:val="4472C4" w:themeColor="accent1"/>
              </w:rPr>
            </w:pPr>
            <w:r w:rsidRPr="003A4A19">
              <w:rPr>
                <w:rFonts w:ascii="Corbel" w:hAnsi="Corbel"/>
                <w:color w:val="4472C4" w:themeColor="accent1"/>
              </w:rPr>
              <w:t>Enhanced insight sharing from Queensland initiatives will contribute to national evidence and potentially inform future federal policy development.</w:t>
            </w:r>
          </w:p>
        </w:tc>
      </w:tr>
      <w:tr w:rsidR="00605F62" w:rsidRPr="008F1196" w14:paraId="66CDEED7" w14:textId="77777777" w:rsidTr="3AF90611">
        <w:tc>
          <w:tcPr>
            <w:tcW w:w="2233" w:type="dxa"/>
          </w:tcPr>
          <w:p w14:paraId="379B0EA9" w14:textId="77777777"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Evaluation</w:t>
            </w:r>
          </w:p>
        </w:tc>
        <w:tc>
          <w:tcPr>
            <w:tcW w:w="7123" w:type="dxa"/>
            <w:gridSpan w:val="3"/>
            <w:vAlign w:val="bottom"/>
          </w:tcPr>
          <w:p w14:paraId="528E4568" w14:textId="773BA592"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 xml:space="preserve">Annual student </w:t>
            </w:r>
            <w:r w:rsidR="009A1CA3" w:rsidRPr="007A63A8">
              <w:rPr>
                <w:rFonts w:ascii="Corbel" w:eastAsia="Times New Roman" w:hAnsi="Corbel" w:cs="Times New Roman"/>
                <w:color w:val="4472C4" w:themeColor="accent1"/>
                <w:kern w:val="0"/>
                <w:lang w:eastAsia="en-AU"/>
                <w14:ligatures w14:val="none"/>
              </w:rPr>
              <w:t>experiences</w:t>
            </w:r>
            <w:r w:rsidRPr="007A63A8">
              <w:rPr>
                <w:rFonts w:ascii="Corbel" w:eastAsia="Times New Roman" w:hAnsi="Corbel" w:cs="Times New Roman"/>
                <w:color w:val="4472C4" w:themeColor="accent1"/>
                <w:kern w:val="0"/>
                <w:lang w:eastAsia="en-AU"/>
                <w14:ligatures w14:val="none"/>
              </w:rPr>
              <w:t xml:space="preserve"> report measuring effectiveness of surveys.</w:t>
            </w:r>
          </w:p>
          <w:p w14:paraId="370982B8"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Longitudinal tracking of VET graduates to assess employment outcomes.</w:t>
            </w:r>
          </w:p>
          <w:p w14:paraId="02E8A1D1" w14:textId="77777777" w:rsidR="00605F62" w:rsidRPr="007A63A8" w:rsidRDefault="00605F62" w:rsidP="00605F62">
            <w:pPr>
              <w:pStyle w:val="ListParagraph"/>
              <w:numPr>
                <w:ilvl w:val="0"/>
                <w:numId w:val="35"/>
              </w:numPr>
              <w:rPr>
                <w:rFonts w:ascii="Corbel" w:eastAsia="Times New Roman" w:hAnsi="Corbel" w:cs="Times New Roman"/>
                <w:color w:val="4472C4" w:themeColor="accent1"/>
                <w:kern w:val="0"/>
                <w:lang w:eastAsia="en-AU"/>
                <w14:ligatures w14:val="none"/>
              </w:rPr>
            </w:pPr>
            <w:r w:rsidRPr="007A63A8">
              <w:rPr>
                <w:rFonts w:ascii="Corbel" w:eastAsia="Times New Roman" w:hAnsi="Corbel" w:cs="Times New Roman"/>
                <w:color w:val="4472C4" w:themeColor="accent1"/>
                <w:kern w:val="0"/>
                <w:lang w:eastAsia="en-AU"/>
                <w14:ligatures w14:val="none"/>
              </w:rPr>
              <w:t>Pricing impact analysis to evaluate affordability and accessibility improvements.</w:t>
            </w:r>
          </w:p>
          <w:p w14:paraId="7A8D3AC6" w14:textId="77777777" w:rsidR="00605F62" w:rsidRPr="00810B07" w:rsidRDefault="00605F62" w:rsidP="00E13035">
            <w:pPr>
              <w:pStyle w:val="ListParagraph"/>
              <w:numPr>
                <w:ilvl w:val="0"/>
                <w:numId w:val="35"/>
              </w:numPr>
              <w:rPr>
                <w:rFonts w:ascii="Corbel" w:eastAsia="Times New Roman" w:hAnsi="Corbel" w:cs="Times New Roman"/>
                <w:color w:val="4472C4" w:themeColor="accent1"/>
                <w:lang w:eastAsia="en-AU"/>
              </w:rPr>
            </w:pPr>
            <w:r w:rsidRPr="007A63A8">
              <w:rPr>
                <w:rFonts w:ascii="Corbel" w:eastAsia="Times New Roman" w:hAnsi="Corbel" w:cs="Times New Roman"/>
                <w:color w:val="4472C4" w:themeColor="accent1"/>
                <w:kern w:val="0"/>
                <w:lang w:eastAsia="en-AU"/>
                <w14:ligatures w14:val="none"/>
              </w:rPr>
              <w:t>Best practice adoption rate across TAFE</w:t>
            </w:r>
            <w:r w:rsidR="00250C1A">
              <w:rPr>
                <w:rFonts w:ascii="Corbel" w:eastAsia="Times New Roman" w:hAnsi="Corbel" w:cs="Times New Roman"/>
                <w:color w:val="4472C4" w:themeColor="accent1"/>
                <w:kern w:val="0"/>
                <w:lang w:eastAsia="en-AU"/>
                <w14:ligatures w14:val="none"/>
              </w:rPr>
              <w:t xml:space="preserve">, </w:t>
            </w:r>
            <w:r w:rsidR="00097C4F">
              <w:rPr>
                <w:rFonts w:ascii="Corbel" w:eastAsia="Times New Roman" w:hAnsi="Corbel" w:cs="Times New Roman"/>
                <w:color w:val="4472C4" w:themeColor="accent1"/>
                <w:kern w:val="0"/>
                <w:lang w:eastAsia="en-AU"/>
                <w14:ligatures w14:val="none"/>
              </w:rPr>
              <w:t>SAS</w:t>
            </w:r>
            <w:r w:rsidRPr="007A63A8" w:rsidDel="00250C1A">
              <w:rPr>
                <w:rFonts w:ascii="Corbel" w:eastAsia="Times New Roman" w:hAnsi="Corbel" w:cs="Times New Roman"/>
                <w:color w:val="4472C4" w:themeColor="accent1"/>
                <w:kern w:val="0"/>
                <w:lang w:eastAsia="en-AU"/>
                <w14:ligatures w14:val="none"/>
              </w:rPr>
              <w:t xml:space="preserve"> </w:t>
            </w:r>
            <w:r w:rsidRPr="007A63A8">
              <w:rPr>
                <w:rFonts w:ascii="Corbel" w:eastAsia="Times New Roman" w:hAnsi="Corbel" w:cs="Times New Roman"/>
                <w:color w:val="4472C4" w:themeColor="accent1"/>
                <w:kern w:val="0"/>
                <w:lang w:eastAsia="en-AU"/>
                <w14:ligatures w14:val="none"/>
              </w:rPr>
              <w:t>and RTOs.</w:t>
            </w:r>
          </w:p>
          <w:p w14:paraId="293EBC63" w14:textId="4134BEE6" w:rsidR="002451AC" w:rsidRPr="007A63A8" w:rsidRDefault="002451AC" w:rsidP="00E13035">
            <w:pPr>
              <w:pStyle w:val="ListParagraph"/>
              <w:numPr>
                <w:ilvl w:val="0"/>
                <w:numId w:val="35"/>
              </w:numPr>
              <w:rPr>
                <w:rFonts w:ascii="Corbel" w:eastAsia="Times New Roman" w:hAnsi="Corbel" w:cs="Times New Roman"/>
                <w:color w:val="4472C4" w:themeColor="accent1"/>
                <w:lang w:eastAsia="en-AU"/>
              </w:rPr>
            </w:pPr>
            <w:r w:rsidRPr="002451AC">
              <w:rPr>
                <w:rFonts w:ascii="Corbel" w:eastAsia="Times New Roman" w:hAnsi="Corbel" w:cs="Times New Roman"/>
                <w:color w:val="4472C4" w:themeColor="accent1"/>
                <w:lang w:eastAsia="en-AU"/>
              </w:rPr>
              <w:t>Evaluation efforts will also measure the effectiveness of new initiatives funded through the Policy Initiative, to ensure they are driving measurable and sustained impact.</w:t>
            </w:r>
          </w:p>
        </w:tc>
      </w:tr>
      <w:tr w:rsidR="00605F62" w:rsidRPr="00155A95" w14:paraId="4DCE8E88" w14:textId="77777777" w:rsidTr="3AF90611">
        <w:tc>
          <w:tcPr>
            <w:tcW w:w="2233" w:type="dxa"/>
          </w:tcPr>
          <w:p w14:paraId="055095E3" w14:textId="5975A3E7"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KPIs</w:t>
            </w:r>
            <w:r w:rsidRPr="007A63A8">
              <w:rPr>
                <w:rFonts w:ascii="Corbel" w:hAnsi="Corbel"/>
                <w:b/>
                <w:bCs/>
                <w:color w:val="4472C4" w:themeColor="accent1"/>
              </w:rPr>
              <w:br/>
            </w:r>
          </w:p>
        </w:tc>
        <w:tc>
          <w:tcPr>
            <w:tcW w:w="7123" w:type="dxa"/>
            <w:gridSpan w:val="3"/>
            <w:vAlign w:val="bottom"/>
          </w:tcPr>
          <w:p w14:paraId="55E503C5" w14:textId="6BCA156F" w:rsidR="00605F62" w:rsidRPr="007A63A8" w:rsidRDefault="00C17607" w:rsidP="006B1F2E">
            <w:pPr>
              <w:rPr>
                <w:rFonts w:ascii="Corbel" w:hAnsi="Corbel"/>
                <w:color w:val="4472C4" w:themeColor="accent1"/>
              </w:rPr>
            </w:pPr>
            <w:r w:rsidRPr="00C17607">
              <w:rPr>
                <w:rFonts w:ascii="Corbel" w:hAnsi="Corbel"/>
                <w:color w:val="4472C4" w:themeColor="accent1"/>
                <w:lang w:eastAsia="en-US"/>
              </w:rPr>
              <w:t>Improvement in student-reported reasons for non-completion and completion outcomes</w:t>
            </w:r>
          </w:p>
        </w:tc>
      </w:tr>
      <w:tr w:rsidR="00605F62" w:rsidRPr="008F1196" w14:paraId="77C9DAE6" w14:textId="77777777" w:rsidTr="3AF90611">
        <w:tc>
          <w:tcPr>
            <w:tcW w:w="2233" w:type="dxa"/>
            <w:vAlign w:val="bottom"/>
          </w:tcPr>
          <w:p w14:paraId="083EDBD0" w14:textId="77777777" w:rsidR="00605F62" w:rsidRPr="007A63A8" w:rsidRDefault="00605F62" w:rsidP="005D523E">
            <w:pPr>
              <w:pStyle w:val="ListParagraph"/>
              <w:ind w:left="0"/>
              <w:contextualSpacing w:val="0"/>
              <w:rPr>
                <w:rFonts w:ascii="Corbel" w:hAnsi="Corbel"/>
                <w:b/>
                <w:bCs/>
                <w:color w:val="4472C4" w:themeColor="accent1"/>
              </w:rPr>
            </w:pPr>
            <w:r w:rsidRPr="007A63A8">
              <w:rPr>
                <w:rFonts w:ascii="Corbel" w:hAnsi="Corbel"/>
                <w:b/>
                <w:bCs/>
                <w:color w:val="4472C4" w:themeColor="accent1"/>
              </w:rPr>
              <w:t>Commonwealth Investment ($)</w:t>
            </w:r>
          </w:p>
        </w:tc>
        <w:tc>
          <w:tcPr>
            <w:tcW w:w="2378" w:type="dxa"/>
            <w:vAlign w:val="bottom"/>
          </w:tcPr>
          <w:p w14:paraId="6E837D52" w14:textId="77777777" w:rsidR="00605F62" w:rsidRPr="007A63A8" w:rsidRDefault="00605F62"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State Investment ($)</w:t>
            </w:r>
          </w:p>
        </w:tc>
        <w:tc>
          <w:tcPr>
            <w:tcW w:w="2367" w:type="dxa"/>
            <w:vAlign w:val="bottom"/>
          </w:tcPr>
          <w:p w14:paraId="456BACEC" w14:textId="77777777" w:rsidR="00605F62" w:rsidRPr="007A63A8" w:rsidRDefault="00605F62"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Start Date</w:t>
            </w:r>
          </w:p>
        </w:tc>
        <w:tc>
          <w:tcPr>
            <w:tcW w:w="2378" w:type="dxa"/>
            <w:vAlign w:val="bottom"/>
          </w:tcPr>
          <w:p w14:paraId="4ED5B692" w14:textId="77777777" w:rsidR="00605F62" w:rsidRPr="007A63A8" w:rsidRDefault="00605F62" w:rsidP="005D523E">
            <w:pPr>
              <w:pStyle w:val="ListParagraph"/>
              <w:spacing w:before="120" w:after="120"/>
              <w:ind w:left="0"/>
              <w:contextualSpacing w:val="0"/>
              <w:jc w:val="center"/>
              <w:rPr>
                <w:rFonts w:ascii="Corbel" w:hAnsi="Corbel"/>
                <w:b/>
                <w:bCs/>
                <w:color w:val="4472C4" w:themeColor="accent1"/>
              </w:rPr>
            </w:pPr>
            <w:r w:rsidRPr="007A63A8">
              <w:rPr>
                <w:rFonts w:ascii="Corbel" w:hAnsi="Corbel"/>
                <w:b/>
                <w:bCs/>
                <w:color w:val="4472C4" w:themeColor="accent1"/>
              </w:rPr>
              <w:t>Planned End Date</w:t>
            </w:r>
          </w:p>
        </w:tc>
      </w:tr>
      <w:tr w:rsidR="00FA5CAD" w:rsidRPr="008F1196" w14:paraId="2E8257FC" w14:textId="77777777" w:rsidTr="3AF90611">
        <w:tc>
          <w:tcPr>
            <w:tcW w:w="2233" w:type="dxa"/>
          </w:tcPr>
          <w:p w14:paraId="15DF9DEC" w14:textId="38EFC279" w:rsidR="00FA5CAD" w:rsidRPr="006B1F2E" w:rsidRDefault="518182F5" w:rsidP="107ED1C6">
            <w:pPr>
              <w:pStyle w:val="ListParagraph"/>
              <w:spacing w:before="120" w:after="120"/>
              <w:ind w:left="0"/>
              <w:rPr>
                <w:rFonts w:ascii="Corbel" w:hAnsi="Corbel"/>
                <w:color w:val="4472C4" w:themeColor="accent1"/>
              </w:rPr>
            </w:pPr>
            <w:r w:rsidRPr="3AF90611">
              <w:rPr>
                <w:rFonts w:ascii="Corbel" w:hAnsi="Corbel"/>
                <w:color w:val="4472C4" w:themeColor="accent1"/>
              </w:rPr>
              <w:t>$</w:t>
            </w:r>
            <w:r w:rsidR="6872FE1B" w:rsidRPr="3AF90611">
              <w:rPr>
                <w:rFonts w:ascii="Corbel" w:hAnsi="Corbel"/>
                <w:color w:val="4472C4" w:themeColor="accent1"/>
              </w:rPr>
              <w:t>8.79</w:t>
            </w:r>
            <w:r w:rsidR="00213686">
              <w:rPr>
                <w:rFonts w:ascii="Corbel" w:hAnsi="Corbel"/>
                <w:color w:val="4472C4" w:themeColor="accent1"/>
              </w:rPr>
              <w:t xml:space="preserve"> million</w:t>
            </w:r>
          </w:p>
        </w:tc>
        <w:tc>
          <w:tcPr>
            <w:tcW w:w="2378" w:type="dxa"/>
          </w:tcPr>
          <w:p w14:paraId="3EBA1DA8" w14:textId="61047D4A" w:rsidR="00FA5CAD" w:rsidRPr="006B1F2E" w:rsidRDefault="518182F5" w:rsidP="00FA5CAD">
            <w:pPr>
              <w:spacing w:before="120" w:after="120"/>
              <w:rPr>
                <w:rFonts w:ascii="Corbel" w:hAnsi="Corbel"/>
                <w:color w:val="4472C4" w:themeColor="accent1"/>
              </w:rPr>
            </w:pPr>
            <w:r w:rsidRPr="3AF90611">
              <w:rPr>
                <w:rFonts w:ascii="Corbel" w:hAnsi="Corbel"/>
                <w:color w:val="4472C4" w:themeColor="accent1"/>
              </w:rPr>
              <w:t>$</w:t>
            </w:r>
            <w:r w:rsidR="6872FE1B" w:rsidRPr="3AF90611">
              <w:rPr>
                <w:rFonts w:ascii="Corbel" w:hAnsi="Corbel"/>
                <w:color w:val="4472C4" w:themeColor="accent1"/>
              </w:rPr>
              <w:t>3.4</w:t>
            </w:r>
            <w:r w:rsidR="4DC42E88" w:rsidRPr="3AF90611">
              <w:rPr>
                <w:rFonts w:ascii="Corbel" w:hAnsi="Corbel"/>
                <w:color w:val="4472C4" w:themeColor="accent1"/>
              </w:rPr>
              <w:t>1</w:t>
            </w:r>
            <w:r w:rsidR="00213686">
              <w:rPr>
                <w:rFonts w:ascii="Corbel" w:hAnsi="Corbel"/>
                <w:color w:val="4472C4" w:themeColor="accent1"/>
              </w:rPr>
              <w:t xml:space="preserve"> </w:t>
            </w:r>
            <w:r w:rsidR="00BB3D2A">
              <w:rPr>
                <w:rFonts w:ascii="Corbel" w:hAnsi="Corbel"/>
                <w:color w:val="4472C4" w:themeColor="accent1"/>
              </w:rPr>
              <w:t>million</w:t>
            </w:r>
          </w:p>
        </w:tc>
        <w:tc>
          <w:tcPr>
            <w:tcW w:w="2367" w:type="dxa"/>
          </w:tcPr>
          <w:p w14:paraId="05109558" w14:textId="5CEC0AD7" w:rsidR="00FA5CAD" w:rsidRPr="007A63A8" w:rsidRDefault="00FA5CAD" w:rsidP="00FA5CAD">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January 2025</w:t>
            </w:r>
          </w:p>
        </w:tc>
        <w:tc>
          <w:tcPr>
            <w:tcW w:w="2378" w:type="dxa"/>
          </w:tcPr>
          <w:p w14:paraId="683E063E" w14:textId="5E66A790" w:rsidR="00FA5CAD" w:rsidRPr="007A63A8" w:rsidRDefault="00FA5CAD" w:rsidP="00FA5CAD">
            <w:pPr>
              <w:pStyle w:val="ListParagraph"/>
              <w:spacing w:before="120" w:after="120"/>
              <w:ind w:left="0"/>
              <w:contextualSpacing w:val="0"/>
              <w:rPr>
                <w:rFonts w:ascii="Corbel" w:hAnsi="Corbel"/>
                <w:color w:val="4472C4" w:themeColor="accent1"/>
              </w:rPr>
            </w:pPr>
            <w:r w:rsidRPr="007A63A8">
              <w:rPr>
                <w:rFonts w:ascii="Corbel" w:hAnsi="Corbel"/>
                <w:color w:val="4472C4" w:themeColor="accent1"/>
              </w:rPr>
              <w:t>December 2028</w:t>
            </w:r>
          </w:p>
        </w:tc>
      </w:tr>
    </w:tbl>
    <w:p w14:paraId="2630C956" w14:textId="77777777" w:rsidR="009C2911" w:rsidRPr="00D56365" w:rsidRDefault="009C2911" w:rsidP="009C2911">
      <w:pPr>
        <w:rPr>
          <w:rFonts w:ascii="Corbel" w:hAnsi="Corbel"/>
        </w:rPr>
      </w:pPr>
      <w:r>
        <w:rPr>
          <w:rFonts w:ascii="Corbel" w:hAnsi="Corbel"/>
        </w:rPr>
        <w:lastRenderedPageBreak/>
        <w:tab/>
      </w:r>
      <w:r>
        <w:rPr>
          <w:rFonts w:ascii="Corbel" w:hAnsi="Corbel"/>
        </w:rPr>
        <w:tab/>
      </w:r>
      <w:r>
        <w:rPr>
          <w:rFonts w:ascii="Corbel" w:hAnsi="Corbel"/>
        </w:rPr>
        <w:tab/>
      </w:r>
      <w:r>
        <w:rPr>
          <w:rFonts w:ascii="Corbel" w:hAnsi="Corbel"/>
        </w:rPr>
        <w:tab/>
      </w:r>
    </w:p>
    <w:p w14:paraId="38A8A3D0" w14:textId="77777777" w:rsidR="009C2911" w:rsidRPr="00D56365" w:rsidRDefault="009C2911" w:rsidP="009C2911">
      <w:pPr>
        <w:keepNext/>
        <w:spacing w:after="0"/>
        <w:outlineLvl w:val="2"/>
        <w:rPr>
          <w:rFonts w:ascii="Corbel" w:hAnsi="Corbel"/>
          <w:i/>
          <w:iCs/>
          <w:color w:val="4472C4" w:themeColor="accent1"/>
        </w:rPr>
      </w:pPr>
      <w:r w:rsidRPr="00D56365">
        <w:rPr>
          <w:rFonts w:ascii="Corbel" w:hAnsi="Corbel"/>
          <w:color w:val="000000" w:themeColor="text1"/>
        </w:rPr>
        <w:t xml:space="preserve">Improved completions </w:t>
      </w:r>
      <w:r w:rsidRPr="00D56365">
        <w:rPr>
          <w:rFonts w:ascii="Corbel" w:hAnsi="Corbel"/>
        </w:rPr>
        <w:t>- approach to matched funding arrangements (clause A144 refers</w:t>
      </w:r>
      <w:r>
        <w:rPr>
          <w:rFonts w:ascii="Corbel" w:hAnsi="Corbel"/>
        </w:rPr>
        <w:t xml:space="preserve">) </w:t>
      </w:r>
      <w:r w:rsidRPr="001A7A96">
        <w:rPr>
          <w:rFonts w:ascii="Corbel" w:hAnsi="Corbel"/>
        </w:rPr>
        <w:t>– to be reconciled over the life of the NSA.</w:t>
      </w:r>
    </w:p>
    <w:tbl>
      <w:tblPr>
        <w:tblStyle w:val="TableGrid1"/>
        <w:tblW w:w="5000" w:type="pct"/>
        <w:tblLook w:val="04A0" w:firstRow="1" w:lastRow="0" w:firstColumn="1" w:lastColumn="0" w:noHBand="0" w:noVBand="1"/>
      </w:tblPr>
      <w:tblGrid>
        <w:gridCol w:w="1340"/>
        <w:gridCol w:w="1129"/>
        <w:gridCol w:w="1289"/>
        <w:gridCol w:w="1316"/>
        <w:gridCol w:w="1301"/>
        <w:gridCol w:w="1317"/>
        <w:gridCol w:w="1324"/>
      </w:tblGrid>
      <w:tr w:rsidR="00FD61E5" w:rsidRPr="00D56365" w14:paraId="0889E0DE" w14:textId="77777777" w:rsidTr="3AF90611">
        <w:trPr>
          <w:trHeight w:val="726"/>
        </w:trPr>
        <w:tc>
          <w:tcPr>
            <w:tcW w:w="567" w:type="pct"/>
            <w:vAlign w:val="bottom"/>
          </w:tcPr>
          <w:p w14:paraId="38A1258D" w14:textId="77777777" w:rsidR="0054792E" w:rsidRPr="005E42FB" w:rsidRDefault="0054792E" w:rsidP="0072310D">
            <w:pPr>
              <w:rPr>
                <w:rFonts w:ascii="Corbel" w:eastAsia="Calibri" w:hAnsi="Corbel" w:cs="Calibri"/>
                <w:b/>
                <w:bCs/>
                <w:color w:val="000000" w:themeColor="text1"/>
              </w:rPr>
            </w:pPr>
            <w:r w:rsidRPr="005E42FB">
              <w:rPr>
                <w:rFonts w:ascii="Corbel" w:eastAsia="Calibri" w:hAnsi="Corbel" w:cs="Calibri"/>
                <w:b/>
                <w:bCs/>
                <w:color w:val="000000" w:themeColor="text1"/>
              </w:rPr>
              <w:t>Details of matched funding</w:t>
            </w:r>
          </w:p>
        </w:tc>
        <w:tc>
          <w:tcPr>
            <w:tcW w:w="639" w:type="pct"/>
            <w:vAlign w:val="center"/>
          </w:tcPr>
          <w:p w14:paraId="4EA4FC6B" w14:textId="77777777" w:rsidR="0054792E" w:rsidRPr="0097267C" w:rsidRDefault="0054792E" w:rsidP="00FD61E5">
            <w:pPr>
              <w:jc w:val="right"/>
              <w:rPr>
                <w:rFonts w:ascii="Corbel" w:hAnsi="Corbel"/>
                <w:color w:val="4472C4" w:themeColor="accent1"/>
              </w:rPr>
            </w:pPr>
            <w:r w:rsidRPr="0097267C">
              <w:rPr>
                <w:rFonts w:ascii="Corbel" w:hAnsi="Corbel"/>
                <w:color w:val="4472C4" w:themeColor="accent1"/>
              </w:rPr>
              <w:t>2024-25</w:t>
            </w:r>
          </w:p>
          <w:p w14:paraId="07F9DC19" w14:textId="00A1B72B" w:rsidR="00C40520" w:rsidRPr="0097267C" w:rsidRDefault="00C40520" w:rsidP="00FD61E5">
            <w:pPr>
              <w:jc w:val="right"/>
              <w:rPr>
                <w:rFonts w:ascii="Corbel" w:hAnsi="Corbel"/>
                <w:color w:val="4472C4" w:themeColor="accent1"/>
              </w:rPr>
            </w:pPr>
            <w:r w:rsidRPr="0097267C">
              <w:rPr>
                <w:rFonts w:ascii="Corbel" w:hAnsi="Corbel"/>
                <w:color w:val="4472C4" w:themeColor="accent1"/>
              </w:rPr>
              <w:t>$</w:t>
            </w:r>
          </w:p>
        </w:tc>
        <w:tc>
          <w:tcPr>
            <w:tcW w:w="761" w:type="pct"/>
            <w:vAlign w:val="center"/>
          </w:tcPr>
          <w:p w14:paraId="152F068F" w14:textId="77777777" w:rsidR="0054792E" w:rsidRPr="0097267C" w:rsidRDefault="0054792E" w:rsidP="00FD61E5">
            <w:pPr>
              <w:jc w:val="right"/>
              <w:rPr>
                <w:rFonts w:ascii="Corbel" w:hAnsi="Corbel"/>
                <w:color w:val="4472C4" w:themeColor="accent1"/>
              </w:rPr>
            </w:pPr>
            <w:r w:rsidRPr="0097267C">
              <w:rPr>
                <w:rFonts w:ascii="Corbel" w:hAnsi="Corbel"/>
                <w:color w:val="4472C4" w:themeColor="accent1"/>
              </w:rPr>
              <w:t>2025-26</w:t>
            </w:r>
          </w:p>
          <w:p w14:paraId="177D53C5" w14:textId="12907422" w:rsidR="00C40520" w:rsidRPr="0097267C" w:rsidRDefault="00C40520" w:rsidP="00FD61E5">
            <w:pPr>
              <w:jc w:val="right"/>
              <w:rPr>
                <w:rFonts w:ascii="Corbel" w:hAnsi="Corbel"/>
                <w:color w:val="4472C4" w:themeColor="accent1"/>
              </w:rPr>
            </w:pPr>
            <w:r w:rsidRPr="0097267C">
              <w:rPr>
                <w:rFonts w:ascii="Corbel" w:hAnsi="Corbel"/>
                <w:color w:val="4472C4" w:themeColor="accent1"/>
              </w:rPr>
              <w:t>$</w:t>
            </w:r>
          </w:p>
        </w:tc>
        <w:tc>
          <w:tcPr>
            <w:tcW w:w="759" w:type="pct"/>
            <w:vAlign w:val="center"/>
          </w:tcPr>
          <w:p w14:paraId="77584389" w14:textId="77777777" w:rsidR="0054792E" w:rsidRPr="0097267C" w:rsidRDefault="0054792E" w:rsidP="00FD61E5">
            <w:pPr>
              <w:jc w:val="right"/>
              <w:rPr>
                <w:rFonts w:ascii="Corbel" w:hAnsi="Corbel"/>
                <w:color w:val="4472C4" w:themeColor="accent1"/>
              </w:rPr>
            </w:pPr>
            <w:r w:rsidRPr="0097267C">
              <w:rPr>
                <w:rFonts w:ascii="Corbel" w:hAnsi="Corbel"/>
                <w:color w:val="4472C4" w:themeColor="accent1"/>
              </w:rPr>
              <w:t>2026-27</w:t>
            </w:r>
          </w:p>
          <w:p w14:paraId="3E03783F" w14:textId="02D70BF1" w:rsidR="00C40520" w:rsidRPr="0097267C" w:rsidRDefault="00C40520" w:rsidP="00FD61E5">
            <w:pPr>
              <w:jc w:val="right"/>
              <w:rPr>
                <w:rFonts w:ascii="Corbel" w:hAnsi="Corbel"/>
                <w:color w:val="4472C4" w:themeColor="accent1"/>
              </w:rPr>
            </w:pPr>
            <w:r w:rsidRPr="0097267C">
              <w:rPr>
                <w:rFonts w:ascii="Corbel" w:hAnsi="Corbel"/>
                <w:color w:val="4472C4" w:themeColor="accent1"/>
              </w:rPr>
              <w:t>$</w:t>
            </w:r>
          </w:p>
        </w:tc>
        <w:tc>
          <w:tcPr>
            <w:tcW w:w="751" w:type="pct"/>
            <w:vAlign w:val="center"/>
          </w:tcPr>
          <w:p w14:paraId="640BEB04" w14:textId="77777777" w:rsidR="0054792E" w:rsidRPr="0097267C" w:rsidRDefault="0054792E" w:rsidP="00FD61E5">
            <w:pPr>
              <w:jc w:val="right"/>
              <w:rPr>
                <w:rFonts w:ascii="Corbel" w:hAnsi="Corbel"/>
                <w:color w:val="4472C4" w:themeColor="accent1"/>
              </w:rPr>
            </w:pPr>
            <w:r w:rsidRPr="0097267C">
              <w:rPr>
                <w:rFonts w:ascii="Corbel" w:hAnsi="Corbel"/>
                <w:color w:val="4472C4" w:themeColor="accent1"/>
              </w:rPr>
              <w:t>2027-28</w:t>
            </w:r>
          </w:p>
          <w:p w14:paraId="2628CDE6" w14:textId="322B8C4F" w:rsidR="00C40520" w:rsidRPr="0097267C" w:rsidRDefault="00C40520" w:rsidP="00FD61E5">
            <w:pPr>
              <w:jc w:val="right"/>
              <w:rPr>
                <w:rFonts w:ascii="Corbel" w:hAnsi="Corbel"/>
                <w:color w:val="4472C4" w:themeColor="accent1"/>
              </w:rPr>
            </w:pPr>
            <w:r w:rsidRPr="0097267C">
              <w:rPr>
                <w:rFonts w:ascii="Corbel" w:hAnsi="Corbel"/>
                <w:color w:val="4472C4" w:themeColor="accent1"/>
              </w:rPr>
              <w:t>$</w:t>
            </w:r>
          </w:p>
        </w:tc>
        <w:tc>
          <w:tcPr>
            <w:tcW w:w="759" w:type="pct"/>
            <w:vAlign w:val="center"/>
          </w:tcPr>
          <w:p w14:paraId="538F2491" w14:textId="77777777" w:rsidR="0054792E" w:rsidRPr="0097267C" w:rsidRDefault="0054792E" w:rsidP="00FD61E5">
            <w:pPr>
              <w:jc w:val="right"/>
              <w:rPr>
                <w:rFonts w:ascii="Corbel" w:hAnsi="Corbel"/>
                <w:color w:val="4472C4" w:themeColor="accent1"/>
              </w:rPr>
            </w:pPr>
            <w:r w:rsidRPr="0097267C">
              <w:rPr>
                <w:rFonts w:ascii="Corbel" w:hAnsi="Corbel"/>
                <w:color w:val="4472C4" w:themeColor="accent1"/>
              </w:rPr>
              <w:t>2028-29</w:t>
            </w:r>
          </w:p>
          <w:p w14:paraId="066FAF33" w14:textId="21F79685" w:rsidR="00C40520" w:rsidRPr="0097267C" w:rsidRDefault="00C40520" w:rsidP="00FD61E5">
            <w:pPr>
              <w:jc w:val="right"/>
              <w:rPr>
                <w:rFonts w:ascii="Corbel" w:hAnsi="Corbel"/>
                <w:color w:val="4472C4" w:themeColor="accent1"/>
              </w:rPr>
            </w:pPr>
            <w:r w:rsidRPr="0097267C">
              <w:rPr>
                <w:rFonts w:ascii="Corbel" w:hAnsi="Corbel"/>
                <w:color w:val="4472C4" w:themeColor="accent1"/>
              </w:rPr>
              <w:t>$</w:t>
            </w:r>
          </w:p>
        </w:tc>
        <w:tc>
          <w:tcPr>
            <w:tcW w:w="763" w:type="pct"/>
            <w:vAlign w:val="center"/>
          </w:tcPr>
          <w:p w14:paraId="64DFBD06" w14:textId="77777777" w:rsidR="00C40520" w:rsidRPr="0097267C" w:rsidRDefault="0054792E" w:rsidP="00FD61E5">
            <w:pPr>
              <w:jc w:val="right"/>
              <w:rPr>
                <w:rFonts w:ascii="Corbel" w:hAnsi="Corbel"/>
                <w:color w:val="4472C4" w:themeColor="accent1"/>
              </w:rPr>
            </w:pPr>
            <w:r w:rsidRPr="0097267C">
              <w:rPr>
                <w:rFonts w:ascii="Corbel" w:hAnsi="Corbel"/>
                <w:color w:val="4472C4" w:themeColor="accent1"/>
              </w:rPr>
              <w:t>Total</w:t>
            </w:r>
          </w:p>
          <w:p w14:paraId="05A0E550" w14:textId="616B1A60" w:rsidR="0054792E" w:rsidRPr="0072310D" w:rsidRDefault="00C40520" w:rsidP="00FD61E5">
            <w:pPr>
              <w:jc w:val="right"/>
              <w:rPr>
                <w:rFonts w:ascii="Corbel" w:hAnsi="Corbel"/>
                <w:color w:val="4472C4" w:themeColor="accent1"/>
              </w:rPr>
            </w:pPr>
            <w:r w:rsidRPr="0097267C">
              <w:rPr>
                <w:rFonts w:ascii="Corbel" w:hAnsi="Corbel"/>
                <w:color w:val="4472C4" w:themeColor="accent1"/>
              </w:rPr>
              <w:t>$</w:t>
            </w:r>
          </w:p>
        </w:tc>
      </w:tr>
      <w:tr w:rsidR="00FD61E5" w:rsidRPr="00D56365" w14:paraId="30E3AC85" w14:textId="77777777" w:rsidTr="3AF90611">
        <w:trPr>
          <w:trHeight w:val="485"/>
        </w:trPr>
        <w:tc>
          <w:tcPr>
            <w:tcW w:w="567" w:type="pct"/>
          </w:tcPr>
          <w:p w14:paraId="6D15CB35" w14:textId="210ECC15" w:rsidR="00D514D2" w:rsidRPr="0072310D" w:rsidRDefault="00D514D2" w:rsidP="00D514D2">
            <w:pPr>
              <w:rPr>
                <w:rFonts w:ascii="Corbel" w:eastAsia="Calibri" w:hAnsi="Corbel" w:cs="Calibri"/>
                <w:color w:val="000000" w:themeColor="text1"/>
              </w:rPr>
            </w:pPr>
            <w:r w:rsidRPr="0072310D">
              <w:rPr>
                <w:rFonts w:ascii="Corbel" w:eastAsia="Calibri" w:hAnsi="Corbel" w:cs="Calibri"/>
                <w:color w:val="000000" w:themeColor="text1"/>
              </w:rPr>
              <w:t>Qld contribution</w:t>
            </w:r>
          </w:p>
        </w:tc>
        <w:tc>
          <w:tcPr>
            <w:tcW w:w="639" w:type="pct"/>
            <w:vAlign w:val="center"/>
          </w:tcPr>
          <w:p w14:paraId="3D3C641E" w14:textId="4B672BA9" w:rsidR="00D514D2" w:rsidRPr="0072310D" w:rsidRDefault="669AA762" w:rsidP="00FD61E5">
            <w:pPr>
              <w:jc w:val="right"/>
              <w:rPr>
                <w:rFonts w:ascii="Corbel" w:hAnsi="Corbel"/>
                <w:color w:val="4472C4" w:themeColor="accent1"/>
              </w:rPr>
            </w:pPr>
            <w:r w:rsidRPr="3AF90611">
              <w:rPr>
                <w:rFonts w:ascii="Corbel" w:hAnsi="Corbel"/>
                <w:color w:val="4472C4" w:themeColor="accent1"/>
              </w:rPr>
              <w:t>7,170,000</w:t>
            </w:r>
          </w:p>
        </w:tc>
        <w:tc>
          <w:tcPr>
            <w:tcW w:w="761" w:type="pct"/>
            <w:vAlign w:val="center"/>
          </w:tcPr>
          <w:p w14:paraId="50D99F8D" w14:textId="27530296" w:rsidR="00D514D2" w:rsidRPr="0072310D" w:rsidRDefault="5ED874E0" w:rsidP="00FD61E5">
            <w:pPr>
              <w:jc w:val="right"/>
              <w:rPr>
                <w:rFonts w:ascii="Corbel" w:hAnsi="Corbel"/>
                <w:color w:val="4472C4" w:themeColor="accent1"/>
              </w:rPr>
            </w:pPr>
            <w:r w:rsidRPr="3AF90611">
              <w:rPr>
                <w:rFonts w:ascii="Corbel" w:hAnsi="Corbel"/>
                <w:color w:val="4472C4" w:themeColor="accent1"/>
              </w:rPr>
              <w:t>17,020,000</w:t>
            </w:r>
          </w:p>
        </w:tc>
        <w:tc>
          <w:tcPr>
            <w:tcW w:w="759" w:type="pct"/>
            <w:vAlign w:val="center"/>
          </w:tcPr>
          <w:p w14:paraId="47CAB718" w14:textId="7CC0339D" w:rsidR="00D514D2" w:rsidRPr="0072310D" w:rsidRDefault="686DA326" w:rsidP="00FD61E5">
            <w:pPr>
              <w:jc w:val="right"/>
              <w:rPr>
                <w:rFonts w:ascii="Corbel" w:hAnsi="Corbel"/>
                <w:color w:val="4472C4" w:themeColor="accent1"/>
              </w:rPr>
            </w:pPr>
            <w:r w:rsidRPr="3AF90611">
              <w:rPr>
                <w:rFonts w:ascii="Corbel" w:hAnsi="Corbel"/>
                <w:color w:val="4472C4" w:themeColor="accent1"/>
              </w:rPr>
              <w:t>12,830,</w:t>
            </w:r>
            <w:r w:rsidR="021AD5F0" w:rsidRPr="3AF90611">
              <w:rPr>
                <w:rFonts w:ascii="Corbel" w:hAnsi="Corbel"/>
                <w:color w:val="4472C4" w:themeColor="accent1"/>
              </w:rPr>
              <w:t>000</w:t>
            </w:r>
          </w:p>
        </w:tc>
        <w:tc>
          <w:tcPr>
            <w:tcW w:w="751" w:type="pct"/>
            <w:vAlign w:val="center"/>
          </w:tcPr>
          <w:p w14:paraId="46DEE983" w14:textId="7572B286" w:rsidR="00D514D2" w:rsidRPr="0072310D" w:rsidRDefault="021AD5F0" w:rsidP="00FD61E5">
            <w:pPr>
              <w:jc w:val="right"/>
              <w:rPr>
                <w:rFonts w:ascii="Corbel" w:hAnsi="Corbel"/>
                <w:color w:val="4472C4" w:themeColor="accent1"/>
              </w:rPr>
            </w:pPr>
            <w:r w:rsidRPr="3AF90611">
              <w:rPr>
                <w:rFonts w:ascii="Corbel" w:hAnsi="Corbel"/>
                <w:color w:val="4472C4" w:themeColor="accent1"/>
              </w:rPr>
              <w:t>10,040,000</w:t>
            </w:r>
          </w:p>
        </w:tc>
        <w:tc>
          <w:tcPr>
            <w:tcW w:w="759" w:type="pct"/>
            <w:vAlign w:val="center"/>
          </w:tcPr>
          <w:p w14:paraId="70B11F9A" w14:textId="668969B5" w:rsidR="00D514D2" w:rsidRPr="0072310D" w:rsidRDefault="021AD5F0" w:rsidP="00FD61E5">
            <w:pPr>
              <w:jc w:val="right"/>
              <w:rPr>
                <w:rFonts w:ascii="Corbel" w:hAnsi="Corbel"/>
                <w:color w:val="4472C4" w:themeColor="accent1"/>
              </w:rPr>
            </w:pPr>
            <w:r w:rsidRPr="3AF90611">
              <w:rPr>
                <w:rFonts w:ascii="Corbel" w:hAnsi="Corbel"/>
                <w:color w:val="4472C4" w:themeColor="accent1"/>
              </w:rPr>
              <w:t>2,300,000</w:t>
            </w:r>
          </w:p>
        </w:tc>
        <w:tc>
          <w:tcPr>
            <w:tcW w:w="763" w:type="pct"/>
            <w:vAlign w:val="center"/>
          </w:tcPr>
          <w:p w14:paraId="56164F0E" w14:textId="5014CB4A" w:rsidR="00D514D2" w:rsidRPr="0072310D" w:rsidRDefault="021AD5F0" w:rsidP="00FD61E5">
            <w:pPr>
              <w:jc w:val="right"/>
              <w:rPr>
                <w:rFonts w:ascii="Corbel" w:hAnsi="Corbel"/>
                <w:b/>
                <w:bCs/>
                <w:color w:val="4472C4" w:themeColor="accent1"/>
              </w:rPr>
            </w:pPr>
            <w:r w:rsidRPr="3AF90611">
              <w:rPr>
                <w:rFonts w:ascii="Corbel" w:hAnsi="Corbel"/>
                <w:b/>
                <w:bCs/>
                <w:color w:val="4472C4" w:themeColor="accent1"/>
              </w:rPr>
              <w:t>49,360,000</w:t>
            </w:r>
          </w:p>
        </w:tc>
      </w:tr>
      <w:tr w:rsidR="00FD61E5" w:rsidRPr="00D56365" w14:paraId="185C88F3" w14:textId="77777777" w:rsidTr="3AF90611">
        <w:trPr>
          <w:trHeight w:val="485"/>
        </w:trPr>
        <w:tc>
          <w:tcPr>
            <w:tcW w:w="567" w:type="pct"/>
          </w:tcPr>
          <w:p w14:paraId="25E2D1FA" w14:textId="3A12220B" w:rsidR="001331AC" w:rsidRPr="0072310D" w:rsidRDefault="001331AC" w:rsidP="001331AC">
            <w:pPr>
              <w:rPr>
                <w:rFonts w:ascii="Corbel" w:eastAsia="Calibri" w:hAnsi="Corbel" w:cs="Calibri"/>
                <w:color w:val="000000" w:themeColor="text1"/>
              </w:rPr>
            </w:pPr>
            <w:proofErr w:type="spellStart"/>
            <w:r w:rsidRPr="0072310D">
              <w:rPr>
                <w:rFonts w:ascii="Corbel" w:eastAsia="Calibri" w:hAnsi="Corbel" w:cs="Calibri"/>
                <w:color w:val="000000" w:themeColor="text1"/>
              </w:rPr>
              <w:t>Cwth</w:t>
            </w:r>
            <w:proofErr w:type="spellEnd"/>
            <w:r w:rsidRPr="0072310D">
              <w:rPr>
                <w:rFonts w:ascii="Corbel" w:eastAsia="Calibri" w:hAnsi="Corbel" w:cs="Calibri"/>
                <w:color w:val="000000" w:themeColor="text1"/>
              </w:rPr>
              <w:t xml:space="preserve"> contribution</w:t>
            </w:r>
          </w:p>
        </w:tc>
        <w:tc>
          <w:tcPr>
            <w:tcW w:w="639" w:type="pct"/>
            <w:vAlign w:val="center"/>
          </w:tcPr>
          <w:p w14:paraId="115AEB80" w14:textId="78DBC404" w:rsidR="001331AC" w:rsidRPr="0072310D" w:rsidRDefault="2110866B" w:rsidP="00FD61E5">
            <w:pPr>
              <w:jc w:val="right"/>
              <w:rPr>
                <w:rFonts w:ascii="Corbel" w:hAnsi="Corbel"/>
                <w:color w:val="4472C4" w:themeColor="accent1"/>
              </w:rPr>
            </w:pPr>
            <w:r w:rsidRPr="3AF90611">
              <w:rPr>
                <w:rFonts w:ascii="Corbel" w:hAnsi="Corbel"/>
                <w:color w:val="4472C4" w:themeColor="accent1"/>
              </w:rPr>
              <w:t>0</w:t>
            </w:r>
          </w:p>
        </w:tc>
        <w:tc>
          <w:tcPr>
            <w:tcW w:w="761" w:type="pct"/>
            <w:vAlign w:val="center"/>
          </w:tcPr>
          <w:p w14:paraId="68094180" w14:textId="763FD2E6" w:rsidR="001331AC" w:rsidRPr="0072310D" w:rsidRDefault="4E7CDFE4" w:rsidP="00FD61E5">
            <w:pPr>
              <w:jc w:val="right"/>
              <w:rPr>
                <w:rFonts w:ascii="Corbel" w:hAnsi="Corbel"/>
                <w:color w:val="4472C4" w:themeColor="accent1"/>
              </w:rPr>
            </w:pPr>
            <w:r w:rsidRPr="3AF90611">
              <w:rPr>
                <w:rFonts w:ascii="Corbel" w:hAnsi="Corbel"/>
                <w:color w:val="4472C4" w:themeColor="accent1"/>
              </w:rPr>
              <w:t>7,920,000</w:t>
            </w:r>
          </w:p>
        </w:tc>
        <w:tc>
          <w:tcPr>
            <w:tcW w:w="759" w:type="pct"/>
            <w:vAlign w:val="center"/>
          </w:tcPr>
          <w:p w14:paraId="4622A796" w14:textId="16D006FA" w:rsidR="001331AC" w:rsidRPr="0072310D" w:rsidRDefault="4E7CDFE4" w:rsidP="00FD61E5">
            <w:pPr>
              <w:jc w:val="right"/>
              <w:rPr>
                <w:rFonts w:ascii="Corbel" w:hAnsi="Corbel"/>
                <w:color w:val="4472C4" w:themeColor="accent1"/>
              </w:rPr>
            </w:pPr>
            <w:r w:rsidRPr="3AF90611">
              <w:rPr>
                <w:rFonts w:ascii="Corbel" w:hAnsi="Corbel"/>
                <w:color w:val="4472C4" w:themeColor="accent1"/>
              </w:rPr>
              <w:t>15,960,000</w:t>
            </w:r>
          </w:p>
        </w:tc>
        <w:tc>
          <w:tcPr>
            <w:tcW w:w="751" w:type="pct"/>
            <w:vAlign w:val="center"/>
          </w:tcPr>
          <w:p w14:paraId="3A840866" w14:textId="0171EC52" w:rsidR="001331AC" w:rsidRPr="0072310D" w:rsidRDefault="4D68DA1B" w:rsidP="00FD61E5">
            <w:pPr>
              <w:jc w:val="right"/>
              <w:rPr>
                <w:rFonts w:ascii="Corbel" w:hAnsi="Corbel"/>
                <w:color w:val="4472C4" w:themeColor="accent1"/>
              </w:rPr>
            </w:pPr>
            <w:r w:rsidRPr="3AF90611">
              <w:rPr>
                <w:rFonts w:ascii="Corbel" w:hAnsi="Corbel"/>
                <w:color w:val="4472C4" w:themeColor="accent1"/>
              </w:rPr>
              <w:t>15,920,000</w:t>
            </w:r>
          </w:p>
        </w:tc>
        <w:tc>
          <w:tcPr>
            <w:tcW w:w="759" w:type="pct"/>
            <w:vAlign w:val="center"/>
          </w:tcPr>
          <w:p w14:paraId="764301E6" w14:textId="04ED2DC3" w:rsidR="001331AC" w:rsidRPr="0072310D" w:rsidRDefault="4D68DA1B" w:rsidP="00FD61E5">
            <w:pPr>
              <w:jc w:val="right"/>
              <w:rPr>
                <w:rFonts w:ascii="Corbel" w:hAnsi="Corbel"/>
                <w:color w:val="4472C4" w:themeColor="accent1"/>
              </w:rPr>
            </w:pPr>
            <w:r w:rsidRPr="3AF90611">
              <w:rPr>
                <w:rFonts w:ascii="Corbel" w:hAnsi="Corbel"/>
                <w:color w:val="4472C4" w:themeColor="accent1"/>
              </w:rPr>
              <w:t>9,560,000</w:t>
            </w:r>
          </w:p>
        </w:tc>
        <w:tc>
          <w:tcPr>
            <w:tcW w:w="763" w:type="pct"/>
            <w:vAlign w:val="center"/>
          </w:tcPr>
          <w:p w14:paraId="03ACD463" w14:textId="0D800DD0" w:rsidR="001331AC" w:rsidRPr="0072310D" w:rsidRDefault="4D68DA1B" w:rsidP="00FD61E5">
            <w:pPr>
              <w:jc w:val="right"/>
              <w:rPr>
                <w:rFonts w:ascii="Corbel" w:hAnsi="Corbel"/>
                <w:b/>
                <w:bCs/>
                <w:color w:val="4472C4" w:themeColor="accent1"/>
              </w:rPr>
            </w:pPr>
            <w:r w:rsidRPr="3AF90611">
              <w:rPr>
                <w:rFonts w:ascii="Corbel" w:hAnsi="Corbel"/>
                <w:b/>
                <w:bCs/>
                <w:color w:val="4472C4" w:themeColor="accent1"/>
              </w:rPr>
              <w:t>49,360,000</w:t>
            </w:r>
          </w:p>
        </w:tc>
      </w:tr>
      <w:tr w:rsidR="00FD61E5" w:rsidRPr="00D56365" w14:paraId="377B862E" w14:textId="77777777" w:rsidTr="3AF90611">
        <w:trPr>
          <w:trHeight w:val="234"/>
        </w:trPr>
        <w:tc>
          <w:tcPr>
            <w:tcW w:w="567" w:type="pct"/>
          </w:tcPr>
          <w:p w14:paraId="618DE135" w14:textId="58FACFA5" w:rsidR="00297465" w:rsidRPr="00C40520" w:rsidRDefault="00297465" w:rsidP="00297465">
            <w:pPr>
              <w:rPr>
                <w:rFonts w:ascii="Corbel" w:eastAsia="Calibri" w:hAnsi="Corbel" w:cs="Calibri"/>
                <w:color w:val="000000" w:themeColor="text1"/>
              </w:rPr>
            </w:pPr>
            <w:r>
              <w:rPr>
                <w:rFonts w:ascii="Corbel" w:eastAsia="Calibri" w:hAnsi="Corbel" w:cs="Calibri"/>
                <w:color w:val="000000" w:themeColor="text1"/>
              </w:rPr>
              <w:t>Total</w:t>
            </w:r>
          </w:p>
        </w:tc>
        <w:tc>
          <w:tcPr>
            <w:tcW w:w="639" w:type="pct"/>
            <w:vAlign w:val="center"/>
          </w:tcPr>
          <w:p w14:paraId="1B05A11F" w14:textId="6BCAC89A" w:rsidR="00297465" w:rsidRPr="0072310D" w:rsidRDefault="4D68DA1B" w:rsidP="00FD61E5">
            <w:pPr>
              <w:jc w:val="right"/>
              <w:rPr>
                <w:rFonts w:ascii="Corbel" w:hAnsi="Corbel"/>
                <w:b/>
                <w:bCs/>
                <w:color w:val="4472C4" w:themeColor="accent1"/>
              </w:rPr>
            </w:pPr>
            <w:r w:rsidRPr="3AF90611">
              <w:rPr>
                <w:rFonts w:ascii="Corbel" w:hAnsi="Corbel"/>
                <w:b/>
                <w:bCs/>
                <w:color w:val="4472C4" w:themeColor="accent1"/>
              </w:rPr>
              <w:t>7</w:t>
            </w:r>
            <w:r w:rsidR="3AA628DA" w:rsidRPr="3AF90611">
              <w:rPr>
                <w:rFonts w:ascii="Corbel" w:hAnsi="Corbel"/>
                <w:b/>
                <w:bCs/>
                <w:color w:val="4472C4" w:themeColor="accent1"/>
              </w:rPr>
              <w:t>,170,000</w:t>
            </w:r>
          </w:p>
        </w:tc>
        <w:tc>
          <w:tcPr>
            <w:tcW w:w="761" w:type="pct"/>
            <w:vAlign w:val="center"/>
          </w:tcPr>
          <w:p w14:paraId="4202E732" w14:textId="5295FA2D" w:rsidR="00297465" w:rsidRPr="0072310D" w:rsidRDefault="6D802AF6" w:rsidP="00FD61E5">
            <w:pPr>
              <w:jc w:val="right"/>
              <w:rPr>
                <w:rFonts w:ascii="Corbel" w:hAnsi="Corbel"/>
                <w:b/>
                <w:bCs/>
                <w:color w:val="4472C4" w:themeColor="accent1"/>
              </w:rPr>
            </w:pPr>
            <w:r w:rsidRPr="3AF90611">
              <w:rPr>
                <w:rFonts w:ascii="Corbel" w:hAnsi="Corbel"/>
                <w:b/>
                <w:bCs/>
                <w:color w:val="4472C4" w:themeColor="accent1"/>
              </w:rPr>
              <w:t>24,940,000</w:t>
            </w:r>
          </w:p>
        </w:tc>
        <w:tc>
          <w:tcPr>
            <w:tcW w:w="759" w:type="pct"/>
            <w:vAlign w:val="center"/>
          </w:tcPr>
          <w:p w14:paraId="046C4734" w14:textId="076F680A" w:rsidR="00297465" w:rsidRPr="0072310D" w:rsidRDefault="6D802AF6" w:rsidP="00FD61E5">
            <w:pPr>
              <w:jc w:val="right"/>
              <w:rPr>
                <w:rFonts w:ascii="Corbel" w:hAnsi="Corbel"/>
                <w:b/>
                <w:bCs/>
                <w:color w:val="4472C4" w:themeColor="accent1"/>
              </w:rPr>
            </w:pPr>
            <w:r w:rsidRPr="3AF90611">
              <w:rPr>
                <w:rFonts w:ascii="Corbel" w:hAnsi="Corbel"/>
                <w:b/>
                <w:bCs/>
                <w:color w:val="4472C4" w:themeColor="accent1"/>
              </w:rPr>
              <w:t>28,790</w:t>
            </w:r>
            <w:r w:rsidR="60079979" w:rsidRPr="3AF90611">
              <w:rPr>
                <w:rFonts w:ascii="Corbel" w:hAnsi="Corbel"/>
                <w:b/>
                <w:bCs/>
                <w:color w:val="4472C4" w:themeColor="accent1"/>
              </w:rPr>
              <w:t>,000</w:t>
            </w:r>
          </w:p>
        </w:tc>
        <w:tc>
          <w:tcPr>
            <w:tcW w:w="751" w:type="pct"/>
            <w:vAlign w:val="center"/>
          </w:tcPr>
          <w:p w14:paraId="48F447CB" w14:textId="7CC5FFD9" w:rsidR="00297465" w:rsidRPr="0072310D" w:rsidRDefault="60079979" w:rsidP="00FD61E5">
            <w:pPr>
              <w:jc w:val="right"/>
              <w:rPr>
                <w:rFonts w:ascii="Corbel" w:hAnsi="Corbel"/>
                <w:b/>
                <w:bCs/>
                <w:color w:val="4472C4" w:themeColor="accent1"/>
              </w:rPr>
            </w:pPr>
            <w:r w:rsidRPr="3AF90611">
              <w:rPr>
                <w:rFonts w:ascii="Corbel" w:hAnsi="Corbel"/>
                <w:b/>
                <w:bCs/>
                <w:color w:val="4472C4" w:themeColor="accent1"/>
              </w:rPr>
              <w:t>25,960,000</w:t>
            </w:r>
          </w:p>
        </w:tc>
        <w:tc>
          <w:tcPr>
            <w:tcW w:w="759" w:type="pct"/>
            <w:vAlign w:val="center"/>
          </w:tcPr>
          <w:p w14:paraId="5E730F89" w14:textId="54B362AD" w:rsidR="00297465" w:rsidRPr="0072310D" w:rsidRDefault="60079979" w:rsidP="00FD61E5">
            <w:pPr>
              <w:jc w:val="right"/>
              <w:rPr>
                <w:rFonts w:ascii="Corbel" w:hAnsi="Corbel"/>
                <w:b/>
                <w:bCs/>
                <w:color w:val="4472C4" w:themeColor="accent1"/>
              </w:rPr>
            </w:pPr>
            <w:r w:rsidRPr="3AF90611">
              <w:rPr>
                <w:rFonts w:ascii="Corbel" w:hAnsi="Corbel"/>
                <w:b/>
                <w:bCs/>
                <w:color w:val="4472C4" w:themeColor="accent1"/>
              </w:rPr>
              <w:t>11,860,000</w:t>
            </w:r>
          </w:p>
        </w:tc>
        <w:tc>
          <w:tcPr>
            <w:tcW w:w="763" w:type="pct"/>
            <w:vAlign w:val="center"/>
          </w:tcPr>
          <w:p w14:paraId="7F27DDF9" w14:textId="3859AE20" w:rsidR="00297465" w:rsidRPr="0072310D" w:rsidRDefault="26EE57B7" w:rsidP="00FD61E5">
            <w:pPr>
              <w:jc w:val="right"/>
              <w:rPr>
                <w:rFonts w:ascii="Corbel" w:hAnsi="Corbel"/>
                <w:b/>
                <w:bCs/>
                <w:color w:val="4472C4" w:themeColor="accent1"/>
              </w:rPr>
            </w:pPr>
            <w:r w:rsidRPr="3AF90611">
              <w:rPr>
                <w:rFonts w:ascii="Corbel" w:hAnsi="Corbel"/>
                <w:b/>
                <w:bCs/>
                <w:color w:val="4472C4" w:themeColor="accent1"/>
              </w:rPr>
              <w:t>98,720,000</w:t>
            </w:r>
          </w:p>
        </w:tc>
      </w:tr>
    </w:tbl>
    <w:p w14:paraId="7BAAAF54" w14:textId="25D9A7A6" w:rsidR="009416BF" w:rsidRDefault="009416BF" w:rsidP="3AF90611">
      <w:pPr>
        <w:keepNext/>
        <w:spacing w:after="0" w:line="240" w:lineRule="auto"/>
        <w:rPr>
          <w:rFonts w:ascii="Corbel" w:hAnsi="Corbel"/>
        </w:rPr>
      </w:pPr>
    </w:p>
    <w:p w14:paraId="0CF13C73" w14:textId="47009040" w:rsidR="009561B1" w:rsidRPr="0072310D" w:rsidRDefault="009561B1" w:rsidP="009561B1">
      <w:pPr>
        <w:keepNext/>
        <w:spacing w:after="0"/>
        <w:outlineLvl w:val="2"/>
        <w:rPr>
          <w:rFonts w:ascii="Corbel" w:hAnsi="Corbel"/>
        </w:rPr>
      </w:pPr>
      <w:r w:rsidRPr="0072310D">
        <w:rPr>
          <w:rFonts w:ascii="Corbel" w:hAnsi="Corbel"/>
        </w:rPr>
        <w:t>The Queensland Government will provide details of its matched funding contributions at the end of each financial year, commencing 1 July 2025 until 31 December 2028. Final payments under this implementation plan may be reduced where the total contribution by the Queensland Government over the life of the project does not align with the Commonwealth contribution.</w:t>
      </w:r>
    </w:p>
    <w:p w14:paraId="07916BEC" w14:textId="77777777" w:rsidR="00747406" w:rsidRDefault="00747406" w:rsidP="009C2911">
      <w:pPr>
        <w:keepNext/>
        <w:spacing w:after="0"/>
        <w:outlineLvl w:val="2"/>
        <w:rPr>
          <w:rFonts w:ascii="Corbel" w:hAnsi="Corbel"/>
          <w:b/>
          <w:bCs/>
        </w:rPr>
      </w:pPr>
    </w:p>
    <w:p w14:paraId="199D7032" w14:textId="4FB8036A" w:rsidR="00083559" w:rsidRDefault="00083559" w:rsidP="0049201F">
      <w:pPr>
        <w:pStyle w:val="ListParagraph"/>
        <w:spacing w:after="0" w:line="240" w:lineRule="auto"/>
        <w:ind w:left="0"/>
        <w:contextualSpacing w:val="0"/>
        <w:rPr>
          <w:rFonts w:ascii="Corbel" w:hAnsi="Corbel"/>
          <w:color w:val="4472C4" w:themeColor="accent1"/>
        </w:rPr>
      </w:pPr>
      <w:r w:rsidRPr="0072310D">
        <w:rPr>
          <w:rFonts w:ascii="Corbel" w:hAnsi="Corbel"/>
          <w:color w:val="4472C4" w:themeColor="accent1"/>
        </w:rPr>
        <w:t xml:space="preserve">The funding source for the $49.36 million matched component from the Queensland state government is: </w:t>
      </w:r>
    </w:p>
    <w:p w14:paraId="078A9C6D" w14:textId="1053531E" w:rsidR="00CA4264" w:rsidRPr="0072310D" w:rsidRDefault="00CA4264" w:rsidP="0072310D">
      <w:pPr>
        <w:pStyle w:val="ListParagraph"/>
        <w:numPr>
          <w:ilvl w:val="0"/>
          <w:numId w:val="51"/>
        </w:numPr>
        <w:spacing w:after="0" w:line="240" w:lineRule="auto"/>
        <w:contextualSpacing w:val="0"/>
        <w:rPr>
          <w:rFonts w:ascii="Corbel" w:hAnsi="Corbel"/>
          <w:color w:val="4472C4" w:themeColor="accent1"/>
        </w:rPr>
      </w:pPr>
      <w:r w:rsidRPr="00544DC5">
        <w:rPr>
          <w:rFonts w:ascii="Corbel" w:hAnsi="Corbel"/>
          <w:color w:val="4472C4" w:themeColor="accent1"/>
        </w:rPr>
        <w:t xml:space="preserve">$21 </w:t>
      </w:r>
      <w:r w:rsidR="00581D36">
        <w:rPr>
          <w:rFonts w:ascii="Corbel" w:hAnsi="Corbel"/>
          <w:color w:val="4472C4" w:themeColor="accent1"/>
        </w:rPr>
        <w:t>m</w:t>
      </w:r>
      <w:r w:rsidRPr="00544DC5">
        <w:rPr>
          <w:rFonts w:ascii="Corbel" w:hAnsi="Corbel"/>
          <w:color w:val="4472C4" w:themeColor="accent1"/>
        </w:rPr>
        <w:t>illion</w:t>
      </w:r>
      <w:r w:rsidR="00581D36">
        <w:rPr>
          <w:rFonts w:ascii="Corbel" w:hAnsi="Corbel"/>
          <w:color w:val="4472C4" w:themeColor="accent1"/>
        </w:rPr>
        <w:t xml:space="preserve"> </w:t>
      </w:r>
      <w:r>
        <w:rPr>
          <w:rFonts w:ascii="Corbel" w:hAnsi="Corbel"/>
          <w:color w:val="4472C4" w:themeColor="accent1"/>
        </w:rPr>
        <w:t>new appropriation a</w:t>
      </w:r>
      <w:r w:rsidRPr="00EC0A2C">
        <w:rPr>
          <w:rFonts w:ascii="Corbel" w:hAnsi="Corbel"/>
          <w:color w:val="4472C4" w:themeColor="accent1"/>
        </w:rPr>
        <w:t>llocated as part of Queensland Government 2024-25 Mid-Year Fiscal and Economic Review.</w:t>
      </w:r>
    </w:p>
    <w:p w14:paraId="47E5ED07" w14:textId="17E9ECF3" w:rsidR="00083559" w:rsidRPr="0072310D" w:rsidRDefault="00CA4264" w:rsidP="0072310D">
      <w:pPr>
        <w:pStyle w:val="ListParagraph"/>
        <w:numPr>
          <w:ilvl w:val="0"/>
          <w:numId w:val="51"/>
        </w:numPr>
        <w:spacing w:after="0" w:line="240" w:lineRule="auto"/>
        <w:contextualSpacing w:val="0"/>
        <w:rPr>
          <w:rFonts w:ascii="Corbel" w:hAnsi="Corbel"/>
          <w:b/>
          <w:bCs/>
          <w:color w:val="4472C4" w:themeColor="accent1"/>
        </w:rPr>
      </w:pPr>
      <w:r w:rsidRPr="00684F52">
        <w:rPr>
          <w:rFonts w:ascii="Corbel" w:hAnsi="Corbel"/>
          <w:color w:val="4472C4" w:themeColor="accent1"/>
        </w:rPr>
        <w:t xml:space="preserve">$26.28 </w:t>
      </w:r>
      <w:r w:rsidR="00581D36">
        <w:rPr>
          <w:rFonts w:ascii="Corbel" w:hAnsi="Corbel"/>
          <w:color w:val="4472C4" w:themeColor="accent1"/>
        </w:rPr>
        <w:t>m</w:t>
      </w:r>
      <w:r w:rsidRPr="00684F52">
        <w:rPr>
          <w:rFonts w:ascii="Corbel" w:hAnsi="Corbel"/>
          <w:color w:val="4472C4" w:themeColor="accent1"/>
        </w:rPr>
        <w:t>illion</w:t>
      </w:r>
      <w:r>
        <w:rPr>
          <w:rFonts w:ascii="Corbel" w:hAnsi="Corbel"/>
          <w:color w:val="4472C4" w:themeColor="accent1"/>
        </w:rPr>
        <w:t xml:space="preserve"> reprioritised in the VET investment budget to </w:t>
      </w:r>
      <w:r w:rsidRPr="00D41324">
        <w:rPr>
          <w:rFonts w:ascii="Corbel" w:hAnsi="Corbel"/>
          <w:color w:val="4472C4" w:themeColor="accent1"/>
        </w:rPr>
        <w:t>deliver NSA completions policy initiative actions as outlined in Queensland’s annual Training Priorities Plan.</w:t>
      </w:r>
    </w:p>
    <w:p w14:paraId="21603319" w14:textId="4B13D5F3" w:rsidR="00652C7A" w:rsidRPr="0072310D" w:rsidRDefault="00652C7A" w:rsidP="0072310D">
      <w:pPr>
        <w:pStyle w:val="ListParagraph"/>
        <w:numPr>
          <w:ilvl w:val="0"/>
          <w:numId w:val="51"/>
        </w:numPr>
        <w:spacing w:after="0" w:line="240" w:lineRule="auto"/>
        <w:contextualSpacing w:val="0"/>
        <w:rPr>
          <w:rFonts w:ascii="Corbel" w:hAnsi="Corbel"/>
          <w:color w:val="4472C4" w:themeColor="accent1"/>
        </w:rPr>
      </w:pPr>
      <w:r w:rsidRPr="0072310D">
        <w:rPr>
          <w:rFonts w:ascii="Corbel" w:hAnsi="Corbel"/>
          <w:color w:val="4472C4" w:themeColor="accent1"/>
        </w:rPr>
        <w:t>$2.08 million in committed</w:t>
      </w:r>
      <w:r w:rsidR="00FD7156" w:rsidRPr="00177054">
        <w:rPr>
          <w:rFonts w:ascii="Corbel" w:hAnsi="Corbel"/>
          <w:color w:val="4472C4" w:themeColor="accent1"/>
        </w:rPr>
        <w:t xml:space="preserve"> funding</w:t>
      </w:r>
      <w:r w:rsidRPr="0072310D">
        <w:rPr>
          <w:rFonts w:ascii="Corbel" w:hAnsi="Corbel"/>
          <w:color w:val="4472C4" w:themeColor="accent1"/>
        </w:rPr>
        <w:t xml:space="preserve"> for round 1 of the Set for Success Grant program in 2024-25.  </w:t>
      </w:r>
    </w:p>
    <w:p w14:paraId="3FDE3D8F" w14:textId="77777777" w:rsidR="00747406" w:rsidRDefault="00747406" w:rsidP="009C2911">
      <w:pPr>
        <w:keepNext/>
        <w:spacing w:after="0"/>
        <w:outlineLvl w:val="2"/>
        <w:rPr>
          <w:rFonts w:ascii="Corbel" w:hAnsi="Corbel"/>
          <w:b/>
          <w:bCs/>
        </w:rPr>
      </w:pPr>
    </w:p>
    <w:p w14:paraId="1F193356" w14:textId="4BEC5EF4" w:rsidR="009C2911" w:rsidRDefault="009C2911" w:rsidP="009C2911">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9C2911" w14:paraId="4821D9FB" w14:textId="77777777" w:rsidTr="00106DFF">
        <w:tc>
          <w:tcPr>
            <w:tcW w:w="9016" w:type="dxa"/>
          </w:tcPr>
          <w:p w14:paraId="391D1DCA" w14:textId="189F023E" w:rsidR="00EB16EB" w:rsidRPr="003A4B1D" w:rsidRDefault="00EB16EB" w:rsidP="00EB16EB">
            <w:pPr>
              <w:rPr>
                <w:rFonts w:ascii="Corbel" w:hAnsi="Corbel"/>
                <w:b/>
                <w:bCs/>
                <w:color w:val="4472C4" w:themeColor="accent1"/>
                <w:lang w:eastAsia="en-US"/>
              </w:rPr>
            </w:pPr>
            <w:r w:rsidRPr="003A4B1D">
              <w:rPr>
                <w:rFonts w:ascii="Corbel" w:hAnsi="Corbel"/>
                <w:b/>
                <w:bCs/>
                <w:color w:val="4472C4" w:themeColor="accent1"/>
                <w:lang w:eastAsia="en-US"/>
              </w:rPr>
              <w:t xml:space="preserve">Focus area </w:t>
            </w:r>
            <w:r>
              <w:rPr>
                <w:rFonts w:ascii="Corbel" w:hAnsi="Corbel"/>
                <w:b/>
                <w:bCs/>
                <w:color w:val="4472C4" w:themeColor="accent1"/>
                <w:lang w:eastAsia="en-US"/>
              </w:rPr>
              <w:t>1</w:t>
            </w:r>
            <w:r w:rsidRPr="003A4B1D">
              <w:rPr>
                <w:rFonts w:ascii="Corbel" w:hAnsi="Corbel"/>
                <w:b/>
                <w:bCs/>
                <w:color w:val="4472C4" w:themeColor="accent1"/>
                <w:lang w:eastAsia="en-US"/>
              </w:rPr>
              <w:t>:</w:t>
            </w:r>
          </w:p>
          <w:p w14:paraId="48CC1ECE" w14:textId="77777777" w:rsidR="005E33CA" w:rsidRPr="00696FF4" w:rsidRDefault="005E33CA" w:rsidP="005E33CA">
            <w:pPr>
              <w:rPr>
                <w:rFonts w:ascii="Corbel" w:hAnsi="Corbel"/>
                <w:color w:val="4472C4" w:themeColor="accent1"/>
                <w:lang w:eastAsia="en-US"/>
              </w:rPr>
            </w:pPr>
            <w:r w:rsidRPr="00696FF4">
              <w:rPr>
                <w:rFonts w:ascii="Corbel" w:hAnsi="Corbel"/>
                <w:color w:val="4472C4" w:themeColor="accent1"/>
                <w:lang w:eastAsia="en-US"/>
              </w:rPr>
              <w:t>KPI: Increase in student awareness and perception of VET pathways</w:t>
            </w:r>
          </w:p>
          <w:p w14:paraId="59C6971B" w14:textId="77777777" w:rsidR="005E33CA" w:rsidRPr="00696FF4" w:rsidRDefault="005E33CA" w:rsidP="005E33CA">
            <w:pPr>
              <w:numPr>
                <w:ilvl w:val="0"/>
                <w:numId w:val="43"/>
              </w:numPr>
              <w:rPr>
                <w:rFonts w:ascii="Corbel" w:hAnsi="Corbel"/>
                <w:color w:val="4472C4" w:themeColor="accent1"/>
                <w:lang w:eastAsia="en-US"/>
              </w:rPr>
            </w:pPr>
            <w:r w:rsidRPr="00696FF4">
              <w:rPr>
                <w:rFonts w:ascii="Corbel" w:hAnsi="Corbel"/>
                <w:color w:val="4472C4" w:themeColor="accent1"/>
                <w:lang w:eastAsia="en-US"/>
              </w:rPr>
              <w:t>Description: Measures awareness and attitudes towards VET training, career pathways, and funded opportunities.</w:t>
            </w:r>
          </w:p>
          <w:p w14:paraId="329FD195" w14:textId="04DC081C" w:rsidR="005E33CA" w:rsidRPr="00696FF4" w:rsidRDefault="005E33CA" w:rsidP="005E33CA">
            <w:pPr>
              <w:numPr>
                <w:ilvl w:val="0"/>
                <w:numId w:val="43"/>
              </w:numPr>
              <w:rPr>
                <w:rFonts w:ascii="Corbel" w:hAnsi="Corbel"/>
                <w:color w:val="4472C4" w:themeColor="accent1"/>
                <w:lang w:eastAsia="en-US"/>
              </w:rPr>
            </w:pPr>
            <w:r w:rsidRPr="00696FF4">
              <w:rPr>
                <w:rFonts w:ascii="Corbel" w:hAnsi="Corbel"/>
                <w:color w:val="4472C4" w:themeColor="accent1"/>
                <w:lang w:eastAsia="en-US"/>
              </w:rPr>
              <w:t>Source of Data: NCVER National Student Outcomes Survey &amp; Queensland student surveys</w:t>
            </w:r>
          </w:p>
          <w:p w14:paraId="0E8EC401" w14:textId="7F4760C5" w:rsidR="005E33CA" w:rsidRDefault="005E33CA" w:rsidP="00F91198">
            <w:pPr>
              <w:rPr>
                <w:rFonts w:ascii="Corbel" w:hAnsi="Corbel"/>
                <w:color w:val="4472C4" w:themeColor="accent1"/>
                <w:lang w:eastAsia="en-US"/>
              </w:rPr>
            </w:pPr>
            <w:r w:rsidRPr="00696FF4">
              <w:rPr>
                <w:rFonts w:ascii="Corbel" w:hAnsi="Corbel"/>
                <w:color w:val="4472C4" w:themeColor="accent1"/>
                <w:lang w:eastAsia="en-US"/>
              </w:rPr>
              <w:t>Current Benchmark: 36.5% of students indicated they were aware of government-funded training before enrolling (NCVER 2024</w:t>
            </w:r>
            <w:r w:rsidRPr="006C3C1F">
              <w:rPr>
                <w:rFonts w:ascii="Corbel" w:hAnsi="Corbel"/>
                <w:color w:val="4472C4" w:themeColor="accent1"/>
                <w:lang w:eastAsia="en-US"/>
              </w:rPr>
              <w:t xml:space="preserve">) </w:t>
            </w:r>
          </w:p>
          <w:p w14:paraId="2B7513C3" w14:textId="77777777" w:rsidR="003A4B1D" w:rsidRDefault="003A4B1D" w:rsidP="00F91198">
            <w:pPr>
              <w:rPr>
                <w:rFonts w:ascii="Corbel" w:hAnsi="Corbel"/>
                <w:b/>
                <w:bCs/>
                <w:color w:val="4472C4" w:themeColor="accent1"/>
                <w:lang w:eastAsia="en-US"/>
              </w:rPr>
            </w:pPr>
          </w:p>
          <w:p w14:paraId="505D2DFD" w14:textId="11DB771B" w:rsidR="005E33CA" w:rsidRPr="003A4B1D" w:rsidRDefault="005E33CA" w:rsidP="00F91198">
            <w:pPr>
              <w:rPr>
                <w:rFonts w:ascii="Corbel" w:hAnsi="Corbel"/>
                <w:b/>
                <w:color w:val="4472C4" w:themeColor="accent1"/>
                <w:lang w:eastAsia="en-US"/>
              </w:rPr>
            </w:pPr>
            <w:r w:rsidRPr="003A4B1D">
              <w:rPr>
                <w:rFonts w:ascii="Corbel" w:hAnsi="Corbel"/>
                <w:b/>
                <w:color w:val="4472C4" w:themeColor="accent1"/>
                <w:lang w:eastAsia="en-US"/>
              </w:rPr>
              <w:t>Focus area 2:</w:t>
            </w:r>
          </w:p>
          <w:p w14:paraId="0DE837B3" w14:textId="7D6B4703" w:rsidR="005E33CA" w:rsidRPr="00A03900" w:rsidRDefault="005E33CA" w:rsidP="005E33CA">
            <w:pPr>
              <w:rPr>
                <w:rFonts w:ascii="Corbel" w:eastAsia="Times New Roman" w:hAnsi="Corbel" w:cs="Times New Roman"/>
                <w:color w:val="4472C4" w:themeColor="accent1"/>
                <w:lang w:eastAsia="en-AU"/>
              </w:rPr>
            </w:pPr>
            <w:r w:rsidRPr="00A03900">
              <w:rPr>
                <w:rFonts w:ascii="Corbel" w:eastAsia="Times New Roman" w:hAnsi="Corbel" w:cs="Times New Roman"/>
                <w:color w:val="4472C4" w:themeColor="accent1"/>
                <w:lang w:eastAsia="en-AU"/>
              </w:rPr>
              <w:t xml:space="preserve">KPI: </w:t>
            </w:r>
            <w:r w:rsidR="00F44CD6">
              <w:rPr>
                <w:rFonts w:ascii="Corbel" w:eastAsia="Times New Roman" w:hAnsi="Corbel" w:cs="Times New Roman"/>
                <w:color w:val="4472C4" w:themeColor="accent1"/>
                <w:lang w:eastAsia="en-AU"/>
              </w:rPr>
              <w:t>Increase</w:t>
            </w:r>
            <w:r w:rsidR="00F44CD6" w:rsidRPr="00A03900">
              <w:rPr>
                <w:rFonts w:ascii="Corbel" w:eastAsia="Times New Roman" w:hAnsi="Corbel" w:cs="Times New Roman"/>
                <w:color w:val="4472C4" w:themeColor="accent1"/>
                <w:lang w:eastAsia="en-AU"/>
              </w:rPr>
              <w:t xml:space="preserve"> </w:t>
            </w:r>
            <w:r w:rsidRPr="00A03900">
              <w:rPr>
                <w:rFonts w:ascii="Corbel" w:eastAsia="Times New Roman" w:hAnsi="Corbel" w:cs="Times New Roman"/>
                <w:color w:val="4472C4" w:themeColor="accent1"/>
                <w:lang w:eastAsia="en-AU"/>
              </w:rPr>
              <w:t>in completion rates among priority cohorts (apprentices, disadvantaged students, out-of-trade apprentices)</w:t>
            </w:r>
          </w:p>
          <w:p w14:paraId="20AD760B" w14:textId="77777777" w:rsidR="005E33CA" w:rsidRPr="00A03900" w:rsidRDefault="005E33CA" w:rsidP="005E33CA">
            <w:pPr>
              <w:numPr>
                <w:ilvl w:val="0"/>
                <w:numId w:val="44"/>
              </w:numPr>
              <w:rPr>
                <w:rFonts w:ascii="Corbel" w:eastAsia="Times New Roman" w:hAnsi="Corbel" w:cs="Times New Roman"/>
                <w:color w:val="4472C4" w:themeColor="accent1"/>
                <w:lang w:eastAsia="en-AU"/>
              </w:rPr>
            </w:pPr>
            <w:r w:rsidRPr="00A03900">
              <w:rPr>
                <w:rFonts w:ascii="Corbel" w:eastAsia="Times New Roman" w:hAnsi="Corbel" w:cs="Times New Roman"/>
                <w:color w:val="4472C4" w:themeColor="accent1"/>
                <w:lang w:eastAsia="en-AU"/>
              </w:rPr>
              <w:t>Description: Tracks retention and completion rates for at-risk student groups benefiting from targeted support.</w:t>
            </w:r>
          </w:p>
          <w:p w14:paraId="39963753" w14:textId="5EC4A2F1" w:rsidR="005E33CA" w:rsidRPr="00A03900" w:rsidRDefault="005E33CA" w:rsidP="005E33CA">
            <w:pPr>
              <w:numPr>
                <w:ilvl w:val="0"/>
                <w:numId w:val="44"/>
              </w:numPr>
              <w:rPr>
                <w:rFonts w:ascii="Corbel" w:eastAsia="Times New Roman" w:hAnsi="Corbel" w:cs="Times New Roman"/>
                <w:color w:val="4472C4" w:themeColor="accent1"/>
                <w:lang w:eastAsia="en-AU"/>
              </w:rPr>
            </w:pPr>
            <w:r w:rsidRPr="00A03900">
              <w:rPr>
                <w:rFonts w:ascii="Corbel" w:eastAsia="Times New Roman" w:hAnsi="Corbel" w:cs="Times New Roman"/>
                <w:color w:val="4472C4" w:themeColor="accent1"/>
                <w:lang w:eastAsia="en-AU"/>
              </w:rPr>
              <w:t xml:space="preserve">Source of Data: Queensland </w:t>
            </w:r>
            <w:r>
              <w:rPr>
                <w:rFonts w:ascii="Corbel" w:eastAsia="Times New Roman" w:hAnsi="Corbel" w:cs="Times New Roman"/>
                <w:color w:val="4472C4" w:themeColor="accent1"/>
                <w:lang w:eastAsia="en-AU"/>
              </w:rPr>
              <w:t xml:space="preserve">program level student outcomes tracking </w:t>
            </w:r>
            <w:r w:rsidR="00424E66">
              <w:rPr>
                <w:rFonts w:ascii="Corbel" w:eastAsia="Times New Roman" w:hAnsi="Corbel" w:cs="Times New Roman"/>
                <w:color w:val="4472C4" w:themeColor="accent1"/>
                <w:lang w:eastAsia="en-AU"/>
              </w:rPr>
              <w:t>(</w:t>
            </w:r>
            <w:r>
              <w:rPr>
                <w:rFonts w:ascii="Corbel" w:eastAsia="Times New Roman" w:hAnsi="Corbel" w:cs="Times New Roman"/>
                <w:color w:val="4472C4" w:themeColor="accent1"/>
                <w:lang w:eastAsia="en-AU"/>
              </w:rPr>
              <w:t>primary data</w:t>
            </w:r>
            <w:r w:rsidR="00424E66">
              <w:rPr>
                <w:rFonts w:ascii="Corbel" w:eastAsia="Times New Roman" w:hAnsi="Corbel" w:cs="Times New Roman"/>
                <w:color w:val="4472C4" w:themeColor="accent1"/>
                <w:lang w:eastAsia="en-AU"/>
              </w:rPr>
              <w:t xml:space="preserve"> collection)</w:t>
            </w:r>
            <w:r>
              <w:rPr>
                <w:rFonts w:ascii="Corbel" w:eastAsia="Times New Roman" w:hAnsi="Corbel" w:cs="Times New Roman"/>
                <w:color w:val="4472C4" w:themeColor="accent1"/>
                <w:lang w:eastAsia="en-AU"/>
              </w:rPr>
              <w:t>.</w:t>
            </w:r>
          </w:p>
          <w:p w14:paraId="52D52EE3" w14:textId="77777777" w:rsidR="005E33CA" w:rsidRPr="00B152BB" w:rsidRDefault="005E33CA" w:rsidP="005E33CA">
            <w:pPr>
              <w:numPr>
                <w:ilvl w:val="0"/>
                <w:numId w:val="44"/>
              </w:numPr>
              <w:rPr>
                <w:rFonts w:ascii="Corbel" w:eastAsia="Times New Roman" w:hAnsi="Corbel" w:cs="Times New Roman"/>
                <w:color w:val="4472C4" w:themeColor="accent1"/>
                <w:lang w:eastAsia="en-AU"/>
              </w:rPr>
            </w:pPr>
            <w:r w:rsidRPr="00A03900">
              <w:rPr>
                <w:rFonts w:ascii="Corbel" w:eastAsia="Times New Roman" w:hAnsi="Corbel" w:cs="Times New Roman"/>
                <w:color w:val="4472C4" w:themeColor="accent1"/>
                <w:lang w:eastAsia="en-AU"/>
              </w:rPr>
              <w:t xml:space="preserve">Current Benchmark: </w:t>
            </w:r>
            <w:r w:rsidRPr="00B152BB">
              <w:rPr>
                <w:rFonts w:ascii="Corbel" w:eastAsia="Times New Roman" w:hAnsi="Corbel" w:cs="Times New Roman"/>
                <w:color w:val="4472C4" w:themeColor="accent1"/>
                <w:lang w:eastAsia="en-AU"/>
              </w:rPr>
              <w:t>Queensland Data (TBC): Baseline to be established from first survey cycle.</w:t>
            </w:r>
          </w:p>
          <w:p w14:paraId="57E1FBE1" w14:textId="77777777" w:rsidR="00D143C8" w:rsidRDefault="00D143C8" w:rsidP="00F91198">
            <w:pPr>
              <w:rPr>
                <w:rFonts w:ascii="Corbel" w:hAnsi="Corbel"/>
                <w:b/>
                <w:color w:val="4472C4" w:themeColor="accent1"/>
                <w:lang w:eastAsia="en-US"/>
              </w:rPr>
            </w:pPr>
          </w:p>
          <w:p w14:paraId="5DFD01AA" w14:textId="33657FBB" w:rsidR="005E33CA" w:rsidRPr="003A4B1D" w:rsidRDefault="005E33CA" w:rsidP="00F91198">
            <w:pPr>
              <w:rPr>
                <w:rFonts w:ascii="Corbel" w:hAnsi="Corbel"/>
                <w:b/>
                <w:color w:val="4472C4" w:themeColor="accent1"/>
                <w:lang w:eastAsia="en-US"/>
              </w:rPr>
            </w:pPr>
            <w:r w:rsidRPr="003A4B1D">
              <w:rPr>
                <w:rFonts w:ascii="Corbel" w:hAnsi="Corbel"/>
                <w:b/>
                <w:color w:val="4472C4" w:themeColor="accent1"/>
                <w:lang w:eastAsia="en-US"/>
              </w:rPr>
              <w:t>Focus area 3</w:t>
            </w:r>
          </w:p>
          <w:p w14:paraId="3292DC46" w14:textId="15808CDC" w:rsidR="00F91198" w:rsidRPr="00C17607" w:rsidRDefault="00F91198" w:rsidP="00F91198">
            <w:pPr>
              <w:rPr>
                <w:rFonts w:ascii="Corbel" w:hAnsi="Corbel"/>
                <w:color w:val="4472C4" w:themeColor="accent1"/>
                <w:lang w:eastAsia="en-US"/>
              </w:rPr>
            </w:pPr>
            <w:r w:rsidRPr="00C17607">
              <w:rPr>
                <w:rFonts w:ascii="Corbel" w:hAnsi="Corbel"/>
                <w:color w:val="4472C4" w:themeColor="accent1"/>
                <w:lang w:eastAsia="en-US"/>
              </w:rPr>
              <w:t>KPI: Improvement in student-reported reasons for non-completion and completion outcomes</w:t>
            </w:r>
          </w:p>
          <w:p w14:paraId="4719419F" w14:textId="77777777" w:rsidR="00F91198" w:rsidRPr="00C17607" w:rsidRDefault="00F91198" w:rsidP="00F91198">
            <w:pPr>
              <w:numPr>
                <w:ilvl w:val="0"/>
                <w:numId w:val="45"/>
              </w:numPr>
              <w:rPr>
                <w:rFonts w:ascii="Corbel" w:hAnsi="Corbel"/>
                <w:color w:val="4472C4" w:themeColor="accent1"/>
                <w:lang w:eastAsia="en-US"/>
              </w:rPr>
            </w:pPr>
            <w:r w:rsidRPr="00C17607">
              <w:rPr>
                <w:rFonts w:ascii="Corbel" w:hAnsi="Corbel"/>
                <w:color w:val="4472C4" w:themeColor="accent1"/>
                <w:lang w:eastAsia="en-US"/>
              </w:rPr>
              <w:t>Description: Measures student-reported barriers to completion and post-training outcomes, ensuring student feedback informs system improvements.</w:t>
            </w:r>
          </w:p>
          <w:p w14:paraId="2EF74296" w14:textId="77777777" w:rsidR="00F91198" w:rsidRPr="00C17607" w:rsidRDefault="00F91198" w:rsidP="00F91198">
            <w:pPr>
              <w:numPr>
                <w:ilvl w:val="0"/>
                <w:numId w:val="45"/>
              </w:numPr>
              <w:rPr>
                <w:rFonts w:ascii="Corbel" w:hAnsi="Corbel"/>
                <w:color w:val="4472C4" w:themeColor="accent1"/>
                <w:lang w:eastAsia="en-US"/>
              </w:rPr>
            </w:pPr>
            <w:r w:rsidRPr="00C17607">
              <w:rPr>
                <w:rFonts w:ascii="Corbel" w:hAnsi="Corbel"/>
                <w:color w:val="4472C4" w:themeColor="accent1"/>
                <w:lang w:eastAsia="en-US"/>
              </w:rPr>
              <w:lastRenderedPageBreak/>
              <w:t>Source of Data:</w:t>
            </w:r>
          </w:p>
          <w:p w14:paraId="5EC23574" w14:textId="77777777" w:rsidR="00F91198" w:rsidRPr="00C17607" w:rsidRDefault="00F91198" w:rsidP="00F91198">
            <w:pPr>
              <w:numPr>
                <w:ilvl w:val="1"/>
                <w:numId w:val="45"/>
              </w:numPr>
              <w:rPr>
                <w:rFonts w:ascii="Corbel" w:hAnsi="Corbel"/>
                <w:color w:val="4472C4" w:themeColor="accent1"/>
                <w:lang w:eastAsia="en-US"/>
              </w:rPr>
            </w:pPr>
            <w:r w:rsidRPr="00C17607">
              <w:rPr>
                <w:rFonts w:ascii="Corbel" w:hAnsi="Corbel"/>
                <w:color w:val="4472C4" w:themeColor="accent1"/>
                <w:lang w:eastAsia="en-US"/>
              </w:rPr>
              <w:t>NCVER National Student Outcomes Survey (captures reasons for discontinuation, student satisfaction, and training impact).</w:t>
            </w:r>
          </w:p>
          <w:p w14:paraId="5B898F7C" w14:textId="77777777" w:rsidR="00F91198" w:rsidRPr="00C17607" w:rsidRDefault="00F91198" w:rsidP="00F91198">
            <w:pPr>
              <w:numPr>
                <w:ilvl w:val="1"/>
                <w:numId w:val="45"/>
              </w:numPr>
              <w:rPr>
                <w:rFonts w:ascii="Corbel" w:hAnsi="Corbel"/>
                <w:color w:val="4472C4" w:themeColor="accent1"/>
                <w:lang w:eastAsia="en-US"/>
              </w:rPr>
            </w:pPr>
            <w:r w:rsidRPr="00C17607">
              <w:rPr>
                <w:rFonts w:ascii="Corbel" w:hAnsi="Corbel"/>
                <w:color w:val="4472C4" w:themeColor="accent1"/>
                <w:lang w:eastAsia="en-US"/>
              </w:rPr>
              <w:t>Queensland Student Outcomes Survey (provides detailed local insights into student experiences and completion outcomes).</w:t>
            </w:r>
          </w:p>
          <w:p w14:paraId="47527AE9" w14:textId="77777777" w:rsidR="00F91198" w:rsidRPr="00C17607" w:rsidRDefault="00F91198" w:rsidP="00F91198">
            <w:pPr>
              <w:numPr>
                <w:ilvl w:val="0"/>
                <w:numId w:val="45"/>
              </w:numPr>
              <w:rPr>
                <w:rFonts w:ascii="Corbel" w:hAnsi="Corbel"/>
                <w:color w:val="4472C4" w:themeColor="accent1"/>
                <w:lang w:eastAsia="en-US"/>
              </w:rPr>
            </w:pPr>
            <w:r w:rsidRPr="00C17607">
              <w:rPr>
                <w:rFonts w:ascii="Corbel" w:hAnsi="Corbel"/>
                <w:color w:val="4472C4" w:themeColor="accent1"/>
                <w:lang w:eastAsia="en-US"/>
              </w:rPr>
              <w:t>Current Benchmark:</w:t>
            </w:r>
          </w:p>
          <w:p w14:paraId="424227F1" w14:textId="77777777" w:rsidR="00F91198" w:rsidRPr="00C17607" w:rsidRDefault="00F91198" w:rsidP="00F91198">
            <w:pPr>
              <w:numPr>
                <w:ilvl w:val="1"/>
                <w:numId w:val="45"/>
              </w:numPr>
              <w:rPr>
                <w:rFonts w:ascii="Corbel" w:hAnsi="Corbel"/>
                <w:color w:val="4472C4" w:themeColor="accent1"/>
                <w:lang w:eastAsia="en-US"/>
              </w:rPr>
            </w:pPr>
            <w:r w:rsidRPr="00C17607">
              <w:rPr>
                <w:rFonts w:ascii="Corbel" w:hAnsi="Corbel"/>
                <w:color w:val="4472C4" w:themeColor="accent1"/>
                <w:lang w:eastAsia="en-US"/>
              </w:rPr>
              <w:t>NCVER 2023: 29.8% of VET students discontinued due to training-related issues (e.g., course content, quality, or delivery format).</w:t>
            </w:r>
          </w:p>
          <w:p w14:paraId="25339D2F" w14:textId="09DCA1F0" w:rsidR="009C2911" w:rsidRPr="00B105E8" w:rsidRDefault="00F91198" w:rsidP="0072310D">
            <w:pPr>
              <w:numPr>
                <w:ilvl w:val="1"/>
                <w:numId w:val="45"/>
              </w:numPr>
              <w:rPr>
                <w:rFonts w:ascii="Corbel" w:hAnsi="Corbel"/>
                <w:color w:val="4472C4" w:themeColor="accent1"/>
              </w:rPr>
            </w:pPr>
            <w:r w:rsidRPr="00C17607">
              <w:rPr>
                <w:rFonts w:ascii="Corbel" w:hAnsi="Corbel"/>
                <w:color w:val="4472C4" w:themeColor="accent1"/>
                <w:lang w:eastAsia="en-US"/>
              </w:rPr>
              <w:t>Queensland Data (TBC): Baseline to be established from first survey cycle.</w:t>
            </w:r>
          </w:p>
        </w:tc>
      </w:tr>
    </w:tbl>
    <w:p w14:paraId="55B45E14" w14:textId="77777777" w:rsidR="009C2911" w:rsidRPr="00D3272C" w:rsidRDefault="009C2911" w:rsidP="009C2911">
      <w:pPr>
        <w:spacing w:after="0" w:line="240" w:lineRule="auto"/>
        <w:rPr>
          <w:rFonts w:ascii="Corbel" w:hAnsi="Corbel"/>
        </w:rPr>
      </w:pPr>
    </w:p>
    <w:p w14:paraId="038A14B0" w14:textId="77777777" w:rsidR="009C2911" w:rsidRPr="00397F36" w:rsidRDefault="009C2911" w:rsidP="009C2911">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9C2911" w:rsidRPr="00D56365" w14:paraId="7773BB02" w14:textId="77777777" w:rsidTr="00106DFF">
        <w:tc>
          <w:tcPr>
            <w:tcW w:w="9016" w:type="dxa"/>
          </w:tcPr>
          <w:p w14:paraId="711756AE" w14:textId="77777777" w:rsidR="007C00BE" w:rsidRPr="007A63A8" w:rsidRDefault="007C00BE" w:rsidP="007C00BE">
            <w:pPr>
              <w:rPr>
                <w:rFonts w:ascii="Corbel" w:hAnsi="Corbel"/>
                <w:b/>
                <w:bCs/>
                <w:color w:val="4472C4" w:themeColor="accent1"/>
              </w:rPr>
            </w:pPr>
            <w:r w:rsidRPr="007A63A8">
              <w:rPr>
                <w:rFonts w:ascii="Corbel" w:hAnsi="Corbel"/>
                <w:b/>
                <w:bCs/>
                <w:color w:val="4472C4" w:themeColor="accent1"/>
              </w:rPr>
              <w:t>Methodology</w:t>
            </w:r>
          </w:p>
          <w:p w14:paraId="085E73C6" w14:textId="77777777" w:rsidR="00335037" w:rsidRPr="007A63A8" w:rsidRDefault="00335037" w:rsidP="007C00BE">
            <w:pPr>
              <w:rPr>
                <w:rFonts w:ascii="Corbel" w:hAnsi="Corbel"/>
                <w:b/>
                <w:bCs/>
                <w:color w:val="4472C4" w:themeColor="accent1"/>
              </w:rPr>
            </w:pPr>
          </w:p>
          <w:p w14:paraId="276552C4" w14:textId="33819DE7" w:rsidR="007C00BE" w:rsidRPr="007A63A8" w:rsidRDefault="007C00BE" w:rsidP="007C00BE">
            <w:pPr>
              <w:rPr>
                <w:rFonts w:ascii="Corbel" w:hAnsi="Corbel"/>
                <w:color w:val="4472C4" w:themeColor="accent1"/>
              </w:rPr>
            </w:pPr>
            <w:r w:rsidRPr="007A63A8">
              <w:rPr>
                <w:rFonts w:ascii="Corbel" w:hAnsi="Corbel"/>
                <w:color w:val="4472C4" w:themeColor="accent1"/>
              </w:rPr>
              <w:t xml:space="preserve">While Tables 1–3 outline the evaluation mechanisms for each Focus Area, funding from this proposal and other Strategic Policy Initiative (SPI) proposals will also contribute to a broader evaluation of all Bilateral Implementation Plans under the </w:t>
            </w:r>
            <w:r w:rsidR="00590963" w:rsidRPr="007A63A8">
              <w:rPr>
                <w:rFonts w:ascii="Corbel" w:hAnsi="Corbel"/>
                <w:color w:val="4472C4" w:themeColor="accent1"/>
              </w:rPr>
              <w:t>NSA</w:t>
            </w:r>
            <w:r w:rsidRPr="007A63A8">
              <w:rPr>
                <w:rFonts w:ascii="Corbel" w:hAnsi="Corbel"/>
                <w:color w:val="4472C4" w:themeColor="accent1"/>
              </w:rPr>
              <w:t>. This overarching evaluation will</w:t>
            </w:r>
            <w:r w:rsidR="00DC1DCE" w:rsidRPr="007A63A8">
              <w:rPr>
                <w:rFonts w:ascii="Corbel" w:hAnsi="Corbel"/>
                <w:color w:val="4472C4" w:themeColor="accent1"/>
              </w:rPr>
              <w:t xml:space="preserve"> engage an evaluator to</w:t>
            </w:r>
            <w:r w:rsidRPr="007A63A8">
              <w:rPr>
                <w:rFonts w:ascii="Corbel" w:hAnsi="Corbel"/>
                <w:color w:val="4472C4" w:themeColor="accent1"/>
              </w:rPr>
              <w:t xml:space="preserve"> assess the initiative’s Effectiveness, Efficiency, and Appropriateness, ensuring insights inform continuous improvements and best practices across the national VET landscape.</w:t>
            </w:r>
          </w:p>
          <w:p w14:paraId="0D195530" w14:textId="77777777" w:rsidR="007D7ECC" w:rsidRPr="007A63A8" w:rsidRDefault="007D7ECC" w:rsidP="007C00BE">
            <w:pPr>
              <w:rPr>
                <w:rFonts w:ascii="Corbel" w:hAnsi="Corbel"/>
                <w:color w:val="4472C4" w:themeColor="accent1"/>
              </w:rPr>
            </w:pPr>
          </w:p>
          <w:p w14:paraId="7524DEEC" w14:textId="28562D6C" w:rsidR="007C00BE" w:rsidRPr="007A63A8" w:rsidRDefault="007C00BE" w:rsidP="007C00BE">
            <w:pPr>
              <w:rPr>
                <w:rFonts w:ascii="Corbel" w:hAnsi="Corbel"/>
                <w:color w:val="4472C4" w:themeColor="accent1"/>
              </w:rPr>
            </w:pPr>
            <w:r w:rsidRPr="007A63A8">
              <w:rPr>
                <w:rFonts w:ascii="Corbel" w:hAnsi="Corbel"/>
                <w:color w:val="4472C4" w:themeColor="accent1"/>
              </w:rPr>
              <w:t>By embedding a state-wide assessment framework, this initiative will contribute to a robust evidence base that supports long-term policy and program refinements, informing future funding agreements and driving sustainable improvements in VET completion rates.</w:t>
            </w:r>
          </w:p>
          <w:p w14:paraId="10242E56" w14:textId="77777777" w:rsidR="0093216A" w:rsidRPr="007A63A8" w:rsidRDefault="0093216A" w:rsidP="007C00BE">
            <w:pPr>
              <w:rPr>
                <w:rFonts w:ascii="Corbel" w:hAnsi="Corbel"/>
                <w:color w:val="4472C4" w:themeColor="accent1"/>
              </w:rPr>
            </w:pPr>
          </w:p>
          <w:p w14:paraId="22890D01" w14:textId="675C69AB" w:rsidR="007C00BE" w:rsidRPr="007A63A8" w:rsidRDefault="00D22A69" w:rsidP="007C00BE">
            <w:pPr>
              <w:rPr>
                <w:rFonts w:ascii="Corbel" w:hAnsi="Corbel"/>
                <w:color w:val="4472C4" w:themeColor="accent1"/>
              </w:rPr>
            </w:pPr>
            <w:r>
              <w:rPr>
                <w:rFonts w:ascii="Corbel" w:hAnsi="Corbel"/>
                <w:color w:val="4472C4" w:themeColor="accent1"/>
              </w:rPr>
              <w:t>T</w:t>
            </w:r>
            <w:r w:rsidR="007C00BE" w:rsidRPr="007A63A8">
              <w:rPr>
                <w:rFonts w:ascii="Corbel" w:hAnsi="Corbel"/>
                <w:color w:val="4472C4" w:themeColor="accent1"/>
              </w:rPr>
              <w:t>he evaluation will use a mixed-method approach to provide a comprehensive assessment:</w:t>
            </w:r>
          </w:p>
          <w:p w14:paraId="7EC4B035" w14:textId="52356059" w:rsidR="007C00BE" w:rsidRPr="007A63A8" w:rsidRDefault="007C00BE" w:rsidP="007C00BE">
            <w:pPr>
              <w:numPr>
                <w:ilvl w:val="0"/>
                <w:numId w:val="32"/>
              </w:numPr>
              <w:rPr>
                <w:rFonts w:ascii="Corbel" w:hAnsi="Corbel"/>
                <w:color w:val="4472C4" w:themeColor="accent1"/>
              </w:rPr>
            </w:pPr>
            <w:r w:rsidRPr="007A63A8">
              <w:rPr>
                <w:rFonts w:ascii="Corbel" w:hAnsi="Corbel"/>
                <w:color w:val="4472C4" w:themeColor="accent1"/>
              </w:rPr>
              <w:t xml:space="preserve">Quantitative </w:t>
            </w:r>
            <w:r w:rsidR="003D11F9">
              <w:rPr>
                <w:rFonts w:ascii="Corbel" w:hAnsi="Corbel"/>
                <w:color w:val="4472C4" w:themeColor="accent1"/>
              </w:rPr>
              <w:t>a</w:t>
            </w:r>
            <w:r w:rsidR="003D11F9" w:rsidRPr="007A63A8">
              <w:rPr>
                <w:rFonts w:ascii="Corbel" w:hAnsi="Corbel"/>
                <w:color w:val="4472C4" w:themeColor="accent1"/>
              </w:rPr>
              <w:t>nalysis</w:t>
            </w:r>
            <w:r w:rsidRPr="007A63A8">
              <w:rPr>
                <w:rFonts w:ascii="Corbel" w:hAnsi="Corbel"/>
                <w:color w:val="4472C4" w:themeColor="accent1"/>
              </w:rPr>
              <w:t>:</w:t>
            </w:r>
          </w:p>
          <w:p w14:paraId="5AA8E115"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Annual tracking of completion rates, enrolment numbers, and dropout rates.</w:t>
            </w:r>
          </w:p>
          <w:p w14:paraId="1BCFB7FA"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Comparative analysis with historical data to measure trends and improvements.</w:t>
            </w:r>
          </w:p>
          <w:p w14:paraId="0AD1A107"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Cost-effectiveness assessment to evaluate resource allocation efficiency.</w:t>
            </w:r>
          </w:p>
          <w:p w14:paraId="271B4DA8" w14:textId="7D8418D1" w:rsidR="007C00BE" w:rsidRPr="007A63A8" w:rsidRDefault="007C00BE" w:rsidP="007C00BE">
            <w:pPr>
              <w:numPr>
                <w:ilvl w:val="0"/>
                <w:numId w:val="32"/>
              </w:numPr>
              <w:rPr>
                <w:rFonts w:ascii="Corbel" w:hAnsi="Corbel"/>
                <w:color w:val="4472C4" w:themeColor="accent1"/>
              </w:rPr>
            </w:pPr>
            <w:r w:rsidRPr="007A63A8">
              <w:rPr>
                <w:rFonts w:ascii="Corbel" w:hAnsi="Corbel"/>
                <w:color w:val="4472C4" w:themeColor="accent1"/>
              </w:rPr>
              <w:t xml:space="preserve">Qualitative </w:t>
            </w:r>
            <w:r w:rsidR="003D11F9">
              <w:rPr>
                <w:rFonts w:ascii="Corbel" w:hAnsi="Corbel"/>
                <w:color w:val="4472C4" w:themeColor="accent1"/>
              </w:rPr>
              <w:t>a</w:t>
            </w:r>
            <w:r w:rsidRPr="007A63A8">
              <w:rPr>
                <w:rFonts w:ascii="Corbel" w:hAnsi="Corbel"/>
                <w:color w:val="4472C4" w:themeColor="accent1"/>
              </w:rPr>
              <w:t>nalysis:</w:t>
            </w:r>
          </w:p>
          <w:p w14:paraId="5D7EDDC7"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Student and employer feedback through structured surveys and focus groups.</w:t>
            </w:r>
          </w:p>
          <w:p w14:paraId="670EFA86"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Case studies highlighting success stories, challenges, and intervention impacts.</w:t>
            </w:r>
          </w:p>
          <w:p w14:paraId="44ADE1B6" w14:textId="77777777" w:rsidR="007C00BE" w:rsidRPr="007A63A8" w:rsidRDefault="007C00BE" w:rsidP="007C00BE">
            <w:pPr>
              <w:numPr>
                <w:ilvl w:val="1"/>
                <w:numId w:val="32"/>
              </w:numPr>
              <w:rPr>
                <w:rFonts w:ascii="Corbel" w:hAnsi="Corbel"/>
                <w:color w:val="4472C4" w:themeColor="accent1"/>
              </w:rPr>
            </w:pPr>
            <w:r w:rsidRPr="007A63A8">
              <w:rPr>
                <w:rFonts w:ascii="Corbel" w:hAnsi="Corbel"/>
                <w:color w:val="4472C4" w:themeColor="accent1"/>
              </w:rPr>
              <w:t>Stakeholder interviews with training providers, industry representatives, and policymakers to assess practical implementation and scalability.</w:t>
            </w:r>
          </w:p>
          <w:p w14:paraId="5DB8E6B2" w14:textId="050F1D81" w:rsidR="007C00BE" w:rsidRPr="007A63A8" w:rsidRDefault="007C00BE" w:rsidP="007C00BE">
            <w:pPr>
              <w:rPr>
                <w:rFonts w:ascii="Corbel" w:hAnsi="Corbel"/>
                <w:b/>
                <w:bCs/>
                <w:color w:val="4472C4" w:themeColor="accent1"/>
              </w:rPr>
            </w:pPr>
            <w:r w:rsidRPr="007A63A8">
              <w:rPr>
                <w:rFonts w:ascii="Corbel" w:hAnsi="Corbel"/>
                <w:b/>
                <w:bCs/>
                <w:color w:val="4472C4" w:themeColor="accent1"/>
              </w:rPr>
              <w:t>Timing</w:t>
            </w:r>
          </w:p>
          <w:p w14:paraId="5E9BAA97" w14:textId="77777777" w:rsidR="00335037" w:rsidRPr="007A63A8" w:rsidRDefault="00335037" w:rsidP="007C00BE">
            <w:pPr>
              <w:rPr>
                <w:rFonts w:ascii="Corbel" w:hAnsi="Corbel"/>
                <w:b/>
                <w:bCs/>
                <w:color w:val="4472C4" w:themeColor="accent1"/>
              </w:rPr>
            </w:pPr>
          </w:p>
          <w:p w14:paraId="2484F510" w14:textId="504F98F9" w:rsidR="005A4017" w:rsidRDefault="00C346FD" w:rsidP="007C00BE">
            <w:pPr>
              <w:numPr>
                <w:ilvl w:val="0"/>
                <w:numId w:val="33"/>
              </w:numPr>
              <w:rPr>
                <w:rFonts w:ascii="Corbel" w:hAnsi="Corbel"/>
                <w:color w:val="4472C4" w:themeColor="accent1"/>
              </w:rPr>
            </w:pPr>
            <w:r>
              <w:rPr>
                <w:rFonts w:ascii="Corbel" w:hAnsi="Corbel"/>
                <w:color w:val="4472C4" w:themeColor="accent1"/>
              </w:rPr>
              <w:t>Evaluation Framework</w:t>
            </w:r>
            <w:r w:rsidR="003D11F9">
              <w:rPr>
                <w:rFonts w:ascii="Corbel" w:hAnsi="Corbel"/>
                <w:color w:val="4472C4" w:themeColor="accent1"/>
              </w:rPr>
              <w:t xml:space="preserve"> (March 2026)</w:t>
            </w:r>
            <w:r>
              <w:rPr>
                <w:rFonts w:ascii="Corbel" w:hAnsi="Corbel"/>
                <w:color w:val="4472C4" w:themeColor="accent1"/>
              </w:rPr>
              <w:t xml:space="preserve">: </w:t>
            </w:r>
            <w:r w:rsidR="002748CB" w:rsidRPr="002748CB">
              <w:rPr>
                <w:rFonts w:ascii="Corbel" w:hAnsi="Corbel"/>
                <w:color w:val="4472C4" w:themeColor="accent1"/>
              </w:rPr>
              <w:t>The evaluation framework</w:t>
            </w:r>
            <w:r w:rsidR="003D11F9">
              <w:rPr>
                <w:rFonts w:ascii="Corbel" w:hAnsi="Corbel"/>
                <w:color w:val="4472C4" w:themeColor="accent1"/>
              </w:rPr>
              <w:t xml:space="preserve"> will outline</w:t>
            </w:r>
            <w:r w:rsidR="002748CB" w:rsidRPr="002748CB">
              <w:rPr>
                <w:rFonts w:ascii="Corbel" w:hAnsi="Corbel"/>
                <w:color w:val="4472C4" w:themeColor="accent1"/>
              </w:rPr>
              <w:t xml:space="preserve"> </w:t>
            </w:r>
            <w:r w:rsidR="003D11F9">
              <w:rPr>
                <w:rFonts w:ascii="Corbel" w:hAnsi="Corbel"/>
                <w:color w:val="4472C4" w:themeColor="accent1"/>
              </w:rPr>
              <w:t xml:space="preserve">how the </w:t>
            </w:r>
            <w:r w:rsidR="002748CB" w:rsidRPr="002748CB">
              <w:rPr>
                <w:rFonts w:ascii="Corbel" w:hAnsi="Corbel"/>
                <w:color w:val="4472C4" w:themeColor="accent1"/>
              </w:rPr>
              <w:t>effectiveness, efficiency and appropriateness of the projects</w:t>
            </w:r>
            <w:r w:rsidR="003D11F9">
              <w:rPr>
                <w:rFonts w:ascii="Corbel" w:hAnsi="Corbel"/>
                <w:color w:val="4472C4" w:themeColor="accent1"/>
              </w:rPr>
              <w:t xml:space="preserve"> will be assessed</w:t>
            </w:r>
            <w:r w:rsidR="002748CB" w:rsidRPr="002748CB">
              <w:rPr>
                <w:rFonts w:ascii="Corbel" w:hAnsi="Corbel"/>
                <w:color w:val="4472C4" w:themeColor="accent1"/>
              </w:rPr>
              <w:t>. The framework will be underpinned by a program logic the connects the action and outputs with the intended outcomes</w:t>
            </w:r>
            <w:r w:rsidR="002748CB">
              <w:rPr>
                <w:rFonts w:ascii="Corbel" w:hAnsi="Corbel"/>
                <w:color w:val="4472C4" w:themeColor="accent1"/>
              </w:rPr>
              <w:t xml:space="preserve">. </w:t>
            </w:r>
            <w:r w:rsidR="00076973" w:rsidRPr="00076973">
              <w:rPr>
                <w:rFonts w:ascii="Corbel" w:hAnsi="Corbel"/>
                <w:color w:val="4472C4" w:themeColor="accent1"/>
              </w:rPr>
              <w:t>Outcome indicators, both qualitative and quantitative will be defined to assess outcomes, with the long-term outcomes aligned with the NSA outcomes framework where possible.</w:t>
            </w:r>
          </w:p>
          <w:p w14:paraId="197723DE" w14:textId="16E9DB0B" w:rsidR="007C00BE" w:rsidRPr="007A63A8" w:rsidRDefault="007C00BE" w:rsidP="007C00BE">
            <w:pPr>
              <w:numPr>
                <w:ilvl w:val="0"/>
                <w:numId w:val="33"/>
              </w:numPr>
              <w:rPr>
                <w:rFonts w:ascii="Corbel" w:hAnsi="Corbel"/>
                <w:color w:val="4472C4" w:themeColor="accent1"/>
              </w:rPr>
            </w:pPr>
            <w:r w:rsidRPr="007A63A8">
              <w:rPr>
                <w:rFonts w:ascii="Corbel" w:hAnsi="Corbel"/>
                <w:color w:val="4472C4" w:themeColor="accent1"/>
              </w:rPr>
              <w:t>Interim Evaluations: Conducted periodically throughout the life of the agreement</w:t>
            </w:r>
            <w:r w:rsidR="001F5891" w:rsidRPr="007A63A8">
              <w:rPr>
                <w:rFonts w:ascii="Corbel" w:hAnsi="Corbel"/>
                <w:color w:val="4472C4" w:themeColor="accent1"/>
              </w:rPr>
              <w:t xml:space="preserve"> as outlined in Table 1-3</w:t>
            </w:r>
            <w:r w:rsidRPr="007A63A8">
              <w:rPr>
                <w:rFonts w:ascii="Corbel" w:hAnsi="Corbel"/>
                <w:color w:val="4472C4" w:themeColor="accent1"/>
              </w:rPr>
              <w:t>, allowing for data-driven adjustments and continuous program refinement.</w:t>
            </w:r>
            <w:r w:rsidR="003B3335" w:rsidRPr="007A63A8">
              <w:rPr>
                <w:rFonts w:ascii="Corbel" w:hAnsi="Corbel"/>
                <w:color w:val="4472C4" w:themeColor="accent1"/>
              </w:rPr>
              <w:t xml:space="preserve"> It is anticipated the broader evaluation will</w:t>
            </w:r>
            <w:r w:rsidR="00043548" w:rsidRPr="007A63A8">
              <w:rPr>
                <w:rFonts w:ascii="Corbel" w:hAnsi="Corbel"/>
                <w:color w:val="4472C4" w:themeColor="accent1"/>
              </w:rPr>
              <w:t xml:space="preserve"> also</w:t>
            </w:r>
            <w:r w:rsidR="003B3335" w:rsidRPr="007A63A8">
              <w:rPr>
                <w:rFonts w:ascii="Corbel" w:hAnsi="Corbel"/>
                <w:color w:val="4472C4" w:themeColor="accent1"/>
              </w:rPr>
              <w:t xml:space="preserve"> be informed by interim evaluations.</w:t>
            </w:r>
          </w:p>
          <w:p w14:paraId="0AA7B007" w14:textId="7745A4E3" w:rsidR="007C00BE" w:rsidRPr="007A63A8" w:rsidRDefault="007C00BE" w:rsidP="007C00BE">
            <w:pPr>
              <w:numPr>
                <w:ilvl w:val="0"/>
                <w:numId w:val="33"/>
              </w:numPr>
              <w:rPr>
                <w:rFonts w:ascii="Corbel" w:hAnsi="Corbel"/>
                <w:color w:val="4472C4" w:themeColor="accent1"/>
              </w:rPr>
            </w:pPr>
            <w:r w:rsidRPr="007A63A8">
              <w:rPr>
                <w:rFonts w:ascii="Corbel" w:hAnsi="Corbel"/>
                <w:color w:val="4472C4" w:themeColor="accent1"/>
              </w:rPr>
              <w:t xml:space="preserve">Final Evaluation (December 2028): </w:t>
            </w:r>
            <w:r w:rsidR="005A021D" w:rsidRPr="007A63A8">
              <w:rPr>
                <w:rFonts w:ascii="Corbel" w:hAnsi="Corbel"/>
                <w:color w:val="4472C4" w:themeColor="accent1"/>
              </w:rPr>
              <w:t xml:space="preserve">An evaluator will be tasked with </w:t>
            </w:r>
            <w:r w:rsidR="00B102F0" w:rsidRPr="007A63A8">
              <w:rPr>
                <w:rFonts w:ascii="Corbel" w:hAnsi="Corbel"/>
                <w:color w:val="4472C4" w:themeColor="accent1"/>
              </w:rPr>
              <w:t>designing and setting the</w:t>
            </w:r>
            <w:r w:rsidR="00E62110" w:rsidRPr="007A63A8">
              <w:rPr>
                <w:rFonts w:ascii="Corbel" w:hAnsi="Corbel"/>
                <w:color w:val="4472C4" w:themeColor="accent1"/>
              </w:rPr>
              <w:t xml:space="preserve"> specific milestones and timeframes to complete a</w:t>
            </w:r>
            <w:r w:rsidRPr="007A63A8">
              <w:rPr>
                <w:rFonts w:ascii="Corbel" w:hAnsi="Corbel"/>
                <w:color w:val="4472C4" w:themeColor="accent1"/>
              </w:rPr>
              <w:t xml:space="preserve"> comprehensive review to assess the overall impact, sustainability, and scalability of the initiatives.</w:t>
            </w:r>
          </w:p>
          <w:p w14:paraId="2E0301E4" w14:textId="77777777" w:rsidR="003A1E83" w:rsidRPr="007A63A8" w:rsidRDefault="003A1E83" w:rsidP="007C00BE">
            <w:pPr>
              <w:rPr>
                <w:rFonts w:ascii="Corbel" w:hAnsi="Corbel"/>
                <w:b/>
                <w:bCs/>
                <w:color w:val="4472C4" w:themeColor="accent1"/>
              </w:rPr>
            </w:pPr>
          </w:p>
          <w:p w14:paraId="5E18AEBE" w14:textId="6EDEEDCC" w:rsidR="007C00BE" w:rsidRPr="007A63A8" w:rsidRDefault="007C00BE" w:rsidP="007C00BE">
            <w:pPr>
              <w:rPr>
                <w:rFonts w:ascii="Corbel" w:hAnsi="Corbel"/>
                <w:b/>
                <w:bCs/>
                <w:color w:val="4472C4" w:themeColor="accent1"/>
              </w:rPr>
            </w:pPr>
            <w:r w:rsidRPr="007A63A8">
              <w:rPr>
                <w:rFonts w:ascii="Corbel" w:hAnsi="Corbel"/>
                <w:b/>
                <w:bCs/>
                <w:color w:val="4472C4" w:themeColor="accent1"/>
              </w:rPr>
              <w:t xml:space="preserve">Dissemination of </w:t>
            </w:r>
            <w:r w:rsidR="009471DE">
              <w:rPr>
                <w:rFonts w:ascii="Corbel" w:hAnsi="Corbel"/>
                <w:b/>
                <w:bCs/>
                <w:color w:val="4472C4" w:themeColor="accent1"/>
              </w:rPr>
              <w:t>le</w:t>
            </w:r>
            <w:r w:rsidR="009471DE" w:rsidRPr="007A63A8">
              <w:rPr>
                <w:rFonts w:ascii="Corbel" w:hAnsi="Corbel"/>
                <w:b/>
                <w:bCs/>
                <w:color w:val="4472C4" w:themeColor="accent1"/>
              </w:rPr>
              <w:t>arnings</w:t>
            </w:r>
          </w:p>
          <w:p w14:paraId="45AD8CAA" w14:textId="77777777" w:rsidR="00335037" w:rsidRPr="007A63A8" w:rsidRDefault="00335037" w:rsidP="007C00BE">
            <w:pPr>
              <w:rPr>
                <w:rFonts w:ascii="Corbel" w:hAnsi="Corbel"/>
                <w:b/>
                <w:bCs/>
                <w:color w:val="4472C4" w:themeColor="accent1"/>
              </w:rPr>
            </w:pPr>
          </w:p>
          <w:p w14:paraId="73F4A3AF" w14:textId="77777777" w:rsidR="007C00BE" w:rsidRPr="007A63A8" w:rsidRDefault="007C00BE" w:rsidP="007C00BE">
            <w:pPr>
              <w:rPr>
                <w:rFonts w:ascii="Corbel" w:hAnsi="Corbel"/>
                <w:color w:val="4472C4" w:themeColor="accent1"/>
              </w:rPr>
            </w:pPr>
            <w:r w:rsidRPr="007A63A8">
              <w:rPr>
                <w:rFonts w:ascii="Corbel" w:hAnsi="Corbel"/>
                <w:color w:val="4472C4" w:themeColor="accent1"/>
              </w:rPr>
              <w:lastRenderedPageBreak/>
              <w:t>To maximise the impact of findings and facilitate national best practice adoption, evaluation results will be shared through multiple channels:</w:t>
            </w:r>
          </w:p>
          <w:p w14:paraId="0B3869A9" w14:textId="77777777" w:rsidR="007C00BE" w:rsidRPr="007A63A8" w:rsidRDefault="007C00BE" w:rsidP="007C00BE">
            <w:pPr>
              <w:numPr>
                <w:ilvl w:val="0"/>
                <w:numId w:val="34"/>
              </w:numPr>
              <w:rPr>
                <w:rFonts w:ascii="Corbel" w:hAnsi="Corbel"/>
                <w:color w:val="4472C4" w:themeColor="accent1"/>
              </w:rPr>
            </w:pPr>
            <w:r w:rsidRPr="007A63A8">
              <w:rPr>
                <w:rFonts w:ascii="Corbel" w:hAnsi="Corbel"/>
                <w:color w:val="4472C4" w:themeColor="accent1"/>
              </w:rPr>
              <w:t>Annual Reports: Data on KPIs, trends, and case studies will be incorporated into annual reports under the NSA.</w:t>
            </w:r>
          </w:p>
          <w:p w14:paraId="0E3A4041" w14:textId="3D71A126" w:rsidR="007C00BE" w:rsidRPr="007A63A8" w:rsidRDefault="007C00BE" w:rsidP="007C00BE">
            <w:pPr>
              <w:numPr>
                <w:ilvl w:val="0"/>
                <w:numId w:val="34"/>
              </w:numPr>
              <w:rPr>
                <w:rFonts w:ascii="Corbel" w:hAnsi="Corbel"/>
                <w:color w:val="4472C4" w:themeColor="accent1"/>
              </w:rPr>
            </w:pPr>
            <w:r w:rsidRPr="007A63A8">
              <w:rPr>
                <w:rFonts w:ascii="Corbel" w:hAnsi="Corbel"/>
                <w:color w:val="4472C4" w:themeColor="accent1"/>
              </w:rPr>
              <w:t xml:space="preserve">Conferences &amp; </w:t>
            </w:r>
            <w:r w:rsidR="009471DE">
              <w:rPr>
                <w:rFonts w:ascii="Corbel" w:hAnsi="Corbel"/>
                <w:color w:val="4472C4" w:themeColor="accent1"/>
              </w:rPr>
              <w:t>w</w:t>
            </w:r>
            <w:r w:rsidRPr="007A63A8">
              <w:rPr>
                <w:rFonts w:ascii="Corbel" w:hAnsi="Corbel"/>
                <w:color w:val="4472C4" w:themeColor="accent1"/>
              </w:rPr>
              <w:t xml:space="preserve">orkshops: Findings </w:t>
            </w:r>
            <w:r w:rsidR="00A94B63">
              <w:rPr>
                <w:rFonts w:ascii="Corbel" w:hAnsi="Corbel"/>
                <w:color w:val="4472C4" w:themeColor="accent1"/>
              </w:rPr>
              <w:t xml:space="preserve">may </w:t>
            </w:r>
            <w:r w:rsidRPr="007A63A8">
              <w:rPr>
                <w:rFonts w:ascii="Corbel" w:hAnsi="Corbel"/>
                <w:color w:val="4472C4" w:themeColor="accent1"/>
              </w:rPr>
              <w:t>be presented at VET and industry conferences to inform national dialogue and policy adjustments.</w:t>
            </w:r>
          </w:p>
          <w:p w14:paraId="6BBFB881" w14:textId="49D55142" w:rsidR="007C00BE" w:rsidRPr="009A53BC" w:rsidRDefault="007C00BE" w:rsidP="007C00BE">
            <w:pPr>
              <w:numPr>
                <w:ilvl w:val="0"/>
                <w:numId w:val="34"/>
              </w:numPr>
              <w:rPr>
                <w:rFonts w:ascii="Corbel" w:hAnsi="Corbel"/>
                <w:color w:val="4472C4" w:themeColor="accent1"/>
              </w:rPr>
            </w:pPr>
            <w:r w:rsidRPr="009A53BC">
              <w:rPr>
                <w:rFonts w:ascii="Corbel" w:hAnsi="Corbel"/>
                <w:color w:val="4472C4" w:themeColor="accent1"/>
              </w:rPr>
              <w:t xml:space="preserve">Publications &amp; </w:t>
            </w:r>
            <w:r w:rsidR="009471DE" w:rsidRPr="009A53BC">
              <w:rPr>
                <w:rFonts w:ascii="Corbel" w:hAnsi="Corbel"/>
                <w:color w:val="4472C4" w:themeColor="accent1"/>
              </w:rPr>
              <w:t>o</w:t>
            </w:r>
            <w:r w:rsidRPr="009A53BC">
              <w:rPr>
                <w:rFonts w:ascii="Corbel" w:hAnsi="Corbel"/>
                <w:color w:val="4472C4" w:themeColor="accent1"/>
              </w:rPr>
              <w:t xml:space="preserve">nline </w:t>
            </w:r>
            <w:r w:rsidR="009471DE" w:rsidRPr="009A53BC">
              <w:rPr>
                <w:rFonts w:ascii="Corbel" w:hAnsi="Corbel"/>
                <w:color w:val="4472C4" w:themeColor="accent1"/>
              </w:rPr>
              <w:t>p</w:t>
            </w:r>
            <w:r w:rsidRPr="009A53BC">
              <w:rPr>
                <w:rFonts w:ascii="Corbel" w:hAnsi="Corbel"/>
                <w:color w:val="4472C4" w:themeColor="accent1"/>
              </w:rPr>
              <w:t xml:space="preserve">latforms: Evaluation results will be disseminated </w:t>
            </w:r>
            <w:r w:rsidR="00221F48" w:rsidRPr="009A53BC">
              <w:rPr>
                <w:rFonts w:ascii="Corbel" w:hAnsi="Corbel"/>
                <w:color w:val="4472C4" w:themeColor="accent1"/>
              </w:rPr>
              <w:t>where appropriate</w:t>
            </w:r>
            <w:r w:rsidRPr="009A53BC">
              <w:rPr>
                <w:rFonts w:ascii="Corbel" w:hAnsi="Corbel"/>
                <w:color w:val="4472C4" w:themeColor="accent1"/>
              </w:rPr>
              <w:t xml:space="preserve"> via a central repository, government websites, </w:t>
            </w:r>
            <w:r w:rsidR="00A94B63" w:rsidRPr="009A53BC">
              <w:rPr>
                <w:rFonts w:ascii="Corbel" w:hAnsi="Corbel"/>
                <w:color w:val="4472C4" w:themeColor="accent1"/>
              </w:rPr>
              <w:t xml:space="preserve">and may be included </w:t>
            </w:r>
            <w:r w:rsidR="00EA215A" w:rsidRPr="009A53BC">
              <w:rPr>
                <w:rFonts w:ascii="Corbel" w:hAnsi="Corbel"/>
                <w:color w:val="4472C4" w:themeColor="accent1"/>
              </w:rPr>
              <w:t xml:space="preserve">in </w:t>
            </w:r>
            <w:r w:rsidRPr="009A53BC">
              <w:rPr>
                <w:rFonts w:ascii="Corbel" w:hAnsi="Corbel"/>
                <w:color w:val="4472C4" w:themeColor="accent1"/>
              </w:rPr>
              <w:t>academic journals, and industry networks to ensure accessibility and broader engagement.</w:t>
            </w:r>
          </w:p>
          <w:p w14:paraId="3B45B22B" w14:textId="77777777" w:rsidR="00B102F0" w:rsidRPr="007A63A8" w:rsidRDefault="00B102F0" w:rsidP="007C00BE">
            <w:pPr>
              <w:rPr>
                <w:rFonts w:ascii="Corbel" w:hAnsi="Corbel"/>
                <w:color w:val="4472C4" w:themeColor="accent1"/>
              </w:rPr>
            </w:pPr>
          </w:p>
          <w:p w14:paraId="3516243A" w14:textId="5ADF156C" w:rsidR="007C00BE" w:rsidRPr="007A63A8" w:rsidRDefault="007C00BE" w:rsidP="007C00BE">
            <w:pPr>
              <w:rPr>
                <w:rFonts w:ascii="Corbel" w:hAnsi="Corbel"/>
                <w:color w:val="4472C4" w:themeColor="accent1"/>
              </w:rPr>
            </w:pPr>
            <w:r w:rsidRPr="007A63A8">
              <w:rPr>
                <w:rFonts w:ascii="Corbel" w:hAnsi="Corbel"/>
                <w:color w:val="4472C4" w:themeColor="accent1"/>
              </w:rPr>
              <w:t>By leveraging robust evaluation methods, embedding evidence-driven decision-making, and prioritising knowledge-sharing, this initiative aims to drive significant and lasting improvements in VET completion rates and student outcomes across Queensland and nationally.</w:t>
            </w:r>
          </w:p>
          <w:p w14:paraId="74478985" w14:textId="69AF1BE5" w:rsidR="00356B0D" w:rsidRPr="007A63A8" w:rsidRDefault="00356B0D" w:rsidP="00106DFF">
            <w:pPr>
              <w:rPr>
                <w:rFonts w:ascii="Corbel" w:hAnsi="Corbel"/>
                <w:color w:val="4472C4" w:themeColor="accent1"/>
              </w:rPr>
            </w:pPr>
          </w:p>
        </w:tc>
      </w:tr>
    </w:tbl>
    <w:p w14:paraId="2DDA3A22" w14:textId="77777777" w:rsidR="009C2911" w:rsidRDefault="009C2911" w:rsidP="009C2911">
      <w:pPr>
        <w:rPr>
          <w:rFonts w:ascii="Corbel" w:eastAsia="Corbel" w:hAnsi="Corbel" w:cs="Corbel"/>
        </w:rPr>
        <w:sectPr w:rsidR="009C2911" w:rsidSect="00104AD4">
          <w:footerReference w:type="default" r:id="rId12"/>
          <w:pgSz w:w="11906" w:h="16838"/>
          <w:pgMar w:top="1440" w:right="1440" w:bottom="1134" w:left="1440" w:header="708" w:footer="708" w:gutter="0"/>
          <w:cols w:space="708"/>
          <w:docGrid w:linePitch="360"/>
        </w:sectPr>
      </w:pPr>
    </w:p>
    <w:p w14:paraId="27F4EE50" w14:textId="0C40514F" w:rsidR="009C2911" w:rsidRDefault="009C2911" w:rsidP="009C2911">
      <w:pPr>
        <w:pStyle w:val="ImplementationPlan1"/>
        <w:keepNext/>
        <w:numPr>
          <w:ilvl w:val="0"/>
          <w:numId w:val="0"/>
        </w:numPr>
        <w:outlineLvl w:val="1"/>
      </w:pPr>
      <w:r>
        <w:lastRenderedPageBreak/>
        <w:t>Milestones and payments – IMPROVED COMPLETIONS</w:t>
      </w:r>
      <w:r w:rsidR="007B471D">
        <w:t xml:space="preserve"> – especially for priority groups</w:t>
      </w:r>
    </w:p>
    <w:tbl>
      <w:tblPr>
        <w:tblStyle w:val="TableGrid"/>
        <w:tblW w:w="5000" w:type="pct"/>
        <w:tblLook w:val="04A0" w:firstRow="1" w:lastRow="0" w:firstColumn="1" w:lastColumn="0" w:noHBand="0" w:noVBand="1"/>
      </w:tblPr>
      <w:tblGrid>
        <w:gridCol w:w="3369"/>
        <w:gridCol w:w="4847"/>
        <w:gridCol w:w="3262"/>
        <w:gridCol w:w="3059"/>
      </w:tblGrid>
      <w:tr w:rsidR="009C2911" w14:paraId="6E34EB93" w14:textId="77777777" w:rsidTr="00B00607">
        <w:trPr>
          <w:tblHeader/>
        </w:trPr>
        <w:tc>
          <w:tcPr>
            <w:tcW w:w="1159" w:type="pct"/>
          </w:tcPr>
          <w:p w14:paraId="7A67433C" w14:textId="50C2A834" w:rsidR="009C2911" w:rsidRDefault="009C2911" w:rsidP="00106DFF">
            <w:pPr>
              <w:rPr>
                <w:rFonts w:ascii="Corbel" w:hAnsi="Corbel"/>
                <w:b/>
                <w:bCs/>
              </w:rPr>
            </w:pPr>
            <w:r>
              <w:rPr>
                <w:rFonts w:ascii="Corbel" w:hAnsi="Corbel"/>
                <w:b/>
                <w:bCs/>
              </w:rPr>
              <w:t>Milestone</w:t>
            </w:r>
          </w:p>
        </w:tc>
        <w:tc>
          <w:tcPr>
            <w:tcW w:w="1667" w:type="pct"/>
          </w:tcPr>
          <w:p w14:paraId="668B3C45" w14:textId="55005EC6" w:rsidR="009C2911" w:rsidRPr="00D015BE" w:rsidRDefault="009C2911" w:rsidP="00106DFF">
            <w:pPr>
              <w:rPr>
                <w:rFonts w:ascii="Corbel" w:hAnsi="Corbel"/>
                <w:b/>
                <w:bCs/>
              </w:rPr>
            </w:pPr>
            <w:r w:rsidRPr="00160190">
              <w:rPr>
                <w:rFonts w:ascii="Corbel" w:hAnsi="Corbel"/>
                <w:b/>
                <w:bCs/>
              </w:rPr>
              <w:t>Evidence</w:t>
            </w:r>
          </w:p>
        </w:tc>
        <w:tc>
          <w:tcPr>
            <w:tcW w:w="1122" w:type="pct"/>
          </w:tcPr>
          <w:p w14:paraId="06941D6E" w14:textId="5B040EAF" w:rsidR="009C2911" w:rsidRDefault="009C2911" w:rsidP="00106DFF">
            <w:pPr>
              <w:rPr>
                <w:rFonts w:ascii="Corbel" w:hAnsi="Corbel"/>
                <w:b/>
                <w:bCs/>
              </w:rPr>
            </w:pPr>
            <w:r>
              <w:rPr>
                <w:rFonts w:ascii="Corbel" w:hAnsi="Corbel"/>
                <w:b/>
                <w:bCs/>
              </w:rPr>
              <w:t>Payment Value Up To (Commonwealth funded)</w:t>
            </w:r>
          </w:p>
        </w:tc>
        <w:tc>
          <w:tcPr>
            <w:tcW w:w="1052" w:type="pct"/>
          </w:tcPr>
          <w:p w14:paraId="7B39A9D3" w14:textId="36010F93" w:rsidR="009C2911" w:rsidRDefault="009C2911" w:rsidP="00106DFF">
            <w:pPr>
              <w:rPr>
                <w:rFonts w:ascii="Corbel" w:hAnsi="Corbel"/>
                <w:b/>
                <w:bCs/>
              </w:rPr>
            </w:pPr>
            <w:r>
              <w:rPr>
                <w:rFonts w:ascii="Corbel" w:hAnsi="Corbel"/>
                <w:b/>
                <w:bCs/>
              </w:rPr>
              <w:t>Commonwealth reporting period</w:t>
            </w:r>
          </w:p>
        </w:tc>
      </w:tr>
      <w:tr w:rsidR="00F3433D" w14:paraId="4D34B6FD" w14:textId="77777777" w:rsidTr="00B00607">
        <w:tc>
          <w:tcPr>
            <w:tcW w:w="1159" w:type="pct"/>
            <w:shd w:val="clear" w:color="auto" w:fill="F2F2F2" w:themeFill="background1" w:themeFillShade="F2"/>
          </w:tcPr>
          <w:p w14:paraId="13791E39" w14:textId="7B36AD8E" w:rsidR="00F3433D" w:rsidRPr="007D4B63" w:rsidRDefault="00F3433D" w:rsidP="00F3433D">
            <w:pPr>
              <w:rPr>
                <w:rFonts w:ascii="Corbel" w:hAnsi="Corbel"/>
                <w:color w:val="0070C0"/>
                <w:sz w:val="20"/>
                <w:szCs w:val="20"/>
              </w:rPr>
            </w:pPr>
            <w:r w:rsidRPr="007D4B63">
              <w:rPr>
                <w:rFonts w:ascii="Corbel" w:hAnsi="Corbel"/>
                <w:color w:val="0070C0"/>
                <w:sz w:val="20"/>
                <w:szCs w:val="20"/>
              </w:rPr>
              <w:t xml:space="preserve">Milestone </w:t>
            </w:r>
            <w:r w:rsidR="00EC1ECB">
              <w:rPr>
                <w:rFonts w:ascii="Corbel" w:hAnsi="Corbel"/>
                <w:color w:val="0070C0"/>
                <w:sz w:val="20"/>
                <w:szCs w:val="20"/>
              </w:rPr>
              <w:t>1</w:t>
            </w:r>
            <w:r w:rsidRPr="007D4B63">
              <w:rPr>
                <w:rFonts w:ascii="Corbel" w:hAnsi="Corbel"/>
                <w:color w:val="0070C0"/>
                <w:sz w:val="20"/>
                <w:szCs w:val="20"/>
              </w:rPr>
              <w:t>:</w:t>
            </w:r>
          </w:p>
          <w:p w14:paraId="1440F0AC" w14:textId="61BF5776" w:rsidR="00F3433D" w:rsidRPr="007D4B63" w:rsidRDefault="0064067B" w:rsidP="003F7F71">
            <w:pPr>
              <w:rPr>
                <w:rFonts w:ascii="Corbel" w:hAnsi="Corbel"/>
                <w:color w:val="0070C0"/>
                <w:sz w:val="20"/>
                <w:szCs w:val="20"/>
              </w:rPr>
            </w:pPr>
            <w:r>
              <w:rPr>
                <w:rFonts w:ascii="Corbel" w:hAnsi="Corbel"/>
                <w:color w:val="0070C0"/>
                <w:sz w:val="20"/>
                <w:szCs w:val="20"/>
              </w:rPr>
              <w:t xml:space="preserve">Agreement of bilateral </w:t>
            </w:r>
            <w:r w:rsidR="00C4563A">
              <w:rPr>
                <w:rFonts w:ascii="Corbel" w:hAnsi="Corbel"/>
                <w:color w:val="0070C0"/>
                <w:sz w:val="20"/>
                <w:szCs w:val="20"/>
              </w:rPr>
              <w:t xml:space="preserve">Implementation Plan; and </w:t>
            </w:r>
            <w:r w:rsidR="00D92235">
              <w:rPr>
                <w:rFonts w:ascii="Corbel" w:hAnsi="Corbel"/>
                <w:color w:val="0070C0"/>
                <w:sz w:val="20"/>
                <w:szCs w:val="20"/>
              </w:rPr>
              <w:t xml:space="preserve">Commonwealth acceptance of Project </w:t>
            </w:r>
            <w:r w:rsidR="008D721F" w:rsidRPr="00FC0708">
              <w:rPr>
                <w:rFonts w:ascii="Corbel" w:hAnsi="Corbel"/>
                <w:color w:val="0070C0"/>
                <w:sz w:val="20"/>
                <w:szCs w:val="20"/>
              </w:rPr>
              <w:t xml:space="preserve">Plan </w:t>
            </w:r>
            <w:r w:rsidR="00B86A6C">
              <w:rPr>
                <w:rFonts w:ascii="Corbel" w:hAnsi="Corbel"/>
                <w:color w:val="0070C0"/>
                <w:sz w:val="20"/>
                <w:szCs w:val="20"/>
              </w:rPr>
              <w:t xml:space="preserve">(including </w:t>
            </w:r>
            <w:r w:rsidR="008D721F" w:rsidRPr="00FC0708">
              <w:rPr>
                <w:rFonts w:ascii="Corbel" w:hAnsi="Corbel"/>
                <w:color w:val="0070C0"/>
                <w:sz w:val="20"/>
                <w:szCs w:val="20"/>
              </w:rPr>
              <w:t>Reporting Framework</w:t>
            </w:r>
            <w:r w:rsidR="00B86A6C">
              <w:rPr>
                <w:rFonts w:ascii="Corbel" w:hAnsi="Corbel"/>
                <w:color w:val="0070C0"/>
                <w:sz w:val="20"/>
                <w:szCs w:val="20"/>
              </w:rPr>
              <w:t>)</w:t>
            </w:r>
            <w:r w:rsidR="008D721F" w:rsidRPr="00FC0708">
              <w:rPr>
                <w:rFonts w:ascii="Corbel" w:hAnsi="Corbel"/>
                <w:color w:val="0070C0"/>
                <w:sz w:val="20"/>
                <w:szCs w:val="20"/>
              </w:rPr>
              <w:t xml:space="preserve"> </w:t>
            </w:r>
          </w:p>
        </w:tc>
        <w:tc>
          <w:tcPr>
            <w:tcW w:w="1667" w:type="pct"/>
            <w:shd w:val="clear" w:color="auto" w:fill="F2F2F2" w:themeFill="background1" w:themeFillShade="F2"/>
          </w:tcPr>
          <w:p w14:paraId="373CC342" w14:textId="6C5540DA" w:rsidR="009E4510" w:rsidRDefault="2A618B1C" w:rsidP="00F3433D">
            <w:pPr>
              <w:rPr>
                <w:rFonts w:ascii="Corbel" w:hAnsi="Corbel"/>
                <w:color w:val="0070C0"/>
                <w:sz w:val="20"/>
                <w:szCs w:val="20"/>
              </w:rPr>
            </w:pPr>
            <w:r w:rsidRPr="23E0C3B2">
              <w:rPr>
                <w:rFonts w:ascii="Corbel" w:hAnsi="Corbel"/>
                <w:color w:val="0070C0"/>
                <w:sz w:val="20"/>
                <w:szCs w:val="20"/>
              </w:rPr>
              <w:t xml:space="preserve">The overarching </w:t>
            </w:r>
            <w:r w:rsidR="004C2D4C" w:rsidRPr="23E0C3B2">
              <w:rPr>
                <w:rFonts w:ascii="Corbel" w:hAnsi="Corbel"/>
                <w:color w:val="0070C0"/>
                <w:sz w:val="20"/>
                <w:szCs w:val="20"/>
              </w:rPr>
              <w:t>P</w:t>
            </w:r>
            <w:r w:rsidR="2410479C" w:rsidRPr="23E0C3B2">
              <w:rPr>
                <w:rFonts w:ascii="Corbel" w:hAnsi="Corbel"/>
                <w:color w:val="0070C0"/>
                <w:sz w:val="20"/>
                <w:szCs w:val="20"/>
              </w:rPr>
              <w:t xml:space="preserve">roject </w:t>
            </w:r>
            <w:r w:rsidR="00056477" w:rsidRPr="23E0C3B2">
              <w:rPr>
                <w:rFonts w:ascii="Corbel" w:hAnsi="Corbel"/>
                <w:color w:val="0070C0"/>
                <w:sz w:val="20"/>
                <w:szCs w:val="20"/>
              </w:rPr>
              <w:t>P</w:t>
            </w:r>
            <w:r w:rsidR="2410479C" w:rsidRPr="23E0C3B2">
              <w:rPr>
                <w:rFonts w:ascii="Corbel" w:hAnsi="Corbel"/>
                <w:color w:val="0070C0"/>
                <w:sz w:val="20"/>
                <w:szCs w:val="20"/>
              </w:rPr>
              <w:t>lan</w:t>
            </w:r>
            <w:r w:rsidR="2DB1FA2F" w:rsidRPr="23E0C3B2">
              <w:rPr>
                <w:rFonts w:ascii="Corbel" w:hAnsi="Corbel"/>
                <w:color w:val="0070C0"/>
                <w:sz w:val="20"/>
                <w:szCs w:val="20"/>
              </w:rPr>
              <w:t xml:space="preserve"> </w:t>
            </w:r>
            <w:r w:rsidR="3CC514E3" w:rsidRPr="23E0C3B2">
              <w:rPr>
                <w:rFonts w:ascii="Corbel" w:hAnsi="Corbel"/>
                <w:color w:val="0070C0"/>
                <w:sz w:val="20"/>
                <w:szCs w:val="20"/>
              </w:rPr>
              <w:t xml:space="preserve">will be </w:t>
            </w:r>
            <w:r w:rsidR="2DB1FA2F" w:rsidRPr="23E0C3B2">
              <w:rPr>
                <w:rFonts w:ascii="Corbel" w:hAnsi="Corbel"/>
                <w:color w:val="0070C0"/>
                <w:sz w:val="20"/>
                <w:szCs w:val="20"/>
              </w:rPr>
              <w:t>signed by Queensland senior official with responsibility for skills</w:t>
            </w:r>
            <w:r w:rsidR="395368D8" w:rsidRPr="23E0C3B2">
              <w:rPr>
                <w:rFonts w:ascii="Corbel" w:hAnsi="Corbel"/>
                <w:color w:val="0070C0"/>
                <w:sz w:val="20"/>
                <w:szCs w:val="20"/>
              </w:rPr>
              <w:t xml:space="preserve"> and agreed with the Commonwealth</w:t>
            </w:r>
            <w:r w:rsidR="3CC514E3" w:rsidRPr="23E0C3B2">
              <w:rPr>
                <w:rFonts w:ascii="Corbel" w:hAnsi="Corbel"/>
                <w:color w:val="0070C0"/>
                <w:sz w:val="20"/>
                <w:szCs w:val="20"/>
              </w:rPr>
              <w:t>. This plan will:</w:t>
            </w:r>
          </w:p>
          <w:p w14:paraId="2B03825E" w14:textId="7BAD1638" w:rsidR="00071FA6" w:rsidRDefault="2DB1FA2F" w:rsidP="009E4510">
            <w:pPr>
              <w:pStyle w:val="ListParagraph"/>
              <w:numPr>
                <w:ilvl w:val="0"/>
                <w:numId w:val="48"/>
              </w:numPr>
              <w:rPr>
                <w:rFonts w:ascii="Corbel" w:hAnsi="Corbel"/>
                <w:color w:val="0070C0"/>
                <w:sz w:val="20"/>
                <w:szCs w:val="20"/>
              </w:rPr>
            </w:pPr>
            <w:r w:rsidRPr="3AF90611">
              <w:rPr>
                <w:rFonts w:ascii="Corbel" w:hAnsi="Corbel"/>
                <w:color w:val="0070C0"/>
                <w:sz w:val="20"/>
                <w:szCs w:val="20"/>
              </w:rPr>
              <w:t xml:space="preserve">outline key activities of the </w:t>
            </w:r>
            <w:bookmarkStart w:id="0" w:name="_Int_pUxvF60v"/>
            <w:proofErr w:type="gramStart"/>
            <w:r w:rsidR="238A1381" w:rsidRPr="3AF90611">
              <w:rPr>
                <w:rFonts w:ascii="Corbel" w:hAnsi="Corbel"/>
                <w:color w:val="0070C0"/>
                <w:sz w:val="20"/>
                <w:szCs w:val="20"/>
              </w:rPr>
              <w:t>completions</w:t>
            </w:r>
            <w:bookmarkEnd w:id="0"/>
            <w:proofErr w:type="gramEnd"/>
            <w:r w:rsidRPr="3AF90611">
              <w:rPr>
                <w:rFonts w:ascii="Corbel" w:hAnsi="Corbel"/>
                <w:color w:val="0070C0"/>
                <w:sz w:val="20"/>
                <w:szCs w:val="20"/>
              </w:rPr>
              <w:t xml:space="preserve"> initiative </w:t>
            </w:r>
            <w:r w:rsidR="4B7EA74F" w:rsidRPr="3AF90611">
              <w:rPr>
                <w:rFonts w:ascii="Corbel" w:hAnsi="Corbel"/>
                <w:color w:val="0070C0"/>
                <w:sz w:val="20"/>
                <w:szCs w:val="20"/>
              </w:rPr>
              <w:t>with</w:t>
            </w:r>
            <w:r w:rsidRPr="3AF90611">
              <w:rPr>
                <w:rFonts w:ascii="Corbel" w:hAnsi="Corbel"/>
                <w:color w:val="0070C0"/>
                <w:sz w:val="20"/>
                <w:szCs w:val="20"/>
              </w:rPr>
              <w:t xml:space="preserve">in the reporting period </w:t>
            </w:r>
          </w:p>
          <w:p w14:paraId="0334F642" w14:textId="3A3A6971" w:rsidR="005944AC" w:rsidRDefault="00071FA6" w:rsidP="009E4510">
            <w:pPr>
              <w:pStyle w:val="ListParagraph"/>
              <w:numPr>
                <w:ilvl w:val="0"/>
                <w:numId w:val="48"/>
              </w:numPr>
              <w:rPr>
                <w:rFonts w:ascii="Corbel" w:hAnsi="Corbel"/>
                <w:color w:val="0070C0"/>
                <w:sz w:val="20"/>
                <w:szCs w:val="20"/>
              </w:rPr>
            </w:pPr>
            <w:r>
              <w:rPr>
                <w:rFonts w:ascii="Corbel" w:hAnsi="Corbel"/>
                <w:color w:val="0070C0"/>
                <w:sz w:val="20"/>
                <w:szCs w:val="20"/>
              </w:rPr>
              <w:t>detail</w:t>
            </w:r>
            <w:r w:rsidR="004A7B14" w:rsidRPr="00F14E42">
              <w:rPr>
                <w:rFonts w:ascii="Corbel" w:hAnsi="Corbel"/>
                <w:color w:val="0070C0"/>
                <w:sz w:val="20"/>
                <w:szCs w:val="20"/>
              </w:rPr>
              <w:t xml:space="preserve"> </w:t>
            </w:r>
            <w:r w:rsidR="00F3433D" w:rsidRPr="00F14E42">
              <w:rPr>
                <w:rFonts w:ascii="Corbel" w:hAnsi="Corbel"/>
                <w:color w:val="0070C0"/>
                <w:sz w:val="20"/>
                <w:szCs w:val="20"/>
              </w:rPr>
              <w:t xml:space="preserve">anticipated delivery dates </w:t>
            </w:r>
            <w:r>
              <w:rPr>
                <w:rFonts w:ascii="Corbel" w:hAnsi="Corbel"/>
                <w:color w:val="0070C0"/>
                <w:sz w:val="20"/>
                <w:szCs w:val="20"/>
              </w:rPr>
              <w:t>for each</w:t>
            </w:r>
            <w:r w:rsidRPr="00F14E42">
              <w:rPr>
                <w:rFonts w:ascii="Corbel" w:hAnsi="Corbel"/>
                <w:color w:val="0070C0"/>
                <w:sz w:val="20"/>
                <w:szCs w:val="20"/>
              </w:rPr>
              <w:t xml:space="preserve"> </w:t>
            </w:r>
            <w:r w:rsidR="003565AD" w:rsidRPr="00F14E42">
              <w:rPr>
                <w:rFonts w:ascii="Corbel" w:hAnsi="Corbel"/>
                <w:color w:val="0070C0"/>
                <w:sz w:val="20"/>
                <w:szCs w:val="20"/>
              </w:rPr>
              <w:t>activit</w:t>
            </w:r>
            <w:r>
              <w:rPr>
                <w:rFonts w:ascii="Corbel" w:hAnsi="Corbel"/>
                <w:color w:val="0070C0"/>
                <w:sz w:val="20"/>
                <w:szCs w:val="20"/>
              </w:rPr>
              <w:t>y</w:t>
            </w:r>
            <w:r w:rsidR="00986979" w:rsidRPr="00E17B7B">
              <w:rPr>
                <w:rFonts w:ascii="Corbel" w:hAnsi="Corbel"/>
                <w:color w:val="0070C0"/>
                <w:sz w:val="20"/>
                <w:szCs w:val="20"/>
              </w:rPr>
              <w:t xml:space="preserve"> </w:t>
            </w:r>
            <w:r w:rsidR="00D22917" w:rsidRPr="00E17B7B">
              <w:rPr>
                <w:rFonts w:ascii="Corbel" w:hAnsi="Corbel"/>
                <w:color w:val="0070C0"/>
                <w:sz w:val="20"/>
                <w:szCs w:val="20"/>
              </w:rPr>
              <w:t xml:space="preserve"> </w:t>
            </w:r>
          </w:p>
          <w:p w14:paraId="1A5DBF3E" w14:textId="479653D2" w:rsidR="007A51C1" w:rsidRPr="00B00607" w:rsidRDefault="362D6859" w:rsidP="00B00607">
            <w:pPr>
              <w:pStyle w:val="ListParagraph"/>
              <w:numPr>
                <w:ilvl w:val="0"/>
                <w:numId w:val="48"/>
              </w:numPr>
              <w:rPr>
                <w:rFonts w:ascii="Corbel" w:hAnsi="Corbel"/>
                <w:color w:val="0070C0"/>
                <w:sz w:val="20"/>
                <w:szCs w:val="20"/>
              </w:rPr>
            </w:pPr>
            <w:r w:rsidRPr="3AF90611">
              <w:rPr>
                <w:rFonts w:ascii="Corbel" w:hAnsi="Corbel"/>
                <w:color w:val="0070C0"/>
                <w:sz w:val="20"/>
                <w:szCs w:val="20"/>
              </w:rPr>
              <w:t>e</w:t>
            </w:r>
            <w:r w:rsidR="6285A98C" w:rsidRPr="3AF90611">
              <w:rPr>
                <w:rFonts w:ascii="Corbel" w:hAnsi="Corbel"/>
                <w:color w:val="0070C0"/>
                <w:sz w:val="20"/>
                <w:szCs w:val="20"/>
              </w:rPr>
              <w:t>stablish a reporting framework, agreed upon with the Commonwealth</w:t>
            </w:r>
            <w:r w:rsidR="5DF6AEE6" w:rsidRPr="3AF90611">
              <w:rPr>
                <w:rFonts w:ascii="Corbel" w:hAnsi="Corbel"/>
                <w:color w:val="0070C0"/>
                <w:sz w:val="20"/>
                <w:szCs w:val="20"/>
              </w:rPr>
              <w:t xml:space="preserve"> that will include agreed performance indicators</w:t>
            </w:r>
            <w:r w:rsidR="6285A98C" w:rsidRPr="3AF90611">
              <w:rPr>
                <w:rFonts w:ascii="Corbel" w:hAnsi="Corbel"/>
                <w:color w:val="0070C0"/>
                <w:sz w:val="20"/>
                <w:szCs w:val="20"/>
              </w:rPr>
              <w:t xml:space="preserve">, to </w:t>
            </w:r>
            <w:r w:rsidR="6285A98C" w:rsidRPr="007A57AB">
              <w:rPr>
                <w:rFonts w:ascii="Corbel" w:hAnsi="Corbel"/>
                <w:color w:val="0070C0"/>
                <w:sz w:val="20"/>
                <w:szCs w:val="20"/>
              </w:rPr>
              <w:t>ensure transparent progress updates and time</w:t>
            </w:r>
            <w:r w:rsidR="1560EFC1" w:rsidRPr="007A57AB">
              <w:rPr>
                <w:rFonts w:ascii="Corbel" w:hAnsi="Corbel"/>
                <w:color w:val="0070C0"/>
                <w:sz w:val="20"/>
                <w:szCs w:val="20"/>
              </w:rPr>
              <w:t>ly identification of risk</w:t>
            </w:r>
            <w:r w:rsidR="1FD28577" w:rsidRPr="007A57AB">
              <w:rPr>
                <w:rFonts w:ascii="Corbel" w:hAnsi="Corbel"/>
                <w:color w:val="0070C0"/>
                <w:sz w:val="20"/>
                <w:szCs w:val="20"/>
              </w:rPr>
              <w:t>.</w:t>
            </w:r>
          </w:p>
        </w:tc>
        <w:tc>
          <w:tcPr>
            <w:tcW w:w="1122" w:type="pct"/>
            <w:shd w:val="clear" w:color="auto" w:fill="F2F2F2" w:themeFill="background1" w:themeFillShade="F2"/>
          </w:tcPr>
          <w:p w14:paraId="197E6F50" w14:textId="452EE5B9" w:rsidR="00F3433D" w:rsidRPr="007D4B63" w:rsidRDefault="3D9F9E7B" w:rsidP="00F3433D">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4,930,000</w:t>
            </w:r>
            <w:r w:rsidR="242A75A1" w:rsidRPr="3AF90611">
              <w:rPr>
                <w:rFonts w:ascii="Corbel" w:hAnsi="Corbel"/>
                <w:color w:val="0070C0"/>
                <w:sz w:val="20"/>
                <w:szCs w:val="20"/>
              </w:rPr>
              <w:t xml:space="preserve"> </w:t>
            </w:r>
          </w:p>
        </w:tc>
        <w:tc>
          <w:tcPr>
            <w:tcW w:w="1052" w:type="pct"/>
            <w:shd w:val="clear" w:color="auto" w:fill="F2F2F2" w:themeFill="background1" w:themeFillShade="F2"/>
          </w:tcPr>
          <w:p w14:paraId="228115F9" w14:textId="68919895" w:rsidR="00F3433D" w:rsidRPr="007D4B63" w:rsidRDefault="00944689" w:rsidP="00F3433D">
            <w:pPr>
              <w:rPr>
                <w:rFonts w:ascii="Corbel" w:hAnsi="Corbel"/>
                <w:color w:val="0070C0"/>
                <w:sz w:val="20"/>
                <w:szCs w:val="20"/>
              </w:rPr>
            </w:pPr>
            <w:r>
              <w:rPr>
                <w:rFonts w:ascii="Corbel" w:hAnsi="Corbel"/>
                <w:color w:val="0070C0"/>
                <w:sz w:val="20"/>
                <w:szCs w:val="20"/>
              </w:rPr>
              <w:t xml:space="preserve">30 </w:t>
            </w:r>
            <w:r w:rsidR="00F3433D" w:rsidRPr="007D4B63">
              <w:rPr>
                <w:rFonts w:ascii="Corbel" w:hAnsi="Corbel"/>
                <w:color w:val="0070C0"/>
                <w:sz w:val="20"/>
                <w:szCs w:val="20"/>
              </w:rPr>
              <w:t>September 2025</w:t>
            </w:r>
          </w:p>
        </w:tc>
      </w:tr>
      <w:tr w:rsidR="0046044A" w14:paraId="6B29DB9B" w14:textId="77777777" w:rsidTr="00B00607">
        <w:tc>
          <w:tcPr>
            <w:tcW w:w="1159" w:type="pct"/>
          </w:tcPr>
          <w:p w14:paraId="51BA0100" w14:textId="0C32369C" w:rsidR="0046044A" w:rsidRPr="007D4B63" w:rsidRDefault="0046044A" w:rsidP="0046044A">
            <w:pPr>
              <w:rPr>
                <w:rFonts w:ascii="Corbel" w:hAnsi="Corbel"/>
                <w:color w:val="0070C0"/>
                <w:sz w:val="20"/>
                <w:szCs w:val="20"/>
              </w:rPr>
            </w:pPr>
            <w:r w:rsidRPr="007D4B63">
              <w:rPr>
                <w:rFonts w:ascii="Corbel" w:hAnsi="Corbel"/>
                <w:color w:val="0070C0"/>
                <w:sz w:val="20"/>
                <w:szCs w:val="20"/>
              </w:rPr>
              <w:t xml:space="preserve">Milestone </w:t>
            </w:r>
            <w:r w:rsidR="00EC1ECB">
              <w:rPr>
                <w:rFonts w:ascii="Corbel" w:hAnsi="Corbel"/>
                <w:color w:val="0070C0"/>
                <w:sz w:val="20"/>
                <w:szCs w:val="20"/>
              </w:rPr>
              <w:t>2</w:t>
            </w:r>
            <w:r w:rsidRPr="007D4B63">
              <w:rPr>
                <w:rFonts w:ascii="Corbel" w:hAnsi="Corbel"/>
                <w:color w:val="0070C0"/>
                <w:sz w:val="20"/>
                <w:szCs w:val="20"/>
              </w:rPr>
              <w:t xml:space="preserve">: </w:t>
            </w:r>
          </w:p>
          <w:p w14:paraId="010515A4" w14:textId="104C4608" w:rsidR="0046044A" w:rsidRPr="00857CA7" w:rsidRDefault="00EF5C99" w:rsidP="00857CA7">
            <w:pPr>
              <w:rPr>
                <w:rFonts w:ascii="Corbel" w:hAnsi="Corbel"/>
                <w:color w:val="0070C0"/>
                <w:sz w:val="20"/>
                <w:szCs w:val="20"/>
              </w:rPr>
            </w:pPr>
            <w:r w:rsidRPr="00857CA7">
              <w:rPr>
                <w:rFonts w:ascii="Corbel" w:hAnsi="Corbel"/>
                <w:color w:val="0070C0"/>
                <w:sz w:val="20"/>
                <w:szCs w:val="20"/>
              </w:rPr>
              <w:t>Commonwealth acceptance that Queensland has</w:t>
            </w:r>
            <w:r w:rsidR="003A0602" w:rsidRPr="00857CA7">
              <w:rPr>
                <w:rFonts w:ascii="Corbel" w:hAnsi="Corbel"/>
                <w:color w:val="0070C0"/>
                <w:sz w:val="20"/>
                <w:szCs w:val="20"/>
              </w:rPr>
              <w:t xml:space="preserve"> </w:t>
            </w:r>
            <w:r w:rsidR="00BF4C04" w:rsidRPr="00857CA7">
              <w:rPr>
                <w:rFonts w:ascii="Corbel" w:hAnsi="Corbel"/>
                <w:color w:val="0070C0"/>
                <w:sz w:val="20"/>
                <w:szCs w:val="20"/>
              </w:rPr>
              <w:t>d</w:t>
            </w:r>
            <w:r w:rsidR="008B07C5" w:rsidRPr="00857CA7">
              <w:rPr>
                <w:rFonts w:ascii="Corbel" w:hAnsi="Corbel"/>
                <w:color w:val="0070C0"/>
                <w:sz w:val="20"/>
                <w:szCs w:val="20"/>
              </w:rPr>
              <w:t xml:space="preserve">eveloped an </w:t>
            </w:r>
            <w:r w:rsidR="00102825" w:rsidRPr="00857CA7">
              <w:rPr>
                <w:rFonts w:ascii="Corbel" w:hAnsi="Corbel"/>
                <w:color w:val="0070C0"/>
                <w:sz w:val="20"/>
                <w:szCs w:val="20"/>
              </w:rPr>
              <w:t>o</w:t>
            </w:r>
            <w:r w:rsidR="0046044A" w:rsidRPr="00857CA7">
              <w:rPr>
                <w:rFonts w:ascii="Corbel" w:hAnsi="Corbel"/>
                <w:color w:val="0070C0"/>
                <w:sz w:val="20"/>
                <w:szCs w:val="20"/>
              </w:rPr>
              <w:t>verarching evaluation framework</w:t>
            </w:r>
          </w:p>
        </w:tc>
        <w:tc>
          <w:tcPr>
            <w:tcW w:w="1667" w:type="pct"/>
          </w:tcPr>
          <w:p w14:paraId="3B1BE07D" w14:textId="70F8969B" w:rsidR="00B002AF" w:rsidRPr="007D4B63" w:rsidRDefault="00C05AC0" w:rsidP="003A0AAF">
            <w:pPr>
              <w:rPr>
                <w:rFonts w:ascii="Corbel" w:hAnsi="Corbel"/>
                <w:color w:val="0070C0"/>
                <w:sz w:val="20"/>
                <w:szCs w:val="20"/>
              </w:rPr>
            </w:pPr>
            <w:r w:rsidRPr="00712EF4">
              <w:rPr>
                <w:rFonts w:ascii="Corbel" w:hAnsi="Corbel"/>
                <w:color w:val="0070C0"/>
                <w:sz w:val="20"/>
                <w:szCs w:val="20"/>
              </w:rPr>
              <w:t xml:space="preserve">Report signed by relevant Queensland senior official </w:t>
            </w:r>
            <w:r w:rsidR="00C24092">
              <w:rPr>
                <w:rFonts w:ascii="Corbel" w:hAnsi="Corbel"/>
                <w:color w:val="0070C0"/>
                <w:sz w:val="20"/>
                <w:szCs w:val="20"/>
              </w:rPr>
              <w:t xml:space="preserve">with responsibility for skills </w:t>
            </w:r>
            <w:r w:rsidRPr="00712EF4">
              <w:rPr>
                <w:rFonts w:ascii="Corbel" w:hAnsi="Corbel"/>
                <w:color w:val="0070C0"/>
                <w:sz w:val="20"/>
                <w:szCs w:val="20"/>
              </w:rPr>
              <w:t>that outlines</w:t>
            </w:r>
            <w:r>
              <w:rPr>
                <w:rFonts w:ascii="Corbel" w:hAnsi="Corbel"/>
                <w:b/>
                <w:bCs/>
                <w:color w:val="0070C0"/>
                <w:sz w:val="20"/>
                <w:szCs w:val="20"/>
              </w:rPr>
              <w:t xml:space="preserve"> </w:t>
            </w:r>
            <w:r w:rsidR="009054E6" w:rsidRPr="00810B07">
              <w:rPr>
                <w:rFonts w:ascii="Corbel" w:hAnsi="Corbel"/>
                <w:color w:val="0070C0"/>
                <w:sz w:val="20"/>
                <w:szCs w:val="20"/>
              </w:rPr>
              <w:t>the overarching evaluation framework of activities of the completion’s initiative that demonstrates anticipated delivery dates of evaluation activities</w:t>
            </w:r>
            <w:r w:rsidR="003A0AAF">
              <w:rPr>
                <w:rFonts w:ascii="Corbel" w:hAnsi="Corbel"/>
                <w:color w:val="0070C0"/>
                <w:sz w:val="20"/>
                <w:szCs w:val="20"/>
              </w:rPr>
              <w:t>.</w:t>
            </w:r>
            <w:r w:rsidR="00DB066C" w:rsidRPr="007D4B63">
              <w:rPr>
                <w:rFonts w:ascii="Corbel" w:hAnsi="Corbel"/>
                <w:color w:val="0070C0"/>
                <w:sz w:val="20"/>
                <w:szCs w:val="20"/>
              </w:rPr>
              <w:t xml:space="preserve"> </w:t>
            </w:r>
          </w:p>
        </w:tc>
        <w:tc>
          <w:tcPr>
            <w:tcW w:w="1122" w:type="pct"/>
          </w:tcPr>
          <w:p w14:paraId="377FDFD2" w14:textId="15A8F68D" w:rsidR="0046044A" w:rsidRPr="007D4B63" w:rsidRDefault="07808254"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2,990,000</w:t>
            </w:r>
            <w:r w:rsidR="3E644F96" w:rsidRPr="3AF90611">
              <w:rPr>
                <w:rFonts w:ascii="Corbel" w:hAnsi="Corbel"/>
                <w:color w:val="0070C0"/>
                <w:sz w:val="20"/>
                <w:szCs w:val="20"/>
              </w:rPr>
              <w:t xml:space="preserve"> </w:t>
            </w:r>
          </w:p>
        </w:tc>
        <w:tc>
          <w:tcPr>
            <w:tcW w:w="1052" w:type="pct"/>
          </w:tcPr>
          <w:p w14:paraId="3FBA5A60" w14:textId="56E36EB0" w:rsidR="0046044A" w:rsidRPr="007D4B63" w:rsidRDefault="00E07C82" w:rsidP="0046044A">
            <w:pPr>
              <w:rPr>
                <w:rFonts w:ascii="Corbel" w:hAnsi="Corbel"/>
                <w:color w:val="0070C0"/>
                <w:sz w:val="20"/>
                <w:szCs w:val="20"/>
              </w:rPr>
            </w:pPr>
            <w:r>
              <w:rPr>
                <w:rFonts w:ascii="Corbel" w:hAnsi="Corbel"/>
                <w:color w:val="0070C0"/>
                <w:sz w:val="20"/>
                <w:szCs w:val="20"/>
              </w:rPr>
              <w:t xml:space="preserve">31 </w:t>
            </w:r>
            <w:r w:rsidR="0046044A" w:rsidRPr="007D4B63">
              <w:rPr>
                <w:rFonts w:ascii="Corbel" w:hAnsi="Corbel"/>
                <w:color w:val="0070C0"/>
                <w:sz w:val="20"/>
                <w:szCs w:val="20"/>
              </w:rPr>
              <w:t>March 2026</w:t>
            </w:r>
          </w:p>
        </w:tc>
      </w:tr>
      <w:tr w:rsidR="0046044A" w14:paraId="1206DBBB" w14:textId="77777777" w:rsidTr="00B00607">
        <w:tc>
          <w:tcPr>
            <w:tcW w:w="1159" w:type="pct"/>
          </w:tcPr>
          <w:p w14:paraId="47C315D9" w14:textId="44448CE3" w:rsidR="0046044A" w:rsidRPr="007D4B63" w:rsidRDefault="0046044A" w:rsidP="0046044A">
            <w:pPr>
              <w:rPr>
                <w:rFonts w:ascii="Corbel" w:hAnsi="Corbel"/>
                <w:color w:val="0070C0"/>
                <w:sz w:val="20"/>
                <w:szCs w:val="20"/>
              </w:rPr>
            </w:pPr>
            <w:r w:rsidRPr="007D4B63">
              <w:rPr>
                <w:rFonts w:ascii="Corbel" w:hAnsi="Corbel"/>
                <w:color w:val="0070C0"/>
                <w:sz w:val="20"/>
                <w:szCs w:val="20"/>
              </w:rPr>
              <w:t xml:space="preserve">Milestone </w:t>
            </w:r>
            <w:r w:rsidR="00032AC5">
              <w:rPr>
                <w:rFonts w:ascii="Corbel" w:hAnsi="Corbel"/>
                <w:color w:val="0070C0"/>
                <w:sz w:val="20"/>
                <w:szCs w:val="20"/>
              </w:rPr>
              <w:t>3</w:t>
            </w:r>
            <w:r w:rsidRPr="007D4B63">
              <w:rPr>
                <w:rFonts w:ascii="Corbel" w:hAnsi="Corbel"/>
                <w:color w:val="0070C0"/>
                <w:sz w:val="20"/>
                <w:szCs w:val="20"/>
              </w:rPr>
              <w:t>:</w:t>
            </w:r>
          </w:p>
          <w:p w14:paraId="231A12B9" w14:textId="02FC71EF" w:rsidR="00AF05A7" w:rsidRPr="007D4B63" w:rsidRDefault="00CB3C38" w:rsidP="0046044A">
            <w:pPr>
              <w:rPr>
                <w:rFonts w:ascii="Corbel" w:hAnsi="Corbel"/>
                <w:color w:val="0070C0"/>
                <w:sz w:val="20"/>
                <w:szCs w:val="20"/>
              </w:rPr>
            </w:pPr>
            <w:r>
              <w:rPr>
                <w:rFonts w:ascii="Corbel" w:hAnsi="Corbel"/>
                <w:color w:val="0070C0"/>
                <w:sz w:val="20"/>
                <w:szCs w:val="20"/>
              </w:rPr>
              <w:t xml:space="preserve">Commonwealth acceptance </w:t>
            </w:r>
            <w:r w:rsidR="00940611">
              <w:rPr>
                <w:rFonts w:ascii="Corbel" w:hAnsi="Corbel"/>
                <w:color w:val="0070C0"/>
                <w:sz w:val="20"/>
                <w:szCs w:val="20"/>
              </w:rPr>
              <w:t xml:space="preserve">of the </w:t>
            </w:r>
            <w:r w:rsidR="005F48C5">
              <w:rPr>
                <w:rFonts w:ascii="Corbel" w:hAnsi="Corbel"/>
                <w:color w:val="0070C0"/>
                <w:sz w:val="20"/>
                <w:szCs w:val="20"/>
              </w:rPr>
              <w:t>p</w:t>
            </w:r>
            <w:r w:rsidR="00811D34">
              <w:rPr>
                <w:rFonts w:ascii="Corbel" w:hAnsi="Corbel"/>
                <w:color w:val="0070C0"/>
                <w:sz w:val="20"/>
                <w:szCs w:val="20"/>
              </w:rPr>
              <w:t xml:space="preserve">roject </w:t>
            </w:r>
            <w:r w:rsidR="005F48C5">
              <w:rPr>
                <w:rFonts w:ascii="Corbel" w:hAnsi="Corbel"/>
                <w:color w:val="0070C0"/>
                <w:sz w:val="20"/>
                <w:szCs w:val="20"/>
              </w:rPr>
              <w:t xml:space="preserve">progress report </w:t>
            </w:r>
            <w:r w:rsidR="00511FF7">
              <w:rPr>
                <w:rFonts w:ascii="Corbel" w:hAnsi="Corbel"/>
                <w:color w:val="0070C0"/>
                <w:sz w:val="20"/>
                <w:szCs w:val="20"/>
              </w:rPr>
              <w:t xml:space="preserve">for the period </w:t>
            </w:r>
            <w:r w:rsidR="00857CA7">
              <w:rPr>
                <w:rFonts w:ascii="Corbel" w:hAnsi="Corbel"/>
                <w:color w:val="0070C0"/>
                <w:sz w:val="20"/>
                <w:szCs w:val="20"/>
              </w:rPr>
              <w:t>January 2025</w:t>
            </w:r>
            <w:r w:rsidR="00F06C8E">
              <w:rPr>
                <w:rFonts w:ascii="Corbel" w:hAnsi="Corbel"/>
                <w:color w:val="0070C0"/>
                <w:sz w:val="20"/>
                <w:szCs w:val="20"/>
              </w:rPr>
              <w:t xml:space="preserve"> </w:t>
            </w:r>
            <w:r w:rsidR="006E0987">
              <w:rPr>
                <w:rFonts w:ascii="Corbel" w:hAnsi="Corbel"/>
                <w:color w:val="0070C0"/>
                <w:sz w:val="20"/>
                <w:szCs w:val="20"/>
              </w:rPr>
              <w:t>to</w:t>
            </w:r>
            <w:r w:rsidR="001A7BFF">
              <w:rPr>
                <w:rFonts w:ascii="Corbel" w:hAnsi="Corbel"/>
                <w:color w:val="0070C0"/>
                <w:sz w:val="20"/>
                <w:szCs w:val="20"/>
              </w:rPr>
              <w:t xml:space="preserve"> September 202</w:t>
            </w:r>
            <w:r w:rsidR="006E0987">
              <w:rPr>
                <w:rFonts w:ascii="Corbel" w:hAnsi="Corbel"/>
                <w:color w:val="0070C0"/>
                <w:sz w:val="20"/>
                <w:szCs w:val="20"/>
              </w:rPr>
              <w:t>6</w:t>
            </w:r>
          </w:p>
        </w:tc>
        <w:tc>
          <w:tcPr>
            <w:tcW w:w="1667" w:type="pct"/>
          </w:tcPr>
          <w:p w14:paraId="2235F3A3" w14:textId="19DA56DA" w:rsidR="00A20667" w:rsidRDefault="00370E94" w:rsidP="0046044A">
            <w:pPr>
              <w:rPr>
                <w:rFonts w:ascii="Corbel" w:hAnsi="Corbel"/>
                <w:color w:val="0070C0"/>
                <w:sz w:val="20"/>
                <w:szCs w:val="20"/>
              </w:rPr>
            </w:pPr>
            <w:r w:rsidRPr="00954694">
              <w:rPr>
                <w:rFonts w:ascii="Corbel" w:hAnsi="Corbel"/>
                <w:color w:val="0070C0"/>
                <w:sz w:val="20"/>
                <w:szCs w:val="20"/>
              </w:rPr>
              <w:t>Progress report</w:t>
            </w:r>
            <w:r w:rsidR="00A84986" w:rsidRPr="00810B07">
              <w:rPr>
                <w:rFonts w:ascii="Corbel" w:hAnsi="Corbel"/>
                <w:color w:val="0070C0"/>
                <w:sz w:val="20"/>
                <w:szCs w:val="20"/>
              </w:rPr>
              <w:t xml:space="preserve"> </w:t>
            </w:r>
            <w:r w:rsidR="0017383D">
              <w:rPr>
                <w:rFonts w:ascii="Corbel" w:hAnsi="Corbel"/>
                <w:color w:val="0070C0"/>
                <w:sz w:val="20"/>
                <w:szCs w:val="20"/>
              </w:rPr>
              <w:t xml:space="preserve">against the overarching </w:t>
            </w:r>
            <w:r w:rsidR="00987242">
              <w:rPr>
                <w:rFonts w:ascii="Corbel" w:hAnsi="Corbel"/>
                <w:color w:val="0070C0"/>
                <w:sz w:val="20"/>
                <w:szCs w:val="20"/>
              </w:rPr>
              <w:t xml:space="preserve">project plan </w:t>
            </w:r>
            <w:r w:rsidR="00A84986" w:rsidRPr="00810B07">
              <w:rPr>
                <w:rFonts w:ascii="Corbel" w:hAnsi="Corbel"/>
                <w:color w:val="0070C0"/>
                <w:sz w:val="20"/>
                <w:szCs w:val="20"/>
              </w:rPr>
              <w:t xml:space="preserve">signed by </w:t>
            </w:r>
            <w:r w:rsidR="00494CCD" w:rsidRPr="00810B07">
              <w:rPr>
                <w:rFonts w:ascii="Corbel" w:hAnsi="Corbel"/>
                <w:color w:val="0070C0"/>
                <w:sz w:val="20"/>
                <w:szCs w:val="20"/>
              </w:rPr>
              <w:t xml:space="preserve">the relevant </w:t>
            </w:r>
            <w:r w:rsidR="009003DF" w:rsidRPr="007D4B63">
              <w:rPr>
                <w:rFonts w:ascii="Corbel" w:hAnsi="Corbel"/>
                <w:color w:val="0070C0"/>
                <w:sz w:val="20"/>
                <w:szCs w:val="20"/>
              </w:rPr>
              <w:t>Queensland senior official with responsibility for skills</w:t>
            </w:r>
            <w:r w:rsidR="00794234">
              <w:rPr>
                <w:rFonts w:ascii="Corbel" w:hAnsi="Corbel"/>
                <w:color w:val="0070C0"/>
                <w:sz w:val="20"/>
                <w:szCs w:val="20"/>
              </w:rPr>
              <w:t xml:space="preserve"> that</w:t>
            </w:r>
            <w:r w:rsidR="009003DF" w:rsidRPr="007D4B63">
              <w:rPr>
                <w:rFonts w:ascii="Corbel" w:hAnsi="Corbel"/>
                <w:color w:val="0070C0"/>
                <w:sz w:val="20"/>
                <w:szCs w:val="20"/>
              </w:rPr>
              <w:t xml:space="preserve"> </w:t>
            </w:r>
            <w:r w:rsidR="003A61F1">
              <w:rPr>
                <w:rFonts w:ascii="Corbel" w:hAnsi="Corbel"/>
                <w:color w:val="0070C0"/>
                <w:sz w:val="20"/>
                <w:szCs w:val="20"/>
              </w:rPr>
              <w:t>includes at a minimum</w:t>
            </w:r>
            <w:r w:rsidR="00A20667">
              <w:rPr>
                <w:rFonts w:ascii="Corbel" w:hAnsi="Corbel"/>
                <w:color w:val="0070C0"/>
                <w:sz w:val="20"/>
                <w:szCs w:val="20"/>
              </w:rPr>
              <w:t>:</w:t>
            </w:r>
          </w:p>
          <w:p w14:paraId="5CD003E3" w14:textId="77777777" w:rsidR="007F427B" w:rsidRDefault="007F427B" w:rsidP="007F427B">
            <w:pPr>
              <w:pStyle w:val="Bullet"/>
              <w:numPr>
                <w:ilvl w:val="0"/>
                <w:numId w:val="6"/>
              </w:numPr>
            </w:pPr>
            <w:r>
              <w:t>a project plan traffic light report highlighting progress against key activities of the initiatives</w:t>
            </w:r>
          </w:p>
          <w:p w14:paraId="472CCA83" w14:textId="1A793CC3" w:rsidR="0004691D" w:rsidRDefault="009003DF" w:rsidP="00753C8E">
            <w:pPr>
              <w:pStyle w:val="Bullet"/>
              <w:numPr>
                <w:ilvl w:val="0"/>
                <w:numId w:val="6"/>
              </w:numPr>
            </w:pPr>
            <w:r w:rsidRPr="00C95FF2">
              <w:t>key activities of the initiative</w:t>
            </w:r>
            <w:r w:rsidR="003812D1">
              <w:t xml:space="preserve"> ach</w:t>
            </w:r>
            <w:r w:rsidR="00D800C5">
              <w:t>ieved</w:t>
            </w:r>
            <w:r w:rsidRPr="00C95FF2">
              <w:t xml:space="preserve"> in the reporting period that demonstrates </w:t>
            </w:r>
            <w:r w:rsidR="005A64E8" w:rsidRPr="00C95FF2">
              <w:t xml:space="preserve">the </w:t>
            </w:r>
            <w:r w:rsidRPr="00C95FF2">
              <w:t>status</w:t>
            </w:r>
            <w:r w:rsidR="00235F89">
              <w:t xml:space="preserve"> of the </w:t>
            </w:r>
            <w:r w:rsidR="00C95FF2">
              <w:t xml:space="preserve">initiative, and </w:t>
            </w:r>
          </w:p>
          <w:p w14:paraId="3A4CFF13" w14:textId="2E2EE978" w:rsidR="00C57D34" w:rsidRPr="00C95FF2" w:rsidRDefault="00534AE7" w:rsidP="00810B07">
            <w:pPr>
              <w:pStyle w:val="Bullet"/>
              <w:numPr>
                <w:ilvl w:val="0"/>
                <w:numId w:val="6"/>
              </w:numPr>
            </w:pPr>
            <w:r>
              <w:t xml:space="preserve">financial </w:t>
            </w:r>
            <w:r w:rsidR="00C95FF2" w:rsidRPr="00C95FF2">
              <w:t>information on amounts applied to each of the activities</w:t>
            </w:r>
            <w:r>
              <w:t>.</w:t>
            </w:r>
          </w:p>
        </w:tc>
        <w:tc>
          <w:tcPr>
            <w:tcW w:w="1122" w:type="pct"/>
          </w:tcPr>
          <w:p w14:paraId="36E25AC3" w14:textId="3E5EAF9C" w:rsidR="0046044A" w:rsidRPr="007D4B63" w:rsidRDefault="03E2D86E"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11,170,000</w:t>
            </w:r>
          </w:p>
        </w:tc>
        <w:tc>
          <w:tcPr>
            <w:tcW w:w="1052" w:type="pct"/>
          </w:tcPr>
          <w:p w14:paraId="24C0C308" w14:textId="4C75C52C" w:rsidR="0046044A" w:rsidRPr="007D4B63" w:rsidRDefault="0054661F" w:rsidP="0046044A">
            <w:pPr>
              <w:rPr>
                <w:rFonts w:ascii="Corbel" w:hAnsi="Corbel"/>
                <w:color w:val="0070C0"/>
                <w:sz w:val="20"/>
                <w:szCs w:val="20"/>
              </w:rPr>
            </w:pPr>
            <w:r>
              <w:rPr>
                <w:rFonts w:ascii="Corbel" w:hAnsi="Corbel"/>
                <w:color w:val="0070C0"/>
                <w:sz w:val="20"/>
                <w:szCs w:val="20"/>
              </w:rPr>
              <w:t xml:space="preserve">30 </w:t>
            </w:r>
            <w:r w:rsidR="0046044A" w:rsidRPr="007D4B63">
              <w:rPr>
                <w:rFonts w:ascii="Corbel" w:hAnsi="Corbel"/>
                <w:color w:val="0070C0"/>
                <w:sz w:val="20"/>
                <w:szCs w:val="20"/>
              </w:rPr>
              <w:t>September 2026</w:t>
            </w:r>
          </w:p>
        </w:tc>
      </w:tr>
      <w:tr w:rsidR="0046044A" w14:paraId="354B7A12" w14:textId="77777777" w:rsidTr="00B00607">
        <w:tc>
          <w:tcPr>
            <w:tcW w:w="1159" w:type="pct"/>
          </w:tcPr>
          <w:p w14:paraId="55557D4B" w14:textId="18CE192F" w:rsidR="00612603" w:rsidRPr="007D4B63" w:rsidRDefault="0046044A" w:rsidP="0046044A">
            <w:pPr>
              <w:rPr>
                <w:rFonts w:ascii="Corbel" w:hAnsi="Corbel"/>
                <w:color w:val="0070C0"/>
                <w:sz w:val="20"/>
                <w:szCs w:val="20"/>
              </w:rPr>
            </w:pPr>
            <w:r w:rsidRPr="007D4B63">
              <w:rPr>
                <w:rFonts w:ascii="Corbel" w:hAnsi="Corbel"/>
                <w:color w:val="0070C0"/>
                <w:sz w:val="20"/>
                <w:szCs w:val="20"/>
              </w:rPr>
              <w:t xml:space="preserve">Milestone </w:t>
            </w:r>
            <w:r w:rsidR="00032AC5">
              <w:rPr>
                <w:rFonts w:ascii="Corbel" w:hAnsi="Corbel"/>
                <w:color w:val="0070C0"/>
                <w:sz w:val="20"/>
                <w:szCs w:val="20"/>
              </w:rPr>
              <w:t>4</w:t>
            </w:r>
            <w:r w:rsidRPr="007D4B63">
              <w:rPr>
                <w:rFonts w:ascii="Corbel" w:hAnsi="Corbel"/>
                <w:color w:val="0070C0"/>
                <w:sz w:val="20"/>
                <w:szCs w:val="20"/>
              </w:rPr>
              <w:t>:</w:t>
            </w:r>
            <w:r w:rsidR="00612603" w:rsidRPr="007D4B63">
              <w:rPr>
                <w:rFonts w:ascii="Corbel" w:hAnsi="Corbel"/>
                <w:color w:val="0070C0"/>
                <w:sz w:val="20"/>
                <w:szCs w:val="20"/>
              </w:rPr>
              <w:t xml:space="preserve"> </w:t>
            </w:r>
          </w:p>
          <w:p w14:paraId="251119D7" w14:textId="05AE6AD3" w:rsidR="0046044A" w:rsidRPr="007D4B63" w:rsidRDefault="00250FE8" w:rsidP="0046044A">
            <w:pPr>
              <w:rPr>
                <w:rFonts w:ascii="Corbel" w:hAnsi="Corbel"/>
                <w:color w:val="0070C0"/>
                <w:sz w:val="20"/>
                <w:szCs w:val="20"/>
              </w:rPr>
            </w:pPr>
            <w:r>
              <w:rPr>
                <w:rFonts w:ascii="Corbel" w:hAnsi="Corbel"/>
                <w:color w:val="0070C0"/>
                <w:sz w:val="20"/>
                <w:szCs w:val="20"/>
              </w:rPr>
              <w:t>Commonwealth acceptance of an o</w:t>
            </w:r>
            <w:r w:rsidR="00612603" w:rsidRPr="007D4B63">
              <w:rPr>
                <w:rFonts w:ascii="Corbel" w:hAnsi="Corbel"/>
                <w:color w:val="0070C0"/>
                <w:sz w:val="20"/>
                <w:szCs w:val="20"/>
              </w:rPr>
              <w:t>verarching framework midpoint evaluation report</w:t>
            </w:r>
            <w:r w:rsidR="00A64134">
              <w:rPr>
                <w:rFonts w:ascii="Corbel" w:hAnsi="Corbel"/>
                <w:color w:val="0070C0"/>
                <w:sz w:val="20"/>
                <w:szCs w:val="20"/>
              </w:rPr>
              <w:t xml:space="preserve"> for the period</w:t>
            </w:r>
            <w:r w:rsidR="007605ED">
              <w:rPr>
                <w:rFonts w:ascii="Corbel" w:hAnsi="Corbel"/>
                <w:color w:val="0070C0"/>
                <w:sz w:val="20"/>
                <w:szCs w:val="20"/>
              </w:rPr>
              <w:t xml:space="preserve"> </w:t>
            </w:r>
            <w:r w:rsidR="00416744">
              <w:rPr>
                <w:rFonts w:ascii="Corbel" w:hAnsi="Corbel"/>
                <w:color w:val="0070C0"/>
                <w:sz w:val="20"/>
                <w:szCs w:val="20"/>
              </w:rPr>
              <w:t>January 2025</w:t>
            </w:r>
            <w:r w:rsidR="00BE6960" w:rsidRPr="00BE6960">
              <w:rPr>
                <w:rFonts w:ascii="Corbel" w:hAnsi="Corbel"/>
                <w:color w:val="0070C0"/>
                <w:sz w:val="20"/>
                <w:szCs w:val="20"/>
              </w:rPr>
              <w:t xml:space="preserve"> </w:t>
            </w:r>
            <w:r w:rsidR="006E0987">
              <w:rPr>
                <w:rFonts w:ascii="Corbel" w:hAnsi="Corbel"/>
                <w:color w:val="0070C0"/>
                <w:sz w:val="20"/>
                <w:szCs w:val="20"/>
              </w:rPr>
              <w:t xml:space="preserve">to March 2027. </w:t>
            </w:r>
          </w:p>
        </w:tc>
        <w:tc>
          <w:tcPr>
            <w:tcW w:w="1667" w:type="pct"/>
          </w:tcPr>
          <w:p w14:paraId="1C192560" w14:textId="3CB53215" w:rsidR="0046044A" w:rsidRPr="007D4B63" w:rsidRDefault="00D342F8" w:rsidP="00526FE8">
            <w:pPr>
              <w:rPr>
                <w:rFonts w:ascii="Corbel" w:hAnsi="Corbel"/>
                <w:color w:val="0070C0"/>
                <w:sz w:val="20"/>
                <w:szCs w:val="20"/>
              </w:rPr>
            </w:pPr>
            <w:r w:rsidRPr="00954694">
              <w:rPr>
                <w:rFonts w:ascii="Corbel" w:hAnsi="Corbel"/>
                <w:color w:val="0070C0"/>
                <w:sz w:val="20"/>
                <w:szCs w:val="20"/>
              </w:rPr>
              <w:t>Midpoint</w:t>
            </w:r>
            <w:r w:rsidR="009C663C" w:rsidRPr="00954694">
              <w:rPr>
                <w:rFonts w:ascii="Corbel" w:hAnsi="Corbel"/>
                <w:color w:val="0070C0"/>
                <w:sz w:val="20"/>
                <w:szCs w:val="20"/>
              </w:rPr>
              <w:t xml:space="preserve"> </w:t>
            </w:r>
            <w:r w:rsidR="00612603" w:rsidRPr="00954694">
              <w:rPr>
                <w:rFonts w:ascii="Corbel" w:hAnsi="Corbel"/>
                <w:color w:val="0070C0"/>
                <w:sz w:val="20"/>
                <w:szCs w:val="20"/>
              </w:rPr>
              <w:t xml:space="preserve">evaluation report </w:t>
            </w:r>
            <w:r w:rsidR="00263E16" w:rsidRPr="00810B07">
              <w:rPr>
                <w:rFonts w:ascii="Corbel" w:hAnsi="Corbel"/>
                <w:color w:val="0070C0"/>
                <w:sz w:val="20"/>
                <w:szCs w:val="20"/>
              </w:rPr>
              <w:t xml:space="preserve">signed by the </w:t>
            </w:r>
            <w:r w:rsidR="00954694" w:rsidRPr="00810B07">
              <w:rPr>
                <w:rFonts w:ascii="Corbel" w:hAnsi="Corbel"/>
                <w:color w:val="0070C0"/>
                <w:sz w:val="20"/>
                <w:szCs w:val="20"/>
              </w:rPr>
              <w:t xml:space="preserve">relevant Queensland </w:t>
            </w:r>
            <w:r w:rsidR="00433C22">
              <w:rPr>
                <w:rFonts w:ascii="Corbel" w:hAnsi="Corbel"/>
                <w:color w:val="0070C0"/>
                <w:sz w:val="20"/>
                <w:szCs w:val="20"/>
              </w:rPr>
              <w:t>senior official</w:t>
            </w:r>
            <w:r w:rsidR="003436DB">
              <w:rPr>
                <w:rFonts w:ascii="Corbel" w:hAnsi="Corbel"/>
                <w:color w:val="0070C0"/>
                <w:sz w:val="20"/>
                <w:szCs w:val="20"/>
              </w:rPr>
              <w:t xml:space="preserve"> with responsibility for skills </w:t>
            </w:r>
            <w:r w:rsidR="00526FE8">
              <w:rPr>
                <w:rFonts w:ascii="Corbel" w:hAnsi="Corbel"/>
                <w:color w:val="0070C0"/>
                <w:sz w:val="20"/>
                <w:szCs w:val="20"/>
              </w:rPr>
              <w:t>that include</w:t>
            </w:r>
            <w:r w:rsidR="00A64134">
              <w:rPr>
                <w:rFonts w:ascii="Corbel" w:hAnsi="Corbel"/>
                <w:color w:val="0070C0"/>
                <w:sz w:val="20"/>
                <w:szCs w:val="20"/>
              </w:rPr>
              <w:t>s</w:t>
            </w:r>
            <w:r w:rsidR="00526FE8">
              <w:rPr>
                <w:rFonts w:ascii="Corbel" w:hAnsi="Corbel"/>
                <w:color w:val="0070C0"/>
                <w:sz w:val="20"/>
                <w:szCs w:val="20"/>
              </w:rPr>
              <w:t xml:space="preserve"> </w:t>
            </w:r>
            <w:r w:rsidR="0053363A" w:rsidRPr="007D4B63">
              <w:rPr>
                <w:rFonts w:ascii="Corbel" w:hAnsi="Corbel"/>
                <w:color w:val="0070C0"/>
                <w:sz w:val="20"/>
                <w:szCs w:val="20"/>
              </w:rPr>
              <w:t>how the department is tracking against KPIs</w:t>
            </w:r>
            <w:r w:rsidR="002115FA" w:rsidRPr="007D4B63">
              <w:rPr>
                <w:rFonts w:ascii="Corbel" w:hAnsi="Corbel"/>
                <w:color w:val="0070C0"/>
                <w:sz w:val="20"/>
                <w:szCs w:val="20"/>
              </w:rPr>
              <w:t xml:space="preserve"> and case studies.</w:t>
            </w:r>
            <w:r w:rsidR="0053363A" w:rsidRPr="007D4B63">
              <w:rPr>
                <w:rFonts w:ascii="Corbel" w:hAnsi="Corbel"/>
                <w:color w:val="0070C0"/>
                <w:sz w:val="20"/>
                <w:szCs w:val="20"/>
              </w:rPr>
              <w:t xml:space="preserve"> </w:t>
            </w:r>
          </w:p>
        </w:tc>
        <w:tc>
          <w:tcPr>
            <w:tcW w:w="1122" w:type="pct"/>
          </w:tcPr>
          <w:p w14:paraId="0BBB864E" w14:textId="24E70FFD" w:rsidR="0046044A" w:rsidRPr="007D4B63" w:rsidRDefault="02B6EF0D"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4,790,000</w:t>
            </w:r>
          </w:p>
        </w:tc>
        <w:tc>
          <w:tcPr>
            <w:tcW w:w="1052" w:type="pct"/>
          </w:tcPr>
          <w:p w14:paraId="341C1B2E" w14:textId="10C681C1" w:rsidR="0046044A" w:rsidRPr="007D4B63" w:rsidRDefault="00794234" w:rsidP="0046044A">
            <w:pPr>
              <w:rPr>
                <w:rFonts w:ascii="Corbel" w:hAnsi="Corbel"/>
                <w:color w:val="0070C0"/>
                <w:sz w:val="20"/>
                <w:szCs w:val="20"/>
              </w:rPr>
            </w:pPr>
            <w:r>
              <w:rPr>
                <w:rFonts w:ascii="Corbel" w:hAnsi="Corbel"/>
                <w:color w:val="0070C0"/>
                <w:sz w:val="20"/>
                <w:szCs w:val="20"/>
              </w:rPr>
              <w:t xml:space="preserve">31 </w:t>
            </w:r>
            <w:r w:rsidR="0046044A" w:rsidRPr="007D4B63">
              <w:rPr>
                <w:rFonts w:ascii="Corbel" w:hAnsi="Corbel"/>
                <w:color w:val="0070C0"/>
                <w:sz w:val="20"/>
                <w:szCs w:val="20"/>
              </w:rPr>
              <w:t>March 2027</w:t>
            </w:r>
          </w:p>
        </w:tc>
      </w:tr>
      <w:tr w:rsidR="0046044A" w14:paraId="6B3EA0B8" w14:textId="77777777" w:rsidTr="00B00607">
        <w:tc>
          <w:tcPr>
            <w:tcW w:w="1159" w:type="pct"/>
          </w:tcPr>
          <w:p w14:paraId="58B53100" w14:textId="2A6C4704" w:rsidR="0046044A" w:rsidRPr="007D4B63" w:rsidRDefault="0046044A" w:rsidP="0046044A">
            <w:pPr>
              <w:rPr>
                <w:rFonts w:ascii="Corbel" w:hAnsi="Corbel"/>
                <w:color w:val="0070C0"/>
                <w:sz w:val="20"/>
                <w:szCs w:val="20"/>
              </w:rPr>
            </w:pPr>
            <w:r w:rsidRPr="007D4B63">
              <w:rPr>
                <w:rFonts w:ascii="Corbel" w:hAnsi="Corbel"/>
                <w:color w:val="0070C0"/>
                <w:sz w:val="20"/>
                <w:szCs w:val="20"/>
              </w:rPr>
              <w:lastRenderedPageBreak/>
              <w:t xml:space="preserve">Milestone </w:t>
            </w:r>
            <w:r w:rsidR="00032AC5">
              <w:rPr>
                <w:rFonts w:ascii="Corbel" w:hAnsi="Corbel"/>
                <w:color w:val="0070C0"/>
                <w:sz w:val="20"/>
                <w:szCs w:val="20"/>
              </w:rPr>
              <w:t>5</w:t>
            </w:r>
            <w:r w:rsidRPr="007D4B63">
              <w:rPr>
                <w:rFonts w:ascii="Corbel" w:hAnsi="Corbel"/>
                <w:color w:val="0070C0"/>
                <w:sz w:val="20"/>
                <w:szCs w:val="20"/>
              </w:rPr>
              <w:t>:</w:t>
            </w:r>
          </w:p>
          <w:p w14:paraId="743D1D78" w14:textId="5FA147B1" w:rsidR="00A6240F" w:rsidRPr="007D4B63" w:rsidRDefault="00001E17" w:rsidP="0046044A">
            <w:pPr>
              <w:rPr>
                <w:rFonts w:ascii="Corbel" w:hAnsi="Corbel"/>
                <w:color w:val="0070C0"/>
                <w:sz w:val="20"/>
                <w:szCs w:val="20"/>
              </w:rPr>
            </w:pPr>
            <w:r>
              <w:rPr>
                <w:rFonts w:ascii="Corbel" w:hAnsi="Corbel"/>
                <w:color w:val="0070C0"/>
                <w:sz w:val="20"/>
                <w:szCs w:val="20"/>
              </w:rPr>
              <w:t>Commonwealth acceptance of the project progress report</w:t>
            </w:r>
            <w:r w:rsidR="00DD1D58">
              <w:rPr>
                <w:rFonts w:ascii="Corbel" w:hAnsi="Corbel"/>
                <w:color w:val="0070C0"/>
                <w:sz w:val="20"/>
                <w:szCs w:val="20"/>
              </w:rPr>
              <w:t xml:space="preserve"> for the </w:t>
            </w:r>
            <w:r w:rsidR="00416744">
              <w:rPr>
                <w:rFonts w:ascii="Corbel" w:hAnsi="Corbel"/>
                <w:color w:val="0070C0"/>
                <w:sz w:val="20"/>
                <w:szCs w:val="20"/>
              </w:rPr>
              <w:t>period September</w:t>
            </w:r>
            <w:r w:rsidR="006E0987">
              <w:rPr>
                <w:rFonts w:ascii="Corbel" w:hAnsi="Corbel"/>
                <w:color w:val="0070C0"/>
                <w:sz w:val="20"/>
                <w:szCs w:val="20"/>
              </w:rPr>
              <w:t xml:space="preserve"> 202</w:t>
            </w:r>
            <w:r w:rsidR="007605ED">
              <w:rPr>
                <w:rFonts w:ascii="Corbel" w:hAnsi="Corbel"/>
                <w:color w:val="0070C0"/>
                <w:sz w:val="20"/>
                <w:szCs w:val="20"/>
              </w:rPr>
              <w:t>6 to September 2027</w:t>
            </w:r>
            <w:r w:rsidR="00DD1D58">
              <w:rPr>
                <w:rFonts w:ascii="Corbel" w:hAnsi="Corbel"/>
                <w:color w:val="0070C0"/>
                <w:sz w:val="20"/>
                <w:szCs w:val="20"/>
              </w:rPr>
              <w:t>.</w:t>
            </w:r>
            <w:r>
              <w:rPr>
                <w:rFonts w:ascii="Corbel" w:hAnsi="Corbel"/>
                <w:color w:val="0070C0"/>
                <w:sz w:val="20"/>
                <w:szCs w:val="20"/>
              </w:rPr>
              <w:t xml:space="preserve">  </w:t>
            </w:r>
          </w:p>
        </w:tc>
        <w:tc>
          <w:tcPr>
            <w:tcW w:w="1667" w:type="pct"/>
          </w:tcPr>
          <w:p w14:paraId="1AE05DF7" w14:textId="2CF69B9A" w:rsidR="0035342C" w:rsidRDefault="0035342C" w:rsidP="0035342C">
            <w:pPr>
              <w:rPr>
                <w:rFonts w:ascii="Corbel" w:hAnsi="Corbel"/>
                <w:color w:val="0070C0"/>
                <w:sz w:val="20"/>
                <w:szCs w:val="20"/>
              </w:rPr>
            </w:pPr>
            <w:r w:rsidRPr="00954694">
              <w:rPr>
                <w:rFonts w:ascii="Corbel" w:hAnsi="Corbel"/>
                <w:color w:val="0070C0"/>
                <w:sz w:val="20"/>
                <w:szCs w:val="20"/>
              </w:rPr>
              <w:t>Progress report</w:t>
            </w:r>
            <w:r w:rsidRPr="00C47151">
              <w:rPr>
                <w:rFonts w:ascii="Corbel" w:hAnsi="Corbel"/>
                <w:color w:val="0070C0"/>
                <w:sz w:val="20"/>
                <w:szCs w:val="20"/>
              </w:rPr>
              <w:t xml:space="preserve"> </w:t>
            </w:r>
            <w:r w:rsidR="008E7DEE">
              <w:rPr>
                <w:rFonts w:ascii="Corbel" w:hAnsi="Corbel"/>
                <w:color w:val="0070C0"/>
                <w:sz w:val="20"/>
                <w:szCs w:val="20"/>
              </w:rPr>
              <w:t xml:space="preserve">against the </w:t>
            </w:r>
            <w:r w:rsidR="004C3DC9">
              <w:rPr>
                <w:rFonts w:ascii="Corbel" w:hAnsi="Corbel"/>
                <w:color w:val="0070C0"/>
                <w:sz w:val="20"/>
                <w:szCs w:val="20"/>
              </w:rPr>
              <w:t>overarching Project</w:t>
            </w:r>
            <w:r w:rsidR="008E7DEE">
              <w:rPr>
                <w:rFonts w:ascii="Corbel" w:hAnsi="Corbel"/>
                <w:color w:val="0070C0"/>
                <w:sz w:val="20"/>
                <w:szCs w:val="20"/>
              </w:rPr>
              <w:t xml:space="preserve"> Plan </w:t>
            </w:r>
            <w:r w:rsidRPr="00C47151">
              <w:rPr>
                <w:rFonts w:ascii="Corbel" w:hAnsi="Corbel"/>
                <w:color w:val="0070C0"/>
                <w:sz w:val="20"/>
                <w:szCs w:val="20"/>
              </w:rPr>
              <w:t xml:space="preserve">signed by the relevant </w:t>
            </w:r>
            <w:r w:rsidRPr="007D4B63">
              <w:rPr>
                <w:rFonts w:ascii="Corbel" w:hAnsi="Corbel"/>
                <w:color w:val="0070C0"/>
                <w:sz w:val="20"/>
                <w:szCs w:val="20"/>
              </w:rPr>
              <w:t>Queensland senior official with responsibility for skills</w:t>
            </w:r>
            <w:r w:rsidR="00794234">
              <w:rPr>
                <w:rFonts w:ascii="Corbel" w:hAnsi="Corbel"/>
                <w:color w:val="0070C0"/>
                <w:sz w:val="20"/>
                <w:szCs w:val="20"/>
              </w:rPr>
              <w:t xml:space="preserve"> that</w:t>
            </w:r>
            <w:r w:rsidRPr="007D4B63">
              <w:rPr>
                <w:rFonts w:ascii="Corbel" w:hAnsi="Corbel"/>
                <w:color w:val="0070C0"/>
                <w:sz w:val="20"/>
                <w:szCs w:val="20"/>
              </w:rPr>
              <w:t xml:space="preserve"> </w:t>
            </w:r>
            <w:r>
              <w:rPr>
                <w:rFonts w:ascii="Corbel" w:hAnsi="Corbel"/>
                <w:color w:val="0070C0"/>
                <w:sz w:val="20"/>
                <w:szCs w:val="20"/>
              </w:rPr>
              <w:t>includes at a minimum:</w:t>
            </w:r>
          </w:p>
          <w:p w14:paraId="7BE84F8D" w14:textId="0D9D7055" w:rsidR="000B354C" w:rsidRPr="004733FA" w:rsidRDefault="0035342C" w:rsidP="00795149">
            <w:pPr>
              <w:pStyle w:val="Bullet"/>
              <w:numPr>
                <w:ilvl w:val="0"/>
                <w:numId w:val="6"/>
              </w:numPr>
            </w:pPr>
            <w:r>
              <w:t>a project plan traffic light report highlighting progress against key activities of the initiatives</w:t>
            </w:r>
          </w:p>
          <w:p w14:paraId="19149AE6" w14:textId="77777777" w:rsidR="00627642" w:rsidRDefault="0035342C">
            <w:pPr>
              <w:pStyle w:val="ListParagraph"/>
              <w:numPr>
                <w:ilvl w:val="0"/>
                <w:numId w:val="48"/>
              </w:numPr>
              <w:ind w:left="349"/>
              <w:rPr>
                <w:rFonts w:ascii="Corbel" w:hAnsi="Corbel"/>
                <w:color w:val="0070C0"/>
                <w:sz w:val="20"/>
                <w:szCs w:val="20"/>
              </w:rPr>
            </w:pPr>
            <w:r w:rsidRPr="00810B07">
              <w:rPr>
                <w:rFonts w:ascii="Corbel" w:hAnsi="Corbel"/>
                <w:color w:val="0070C0"/>
                <w:sz w:val="20"/>
                <w:szCs w:val="20"/>
              </w:rPr>
              <w:t xml:space="preserve">key activities of the initiative achieved in the reporting period that demonstrates the status of the initiative, and </w:t>
            </w:r>
          </w:p>
          <w:p w14:paraId="67A085FE" w14:textId="4F389481" w:rsidR="0046044A" w:rsidRPr="007D4B63" w:rsidRDefault="0035342C" w:rsidP="00810B07">
            <w:pPr>
              <w:pStyle w:val="ListParagraph"/>
              <w:numPr>
                <w:ilvl w:val="0"/>
                <w:numId w:val="48"/>
              </w:numPr>
              <w:ind w:left="349"/>
            </w:pPr>
            <w:r w:rsidRPr="00810B07">
              <w:rPr>
                <w:rFonts w:ascii="Corbel" w:hAnsi="Corbel"/>
                <w:color w:val="0070C0"/>
                <w:sz w:val="20"/>
                <w:szCs w:val="20"/>
              </w:rPr>
              <w:t>financial information on amounts applied to each of the activities.</w:t>
            </w:r>
          </w:p>
        </w:tc>
        <w:tc>
          <w:tcPr>
            <w:tcW w:w="1122" w:type="pct"/>
          </w:tcPr>
          <w:p w14:paraId="144155CA" w14:textId="544807C7" w:rsidR="0046044A" w:rsidRPr="007D4B63" w:rsidRDefault="2AE51937"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11,150,000</w:t>
            </w:r>
          </w:p>
        </w:tc>
        <w:tc>
          <w:tcPr>
            <w:tcW w:w="1052" w:type="pct"/>
          </w:tcPr>
          <w:p w14:paraId="2984EB2B" w14:textId="4107F1A8" w:rsidR="0046044A" w:rsidRPr="007D4B63" w:rsidRDefault="0054661F" w:rsidP="0046044A">
            <w:pPr>
              <w:rPr>
                <w:rFonts w:ascii="Corbel" w:hAnsi="Corbel"/>
                <w:color w:val="0070C0"/>
                <w:sz w:val="20"/>
                <w:szCs w:val="20"/>
              </w:rPr>
            </w:pPr>
            <w:r>
              <w:rPr>
                <w:rFonts w:ascii="Corbel" w:hAnsi="Corbel"/>
                <w:color w:val="0070C0"/>
                <w:sz w:val="20"/>
                <w:szCs w:val="20"/>
              </w:rPr>
              <w:t xml:space="preserve">30 </w:t>
            </w:r>
            <w:r w:rsidR="0046044A" w:rsidRPr="007D4B63">
              <w:rPr>
                <w:rFonts w:ascii="Corbel" w:hAnsi="Corbel"/>
                <w:color w:val="0070C0"/>
                <w:sz w:val="20"/>
                <w:szCs w:val="20"/>
              </w:rPr>
              <w:t>September 2027</w:t>
            </w:r>
          </w:p>
        </w:tc>
      </w:tr>
      <w:tr w:rsidR="0046044A" w14:paraId="4F3A1F52" w14:textId="77777777" w:rsidTr="00B00607">
        <w:tc>
          <w:tcPr>
            <w:tcW w:w="1159" w:type="pct"/>
          </w:tcPr>
          <w:p w14:paraId="08168817" w14:textId="227C42F6" w:rsidR="0046044A" w:rsidRPr="007D4B63" w:rsidRDefault="007F2426" w:rsidP="0046044A">
            <w:pPr>
              <w:rPr>
                <w:rFonts w:ascii="Corbel" w:hAnsi="Corbel"/>
                <w:color w:val="0070C0"/>
                <w:sz w:val="20"/>
                <w:szCs w:val="20"/>
              </w:rPr>
            </w:pPr>
            <w:r w:rsidRPr="007D4B63">
              <w:rPr>
                <w:rFonts w:ascii="Corbel" w:hAnsi="Corbel"/>
                <w:color w:val="0070C0"/>
                <w:sz w:val="20"/>
                <w:szCs w:val="20"/>
              </w:rPr>
              <w:t xml:space="preserve">Milestone </w:t>
            </w:r>
            <w:r w:rsidR="00032AC5">
              <w:rPr>
                <w:rFonts w:ascii="Corbel" w:hAnsi="Corbel"/>
                <w:color w:val="0070C0"/>
                <w:sz w:val="20"/>
                <w:szCs w:val="20"/>
              </w:rPr>
              <w:t>6</w:t>
            </w:r>
            <w:r w:rsidR="004C6249" w:rsidRPr="007D4B63">
              <w:rPr>
                <w:rFonts w:ascii="Corbel" w:hAnsi="Corbel"/>
                <w:color w:val="0070C0"/>
                <w:sz w:val="20"/>
                <w:szCs w:val="20"/>
              </w:rPr>
              <w:t xml:space="preserve">: </w:t>
            </w:r>
          </w:p>
          <w:p w14:paraId="2B3B98DE" w14:textId="5A68A063" w:rsidR="00EA74A5" w:rsidRPr="007D4B63" w:rsidRDefault="00A70DAA" w:rsidP="0046044A">
            <w:pPr>
              <w:rPr>
                <w:rFonts w:ascii="Corbel" w:hAnsi="Corbel"/>
                <w:color w:val="0070C0"/>
                <w:sz w:val="20"/>
                <w:szCs w:val="20"/>
              </w:rPr>
            </w:pPr>
            <w:r>
              <w:rPr>
                <w:rFonts w:ascii="Corbel" w:hAnsi="Corbel"/>
                <w:color w:val="0070C0"/>
                <w:sz w:val="20"/>
                <w:szCs w:val="20"/>
              </w:rPr>
              <w:t xml:space="preserve">Commonwealth acceptance of the </w:t>
            </w:r>
            <w:r w:rsidR="00AA268C">
              <w:rPr>
                <w:rFonts w:ascii="Corbel" w:hAnsi="Corbel"/>
                <w:color w:val="0070C0"/>
                <w:sz w:val="20"/>
                <w:szCs w:val="20"/>
              </w:rPr>
              <w:t>Qual</w:t>
            </w:r>
            <w:r w:rsidR="001411B9">
              <w:rPr>
                <w:rFonts w:ascii="Corbel" w:hAnsi="Corbel"/>
                <w:color w:val="0070C0"/>
                <w:sz w:val="20"/>
                <w:szCs w:val="20"/>
              </w:rPr>
              <w:t xml:space="preserve">itative </w:t>
            </w:r>
            <w:r w:rsidR="001500AD">
              <w:rPr>
                <w:rFonts w:ascii="Corbel" w:hAnsi="Corbel"/>
                <w:color w:val="0070C0"/>
                <w:sz w:val="20"/>
                <w:szCs w:val="20"/>
              </w:rPr>
              <w:t>Evidence Gathering Approach</w:t>
            </w:r>
            <w:r w:rsidR="006E3A4A" w:rsidRPr="007D4B63">
              <w:rPr>
                <w:rFonts w:ascii="Corbel" w:hAnsi="Corbel"/>
                <w:color w:val="0070C0"/>
                <w:sz w:val="20"/>
                <w:szCs w:val="20"/>
              </w:rPr>
              <w:t xml:space="preserve"> </w:t>
            </w:r>
          </w:p>
        </w:tc>
        <w:tc>
          <w:tcPr>
            <w:tcW w:w="1667" w:type="pct"/>
          </w:tcPr>
          <w:p w14:paraId="6156B0F6" w14:textId="10612155" w:rsidR="00D74470" w:rsidRDefault="006E4AFB" w:rsidP="0046044A">
            <w:pPr>
              <w:rPr>
                <w:rFonts w:ascii="Corbel" w:hAnsi="Corbel"/>
                <w:color w:val="0070C0"/>
                <w:sz w:val="20"/>
                <w:szCs w:val="20"/>
              </w:rPr>
            </w:pPr>
            <w:r w:rsidRPr="00810B07">
              <w:rPr>
                <w:rFonts w:ascii="Corbel" w:hAnsi="Corbel"/>
                <w:color w:val="0070C0"/>
                <w:sz w:val="20"/>
                <w:szCs w:val="20"/>
              </w:rPr>
              <w:t>Qual</w:t>
            </w:r>
            <w:r w:rsidR="006E5DE4" w:rsidRPr="00810B07">
              <w:rPr>
                <w:rFonts w:ascii="Corbel" w:hAnsi="Corbel"/>
                <w:color w:val="0070C0"/>
                <w:sz w:val="20"/>
                <w:szCs w:val="20"/>
              </w:rPr>
              <w:t xml:space="preserve">itative Evidence Gathering </w:t>
            </w:r>
            <w:r w:rsidR="00B049DC" w:rsidRPr="00810B07">
              <w:rPr>
                <w:rFonts w:ascii="Corbel" w:hAnsi="Corbel"/>
                <w:color w:val="0070C0"/>
                <w:sz w:val="20"/>
                <w:szCs w:val="20"/>
              </w:rPr>
              <w:t xml:space="preserve">Report </w:t>
            </w:r>
            <w:r w:rsidR="00B3571F" w:rsidRPr="00810B07">
              <w:rPr>
                <w:rFonts w:ascii="Corbel" w:hAnsi="Corbel"/>
                <w:color w:val="0070C0"/>
                <w:sz w:val="20"/>
                <w:szCs w:val="20"/>
              </w:rPr>
              <w:t>signed by the</w:t>
            </w:r>
            <w:r w:rsidR="00B3571F">
              <w:rPr>
                <w:rFonts w:ascii="Corbel" w:hAnsi="Corbel"/>
                <w:b/>
                <w:bCs/>
                <w:color w:val="0070C0"/>
                <w:sz w:val="20"/>
                <w:szCs w:val="20"/>
              </w:rPr>
              <w:t xml:space="preserve"> </w:t>
            </w:r>
            <w:r w:rsidR="00B76809" w:rsidRPr="00C47151">
              <w:rPr>
                <w:rFonts w:ascii="Corbel" w:hAnsi="Corbel"/>
                <w:color w:val="0070C0"/>
                <w:sz w:val="20"/>
                <w:szCs w:val="20"/>
              </w:rPr>
              <w:t xml:space="preserve">relevant </w:t>
            </w:r>
            <w:r w:rsidR="00B76809" w:rsidRPr="007D4B63">
              <w:rPr>
                <w:rFonts w:ascii="Corbel" w:hAnsi="Corbel"/>
                <w:color w:val="0070C0"/>
                <w:sz w:val="20"/>
                <w:szCs w:val="20"/>
              </w:rPr>
              <w:t>Queensland senior official with responsibility for skills</w:t>
            </w:r>
            <w:r w:rsidR="00517412">
              <w:rPr>
                <w:rFonts w:ascii="Corbel" w:hAnsi="Corbel"/>
                <w:color w:val="0070C0"/>
                <w:sz w:val="20"/>
                <w:szCs w:val="20"/>
              </w:rPr>
              <w:t xml:space="preserve"> that </w:t>
            </w:r>
            <w:r w:rsidR="00CA4473">
              <w:rPr>
                <w:rFonts w:ascii="Corbel" w:hAnsi="Corbel"/>
                <w:color w:val="0070C0"/>
                <w:sz w:val="20"/>
                <w:szCs w:val="20"/>
              </w:rPr>
              <w:t>outlines</w:t>
            </w:r>
            <w:r w:rsidR="00D74470">
              <w:rPr>
                <w:rFonts w:ascii="Corbel" w:hAnsi="Corbel"/>
                <w:color w:val="0070C0"/>
                <w:sz w:val="20"/>
                <w:szCs w:val="20"/>
              </w:rPr>
              <w:t>:</w:t>
            </w:r>
          </w:p>
          <w:p w14:paraId="50E7DF73" w14:textId="4239BD2B" w:rsidR="000E0C35" w:rsidRDefault="00CA4473" w:rsidP="00795149">
            <w:pPr>
              <w:pStyle w:val="Bullet"/>
              <w:numPr>
                <w:ilvl w:val="0"/>
                <w:numId w:val="6"/>
              </w:numPr>
            </w:pPr>
            <w:r>
              <w:t xml:space="preserve"> a </w:t>
            </w:r>
            <w:r w:rsidR="00CA3382" w:rsidRPr="0072310D">
              <w:t>structured approach and scope</w:t>
            </w:r>
            <w:r w:rsidR="00CA3382" w:rsidRPr="00CA3382">
              <w:t xml:space="preserve"> for collecting </w:t>
            </w:r>
            <w:r w:rsidR="00CA3382" w:rsidRPr="0072310D">
              <w:t>qualitative evidence</w:t>
            </w:r>
            <w:r w:rsidR="00CA3382" w:rsidRPr="00CA3382">
              <w:t xml:space="preserve"> to inform the final report on the completion’s </w:t>
            </w:r>
            <w:r w:rsidR="001D5121">
              <w:t>activities</w:t>
            </w:r>
            <w:r w:rsidR="00CA3382" w:rsidRPr="00CA3382">
              <w:t xml:space="preserve">. </w:t>
            </w:r>
          </w:p>
          <w:p w14:paraId="28644302" w14:textId="6D7DE3A5" w:rsidR="0046044A" w:rsidRPr="007D4B63" w:rsidRDefault="00CA3382" w:rsidP="00810B07">
            <w:pPr>
              <w:pStyle w:val="Bullet"/>
              <w:numPr>
                <w:ilvl w:val="0"/>
                <w:numId w:val="6"/>
              </w:numPr>
            </w:pPr>
            <w:r w:rsidRPr="0072310D">
              <w:t>key consultation methods, stakeholder groups, and data collection strategies</w:t>
            </w:r>
            <w:r w:rsidRPr="00CA3382">
              <w:t xml:space="preserve"> to ensure </w:t>
            </w:r>
            <w:r w:rsidRPr="0072310D">
              <w:t>comprehensive insights on the effectiveness and impact of activities</w:t>
            </w:r>
            <w:r w:rsidR="00C453F4">
              <w:t xml:space="preserve"> in their final year</w:t>
            </w:r>
            <w:r w:rsidRPr="00CA3382">
              <w:t xml:space="preserve">. </w:t>
            </w:r>
          </w:p>
        </w:tc>
        <w:tc>
          <w:tcPr>
            <w:tcW w:w="1122" w:type="pct"/>
          </w:tcPr>
          <w:p w14:paraId="296B6CB5" w14:textId="31D0AF1C" w:rsidR="0046044A" w:rsidRPr="007D4B63" w:rsidRDefault="53187A83"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4,770,000</w:t>
            </w:r>
            <w:r w:rsidR="2AB4A6AD" w:rsidRPr="3AF90611">
              <w:rPr>
                <w:rFonts w:ascii="Corbel" w:hAnsi="Corbel"/>
                <w:color w:val="0070C0"/>
                <w:sz w:val="20"/>
                <w:szCs w:val="20"/>
              </w:rPr>
              <w:t xml:space="preserve"> </w:t>
            </w:r>
          </w:p>
        </w:tc>
        <w:tc>
          <w:tcPr>
            <w:tcW w:w="1052" w:type="pct"/>
          </w:tcPr>
          <w:p w14:paraId="19363273" w14:textId="293C4E2A" w:rsidR="0046044A" w:rsidRPr="007D4B63" w:rsidRDefault="005F36BE" w:rsidP="0046044A">
            <w:pPr>
              <w:rPr>
                <w:rFonts w:ascii="Corbel" w:hAnsi="Corbel"/>
                <w:color w:val="0070C0"/>
                <w:sz w:val="20"/>
                <w:szCs w:val="20"/>
              </w:rPr>
            </w:pPr>
            <w:r>
              <w:rPr>
                <w:rFonts w:ascii="Corbel" w:hAnsi="Corbel"/>
                <w:color w:val="0070C0"/>
                <w:sz w:val="20"/>
                <w:szCs w:val="20"/>
              </w:rPr>
              <w:t xml:space="preserve">31 </w:t>
            </w:r>
            <w:r w:rsidR="0046044A" w:rsidRPr="007D4B63">
              <w:rPr>
                <w:rFonts w:ascii="Corbel" w:hAnsi="Corbel"/>
                <w:color w:val="0070C0"/>
                <w:sz w:val="20"/>
                <w:szCs w:val="20"/>
              </w:rPr>
              <w:t>March 2028</w:t>
            </w:r>
          </w:p>
        </w:tc>
      </w:tr>
      <w:tr w:rsidR="0046044A" w14:paraId="275F6FDB" w14:textId="77777777" w:rsidTr="00B00607">
        <w:tc>
          <w:tcPr>
            <w:tcW w:w="1159" w:type="pct"/>
          </w:tcPr>
          <w:p w14:paraId="704E26FF" w14:textId="533F0CA6" w:rsidR="0046044A" w:rsidRPr="007D4B63" w:rsidRDefault="007F2426" w:rsidP="0046044A">
            <w:pPr>
              <w:rPr>
                <w:rFonts w:ascii="Corbel" w:hAnsi="Corbel"/>
                <w:color w:val="0070C0"/>
                <w:sz w:val="20"/>
                <w:szCs w:val="20"/>
              </w:rPr>
            </w:pPr>
            <w:r w:rsidRPr="007D4B63">
              <w:rPr>
                <w:rFonts w:ascii="Corbel" w:hAnsi="Corbel"/>
                <w:color w:val="0070C0"/>
                <w:sz w:val="20"/>
                <w:szCs w:val="20"/>
              </w:rPr>
              <w:t xml:space="preserve">Milestone </w:t>
            </w:r>
            <w:r w:rsidR="00032AC5">
              <w:rPr>
                <w:rFonts w:ascii="Corbel" w:hAnsi="Corbel"/>
                <w:color w:val="0070C0"/>
                <w:sz w:val="20"/>
                <w:szCs w:val="20"/>
              </w:rPr>
              <w:t>7</w:t>
            </w:r>
            <w:r w:rsidRPr="007D4B63">
              <w:rPr>
                <w:rFonts w:ascii="Corbel" w:hAnsi="Corbel"/>
                <w:color w:val="0070C0"/>
                <w:sz w:val="20"/>
                <w:szCs w:val="20"/>
              </w:rPr>
              <w:t xml:space="preserve">: </w:t>
            </w:r>
            <w:r w:rsidR="00082757">
              <w:rPr>
                <w:rFonts w:ascii="Corbel" w:hAnsi="Corbel"/>
                <w:color w:val="0070C0"/>
                <w:sz w:val="20"/>
                <w:szCs w:val="20"/>
              </w:rPr>
              <w:t xml:space="preserve">Commonwealth acceptance of the </w:t>
            </w:r>
            <w:r w:rsidR="00627642">
              <w:rPr>
                <w:rFonts w:ascii="Corbel" w:hAnsi="Corbel"/>
                <w:color w:val="0070C0"/>
                <w:sz w:val="20"/>
                <w:szCs w:val="20"/>
              </w:rPr>
              <w:t>f</w:t>
            </w:r>
            <w:r w:rsidR="009B284B" w:rsidRPr="007D4B63">
              <w:rPr>
                <w:rFonts w:ascii="Corbel" w:hAnsi="Corbel"/>
                <w:color w:val="0070C0"/>
                <w:sz w:val="20"/>
                <w:szCs w:val="20"/>
              </w:rPr>
              <w:t>inal</w:t>
            </w:r>
            <w:r w:rsidR="00082757">
              <w:rPr>
                <w:rFonts w:ascii="Corbel" w:hAnsi="Corbel"/>
                <w:color w:val="0070C0"/>
                <w:sz w:val="20"/>
                <w:szCs w:val="20"/>
              </w:rPr>
              <w:t xml:space="preserve"> </w:t>
            </w:r>
            <w:r w:rsidR="00627642">
              <w:rPr>
                <w:rFonts w:ascii="Corbel" w:hAnsi="Corbel"/>
                <w:color w:val="0070C0"/>
                <w:sz w:val="20"/>
                <w:szCs w:val="20"/>
              </w:rPr>
              <w:t>p</w:t>
            </w:r>
            <w:r w:rsidR="00082757">
              <w:rPr>
                <w:rFonts w:ascii="Corbel" w:hAnsi="Corbel"/>
                <w:color w:val="0070C0"/>
                <w:sz w:val="20"/>
                <w:szCs w:val="20"/>
              </w:rPr>
              <w:t>rogress</w:t>
            </w:r>
            <w:r w:rsidR="009B284B" w:rsidRPr="007D4B63">
              <w:rPr>
                <w:rFonts w:ascii="Corbel" w:hAnsi="Corbel"/>
                <w:color w:val="0070C0"/>
                <w:sz w:val="20"/>
                <w:szCs w:val="20"/>
              </w:rPr>
              <w:t xml:space="preserve"> </w:t>
            </w:r>
            <w:r w:rsidR="00627642">
              <w:rPr>
                <w:rFonts w:ascii="Corbel" w:hAnsi="Corbel"/>
                <w:color w:val="0070C0"/>
                <w:sz w:val="20"/>
                <w:szCs w:val="20"/>
              </w:rPr>
              <w:t>r</w:t>
            </w:r>
            <w:r w:rsidR="009B284B" w:rsidRPr="007D4B63">
              <w:rPr>
                <w:rFonts w:ascii="Corbel" w:hAnsi="Corbel"/>
                <w:color w:val="0070C0"/>
                <w:sz w:val="20"/>
                <w:szCs w:val="20"/>
              </w:rPr>
              <w:t xml:space="preserve">eport </w:t>
            </w:r>
            <w:r w:rsidR="00A000AF">
              <w:rPr>
                <w:rFonts w:ascii="Corbel" w:hAnsi="Corbel"/>
                <w:color w:val="0070C0"/>
                <w:sz w:val="20"/>
                <w:szCs w:val="20"/>
              </w:rPr>
              <w:t>for the period January 202</w:t>
            </w:r>
            <w:r w:rsidR="00BD0F96">
              <w:rPr>
                <w:rFonts w:ascii="Corbel" w:hAnsi="Corbel"/>
                <w:color w:val="0070C0"/>
                <w:sz w:val="20"/>
                <w:szCs w:val="20"/>
              </w:rPr>
              <w:t>5</w:t>
            </w:r>
            <w:r w:rsidR="00A000AF">
              <w:rPr>
                <w:rFonts w:ascii="Corbel" w:hAnsi="Corbel"/>
                <w:color w:val="0070C0"/>
                <w:sz w:val="20"/>
                <w:szCs w:val="20"/>
              </w:rPr>
              <w:t xml:space="preserve"> to December</w:t>
            </w:r>
            <w:r w:rsidR="008B30AF">
              <w:rPr>
                <w:rFonts w:ascii="Corbel" w:hAnsi="Corbel"/>
                <w:color w:val="0070C0"/>
                <w:sz w:val="20"/>
                <w:szCs w:val="20"/>
              </w:rPr>
              <w:t xml:space="preserve"> 2028</w:t>
            </w:r>
          </w:p>
        </w:tc>
        <w:tc>
          <w:tcPr>
            <w:tcW w:w="1667" w:type="pct"/>
          </w:tcPr>
          <w:p w14:paraId="7910AA6F" w14:textId="7D25F96C" w:rsidR="009960A8" w:rsidRDefault="004E5B55" w:rsidP="009960A8">
            <w:pPr>
              <w:rPr>
                <w:rFonts w:ascii="Corbel" w:hAnsi="Corbel"/>
                <w:color w:val="0070C0"/>
                <w:sz w:val="20"/>
                <w:szCs w:val="20"/>
              </w:rPr>
            </w:pPr>
            <w:r>
              <w:rPr>
                <w:rFonts w:ascii="Corbel" w:hAnsi="Corbel"/>
                <w:color w:val="0070C0"/>
                <w:sz w:val="20"/>
                <w:szCs w:val="20"/>
              </w:rPr>
              <w:t>A</w:t>
            </w:r>
            <w:r w:rsidR="009960A8" w:rsidRPr="003D4160">
              <w:rPr>
                <w:rFonts w:ascii="Corbel" w:hAnsi="Corbel"/>
                <w:color w:val="0070C0"/>
                <w:sz w:val="20"/>
                <w:szCs w:val="20"/>
              </w:rPr>
              <w:t xml:space="preserve"> </w:t>
            </w:r>
            <w:r w:rsidR="009960A8">
              <w:rPr>
                <w:rFonts w:ascii="Corbel" w:hAnsi="Corbel"/>
                <w:color w:val="0070C0"/>
                <w:sz w:val="20"/>
                <w:szCs w:val="20"/>
              </w:rPr>
              <w:t>final</w:t>
            </w:r>
            <w:r w:rsidR="009960A8" w:rsidRPr="003D4160">
              <w:rPr>
                <w:rFonts w:ascii="Corbel" w:hAnsi="Corbel"/>
                <w:color w:val="0070C0"/>
                <w:sz w:val="20"/>
                <w:szCs w:val="20"/>
              </w:rPr>
              <w:t xml:space="preserve"> report </w:t>
            </w:r>
            <w:r w:rsidR="00F1280A">
              <w:rPr>
                <w:rFonts w:ascii="Corbel" w:hAnsi="Corbel"/>
                <w:color w:val="0070C0"/>
                <w:sz w:val="20"/>
                <w:szCs w:val="20"/>
              </w:rPr>
              <w:t xml:space="preserve">against the overarching </w:t>
            </w:r>
            <w:r w:rsidR="00C5309B">
              <w:rPr>
                <w:rFonts w:ascii="Corbel" w:hAnsi="Corbel"/>
                <w:color w:val="0070C0"/>
                <w:sz w:val="20"/>
                <w:szCs w:val="20"/>
              </w:rPr>
              <w:t xml:space="preserve">Project Plan </w:t>
            </w:r>
            <w:r w:rsidR="00857290" w:rsidRPr="00C47151">
              <w:rPr>
                <w:rFonts w:ascii="Corbel" w:hAnsi="Corbel"/>
                <w:color w:val="0070C0"/>
                <w:sz w:val="20"/>
                <w:szCs w:val="20"/>
              </w:rPr>
              <w:t xml:space="preserve">signed by the relevant </w:t>
            </w:r>
            <w:r w:rsidR="00857290" w:rsidRPr="007D4B63">
              <w:rPr>
                <w:rFonts w:ascii="Corbel" w:hAnsi="Corbel"/>
                <w:color w:val="0070C0"/>
                <w:sz w:val="20"/>
                <w:szCs w:val="20"/>
              </w:rPr>
              <w:t>Queensland senior official with responsibility for skills</w:t>
            </w:r>
            <w:r w:rsidR="00857290">
              <w:rPr>
                <w:rFonts w:ascii="Corbel" w:hAnsi="Corbel"/>
                <w:color w:val="0070C0"/>
                <w:sz w:val="20"/>
                <w:szCs w:val="20"/>
              </w:rPr>
              <w:t xml:space="preserve"> </w:t>
            </w:r>
            <w:r w:rsidR="009960A8">
              <w:rPr>
                <w:rFonts w:ascii="Corbel" w:hAnsi="Corbel"/>
                <w:color w:val="0070C0"/>
                <w:sz w:val="20"/>
                <w:szCs w:val="20"/>
              </w:rPr>
              <w:t>including:</w:t>
            </w:r>
          </w:p>
          <w:p w14:paraId="59FB041A" w14:textId="327402C7" w:rsidR="00C0092E" w:rsidRDefault="009960A8" w:rsidP="00070537">
            <w:pPr>
              <w:pStyle w:val="ListParagraph"/>
              <w:numPr>
                <w:ilvl w:val="0"/>
                <w:numId w:val="6"/>
              </w:numPr>
              <w:rPr>
                <w:rFonts w:ascii="Corbel" w:hAnsi="Corbel"/>
                <w:color w:val="0070C0"/>
                <w:sz w:val="20"/>
                <w:szCs w:val="20"/>
              </w:rPr>
            </w:pPr>
            <w:r w:rsidRPr="00810B07">
              <w:rPr>
                <w:rFonts w:ascii="Corbel" w:hAnsi="Corbel"/>
                <w:color w:val="0070C0"/>
                <w:sz w:val="20"/>
                <w:szCs w:val="20"/>
              </w:rPr>
              <w:t xml:space="preserve">a summary of </w:t>
            </w:r>
            <w:r w:rsidR="067A9309" w:rsidRPr="00810B07">
              <w:rPr>
                <w:rFonts w:ascii="Corbel" w:hAnsi="Corbel"/>
                <w:color w:val="0070C0"/>
                <w:sz w:val="20"/>
                <w:szCs w:val="20"/>
              </w:rPr>
              <w:t xml:space="preserve">how </w:t>
            </w:r>
            <w:r w:rsidR="00D32391">
              <w:rPr>
                <w:rFonts w:ascii="Corbel" w:hAnsi="Corbel"/>
                <w:color w:val="0070C0"/>
                <w:sz w:val="20"/>
                <w:szCs w:val="20"/>
              </w:rPr>
              <w:t xml:space="preserve">Queensland has delivered against </w:t>
            </w:r>
            <w:r w:rsidR="067A9309" w:rsidRPr="00810B07">
              <w:rPr>
                <w:rFonts w:ascii="Corbel" w:hAnsi="Corbel"/>
                <w:color w:val="0070C0"/>
                <w:sz w:val="20"/>
                <w:szCs w:val="20"/>
              </w:rPr>
              <w:t xml:space="preserve">the </w:t>
            </w:r>
            <w:r w:rsidR="00D32391">
              <w:rPr>
                <w:rFonts w:ascii="Corbel" w:hAnsi="Corbel"/>
                <w:color w:val="0070C0"/>
                <w:sz w:val="20"/>
                <w:szCs w:val="20"/>
              </w:rPr>
              <w:t>initiative</w:t>
            </w:r>
            <w:r w:rsidR="067A9309" w:rsidRPr="00810B07">
              <w:rPr>
                <w:rFonts w:ascii="Corbel" w:hAnsi="Corbel"/>
                <w:color w:val="0070C0"/>
                <w:sz w:val="20"/>
                <w:szCs w:val="20"/>
              </w:rPr>
              <w:t xml:space="preserve"> KPIs</w:t>
            </w:r>
          </w:p>
          <w:p w14:paraId="1DA624C1" w14:textId="1005F3E3" w:rsidR="00AA49AB" w:rsidRDefault="555646FF" w:rsidP="00070537">
            <w:pPr>
              <w:pStyle w:val="ListParagraph"/>
              <w:numPr>
                <w:ilvl w:val="0"/>
                <w:numId w:val="6"/>
              </w:numPr>
              <w:rPr>
                <w:rFonts w:ascii="Corbel" w:hAnsi="Corbel"/>
                <w:color w:val="0070C0"/>
                <w:sz w:val="20"/>
                <w:szCs w:val="20"/>
              </w:rPr>
            </w:pPr>
            <w:r w:rsidRPr="00810B07">
              <w:rPr>
                <w:rFonts w:ascii="Corbel" w:hAnsi="Corbel"/>
                <w:color w:val="0070C0"/>
                <w:sz w:val="20"/>
                <w:szCs w:val="20"/>
              </w:rPr>
              <w:t xml:space="preserve">case studies </w:t>
            </w:r>
            <w:r w:rsidR="00E85CB5">
              <w:rPr>
                <w:rFonts w:ascii="Corbel" w:hAnsi="Corbel"/>
                <w:color w:val="0070C0"/>
                <w:sz w:val="20"/>
                <w:szCs w:val="20"/>
              </w:rPr>
              <w:t>that</w:t>
            </w:r>
            <w:r w:rsidR="00B21450">
              <w:rPr>
                <w:rFonts w:ascii="Corbel" w:hAnsi="Corbel"/>
                <w:color w:val="0070C0"/>
                <w:sz w:val="20"/>
                <w:szCs w:val="20"/>
              </w:rPr>
              <w:t xml:space="preserve"> demonstrate outcomes </w:t>
            </w:r>
            <w:r w:rsidR="00AA49AB">
              <w:rPr>
                <w:rFonts w:ascii="Corbel" w:hAnsi="Corbel"/>
                <w:color w:val="0070C0"/>
                <w:sz w:val="20"/>
                <w:szCs w:val="20"/>
              </w:rPr>
              <w:t xml:space="preserve">achieved, </w:t>
            </w:r>
            <w:r w:rsidR="79E64234" w:rsidRPr="00810B07">
              <w:rPr>
                <w:rFonts w:ascii="Corbel" w:hAnsi="Corbel"/>
                <w:color w:val="0070C0"/>
                <w:sz w:val="20"/>
                <w:szCs w:val="20"/>
              </w:rPr>
              <w:t xml:space="preserve">and </w:t>
            </w:r>
          </w:p>
          <w:p w14:paraId="013AF4E2" w14:textId="7455E103" w:rsidR="0046044A" w:rsidRPr="00810B07" w:rsidRDefault="79E64234" w:rsidP="00810B07">
            <w:pPr>
              <w:pStyle w:val="ListParagraph"/>
              <w:numPr>
                <w:ilvl w:val="0"/>
                <w:numId w:val="6"/>
              </w:numPr>
              <w:rPr>
                <w:rFonts w:ascii="Corbel" w:hAnsi="Corbel"/>
                <w:color w:val="0070C0"/>
                <w:sz w:val="20"/>
                <w:szCs w:val="20"/>
              </w:rPr>
            </w:pPr>
            <w:r w:rsidRPr="00810B07">
              <w:rPr>
                <w:rFonts w:ascii="Corbel" w:hAnsi="Corbel"/>
                <w:color w:val="0070C0"/>
                <w:sz w:val="20"/>
                <w:szCs w:val="20"/>
              </w:rPr>
              <w:t>financial expenditure information to allow final reconciliation of matched funding</w:t>
            </w:r>
            <w:r w:rsidR="555646FF" w:rsidRPr="00810B07">
              <w:rPr>
                <w:rFonts w:ascii="Corbel" w:hAnsi="Corbel"/>
                <w:color w:val="0070C0"/>
                <w:sz w:val="20"/>
                <w:szCs w:val="20"/>
              </w:rPr>
              <w:t>.</w:t>
            </w:r>
          </w:p>
        </w:tc>
        <w:tc>
          <w:tcPr>
            <w:tcW w:w="1122" w:type="pct"/>
          </w:tcPr>
          <w:p w14:paraId="4DD13979" w14:textId="172BBE8A" w:rsidR="0046044A" w:rsidRPr="007D4B63" w:rsidRDefault="56BB3646" w:rsidP="0046044A">
            <w:pPr>
              <w:rPr>
                <w:rFonts w:ascii="Corbel" w:hAnsi="Corbel"/>
                <w:color w:val="0070C0"/>
                <w:sz w:val="20"/>
                <w:szCs w:val="20"/>
              </w:rPr>
            </w:pPr>
            <w:r w:rsidRPr="3AF90611">
              <w:rPr>
                <w:rFonts w:ascii="Corbel" w:hAnsi="Corbel"/>
                <w:color w:val="0070C0"/>
                <w:sz w:val="20"/>
                <w:szCs w:val="20"/>
              </w:rPr>
              <w:t>$</w:t>
            </w:r>
            <w:r w:rsidR="0619035A" w:rsidRPr="3AF90611">
              <w:rPr>
                <w:rFonts w:ascii="Corbel" w:hAnsi="Corbel"/>
                <w:color w:val="0070C0"/>
                <w:sz w:val="20"/>
                <w:szCs w:val="20"/>
              </w:rPr>
              <w:t>9,560,000</w:t>
            </w:r>
          </w:p>
        </w:tc>
        <w:tc>
          <w:tcPr>
            <w:tcW w:w="1052" w:type="pct"/>
          </w:tcPr>
          <w:p w14:paraId="6E96B9B6" w14:textId="07BDCEFF" w:rsidR="0046044A" w:rsidRPr="007D4B63" w:rsidRDefault="0054661F" w:rsidP="0046044A">
            <w:pPr>
              <w:rPr>
                <w:rFonts w:ascii="Corbel" w:hAnsi="Corbel"/>
                <w:color w:val="0070C0"/>
                <w:sz w:val="20"/>
                <w:szCs w:val="20"/>
              </w:rPr>
            </w:pPr>
            <w:r>
              <w:rPr>
                <w:rFonts w:ascii="Corbel" w:hAnsi="Corbel"/>
                <w:color w:val="0070C0"/>
                <w:sz w:val="20"/>
                <w:szCs w:val="20"/>
              </w:rPr>
              <w:t xml:space="preserve">15 </w:t>
            </w:r>
            <w:r w:rsidR="004C6249" w:rsidRPr="007D4B63">
              <w:rPr>
                <w:rFonts w:ascii="Corbel" w:hAnsi="Corbel"/>
                <w:color w:val="0070C0"/>
                <w:sz w:val="20"/>
                <w:szCs w:val="20"/>
              </w:rPr>
              <w:t>December</w:t>
            </w:r>
            <w:r w:rsidR="0046044A" w:rsidRPr="007D4B63">
              <w:rPr>
                <w:rFonts w:ascii="Corbel" w:hAnsi="Corbel"/>
                <w:color w:val="0070C0"/>
                <w:sz w:val="20"/>
                <w:szCs w:val="20"/>
              </w:rPr>
              <w:t xml:space="preserve"> 2028</w:t>
            </w:r>
          </w:p>
        </w:tc>
      </w:tr>
      <w:tr w:rsidR="0054661F" w14:paraId="3E038702" w14:textId="77777777" w:rsidTr="00B00607">
        <w:tc>
          <w:tcPr>
            <w:tcW w:w="1159" w:type="pct"/>
          </w:tcPr>
          <w:p w14:paraId="30BD234B" w14:textId="77777777" w:rsidR="0054661F" w:rsidRPr="007D4B63" w:rsidRDefault="0054661F" w:rsidP="0054661F">
            <w:pPr>
              <w:rPr>
                <w:rFonts w:ascii="Corbel" w:hAnsi="Corbel"/>
                <w:color w:val="0070C0"/>
                <w:sz w:val="20"/>
                <w:szCs w:val="20"/>
              </w:rPr>
            </w:pPr>
          </w:p>
        </w:tc>
        <w:tc>
          <w:tcPr>
            <w:tcW w:w="1667" w:type="pct"/>
          </w:tcPr>
          <w:p w14:paraId="62FFB25C" w14:textId="022BF19E" w:rsidR="0054661F" w:rsidRPr="00507CEE" w:rsidRDefault="0054661F" w:rsidP="0054661F">
            <w:pPr>
              <w:rPr>
                <w:rFonts w:ascii="Corbel" w:hAnsi="Corbel"/>
                <w:b/>
                <w:bCs/>
                <w:color w:val="0070C0"/>
                <w:sz w:val="20"/>
                <w:szCs w:val="20"/>
              </w:rPr>
            </w:pPr>
            <w:r>
              <w:t>Total</w:t>
            </w:r>
          </w:p>
        </w:tc>
        <w:tc>
          <w:tcPr>
            <w:tcW w:w="1122" w:type="pct"/>
          </w:tcPr>
          <w:p w14:paraId="066A6385" w14:textId="6AE0EA17" w:rsidR="0054661F" w:rsidRPr="3AF90611" w:rsidRDefault="0054661F" w:rsidP="00810B07">
            <w:pPr>
              <w:jc w:val="center"/>
              <w:rPr>
                <w:rFonts w:ascii="Corbel" w:hAnsi="Corbel"/>
                <w:color w:val="0070C0"/>
                <w:sz w:val="20"/>
                <w:szCs w:val="20"/>
              </w:rPr>
            </w:pPr>
            <w:r>
              <w:t>$</w:t>
            </w:r>
            <w:r w:rsidRPr="3AF90611">
              <w:rPr>
                <w:rFonts w:ascii="Corbel" w:hAnsi="Corbel"/>
                <w:b/>
                <w:bCs/>
                <w:color w:val="4472C4" w:themeColor="accent1"/>
              </w:rPr>
              <w:t>49,360,000</w:t>
            </w:r>
          </w:p>
        </w:tc>
        <w:tc>
          <w:tcPr>
            <w:tcW w:w="1052" w:type="pct"/>
          </w:tcPr>
          <w:p w14:paraId="3A788E9A" w14:textId="77777777" w:rsidR="0054661F" w:rsidRPr="007D4B63" w:rsidRDefault="0054661F" w:rsidP="0054661F">
            <w:pPr>
              <w:rPr>
                <w:rFonts w:ascii="Corbel" w:hAnsi="Corbel"/>
                <w:color w:val="0070C0"/>
                <w:sz w:val="20"/>
                <w:szCs w:val="20"/>
              </w:rPr>
            </w:pPr>
          </w:p>
        </w:tc>
      </w:tr>
    </w:tbl>
    <w:p w14:paraId="4DF4B591" w14:textId="77777777" w:rsidR="00B07B19" w:rsidRDefault="00B07B19" w:rsidP="00B07B19">
      <w:pPr>
        <w:rPr>
          <w:rFonts w:ascii="Corbel" w:eastAsia="Corbel" w:hAnsi="Corbel" w:cs="Corbel"/>
          <w:b/>
          <w:bCs/>
          <w:caps/>
          <w:color w:val="980033"/>
        </w:rPr>
      </w:pPr>
    </w:p>
    <w:p w14:paraId="3FE651D8" w14:textId="77777777" w:rsidR="00B07B19" w:rsidRDefault="00B07B19" w:rsidP="00B07B19">
      <w:pPr>
        <w:sectPr w:rsidR="00B07B19" w:rsidSect="00B07B19">
          <w:pgSz w:w="16838" w:h="11906" w:orient="landscape"/>
          <w:pgMar w:top="1440" w:right="1440" w:bottom="1440" w:left="851" w:header="708" w:footer="708" w:gutter="0"/>
          <w:cols w:space="708"/>
          <w:docGrid w:linePitch="360"/>
        </w:sectPr>
      </w:pPr>
    </w:p>
    <w:p w14:paraId="01DEA0F7" w14:textId="77777777" w:rsidR="00B07B19" w:rsidRPr="00D56365" w:rsidRDefault="00B07B19" w:rsidP="00B07B19">
      <w:pPr>
        <w:ind w:left="-142"/>
        <w:rPr>
          <w:rFonts w:ascii="Corbel" w:hAnsi="Corbel"/>
          <w:lang w:val="en-GB"/>
        </w:rPr>
      </w:pPr>
      <w:r w:rsidRPr="00D56365">
        <w:rPr>
          <w:rFonts w:ascii="Corbel" w:hAnsi="Corbel"/>
          <w:lang w:val="en-GB"/>
        </w:rPr>
        <w:lastRenderedPageBreak/>
        <w:t xml:space="preserve">The Parties have confirmed their commitment to this </w:t>
      </w:r>
      <w:r>
        <w:rPr>
          <w:rFonts w:ascii="Corbel" w:hAnsi="Corbel"/>
          <w:lang w:val="en-GB"/>
        </w:rPr>
        <w:t>implementation plan</w:t>
      </w:r>
      <w:r w:rsidRPr="00D56365">
        <w:rPr>
          <w:rFonts w:ascii="Corbel" w:hAnsi="Corbel"/>
          <w:lang w:val="en-GB"/>
        </w:rPr>
        <w:t xml:space="preserve"> as follows:</w:t>
      </w:r>
    </w:p>
    <w:p w14:paraId="54D1E0DF" w14:textId="77777777" w:rsidR="00B07B19" w:rsidRPr="00D56365" w:rsidRDefault="00B07B19" w:rsidP="00B07B19">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B07B19" w:rsidRPr="00D56365" w14:paraId="29250992" w14:textId="77777777" w:rsidTr="00106DFF">
        <w:trPr>
          <w:cantSplit/>
          <w:jc w:val="center"/>
        </w:trPr>
        <w:tc>
          <w:tcPr>
            <w:tcW w:w="4536" w:type="dxa"/>
          </w:tcPr>
          <w:p w14:paraId="12ACAD40" w14:textId="77777777" w:rsidR="00B07B19" w:rsidRPr="00D56365" w:rsidRDefault="00B07B19" w:rsidP="00106DFF">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country-region">
              <w:smartTag w:uri="urn:schemas-microsoft-com:office:smarttags" w:element="place">
                <w:r w:rsidRPr="00D56365">
                  <w:rPr>
                    <w:rFonts w:ascii="Corbel" w:hAnsi="Corbel"/>
                  </w:rPr>
                  <w:t>Australia</w:t>
                </w:r>
              </w:smartTag>
            </w:smartTag>
            <w:r w:rsidRPr="00D56365">
              <w:rPr>
                <w:rFonts w:ascii="Corbel" w:hAnsi="Corbel"/>
              </w:rPr>
              <w:t xml:space="preserve"> by</w:t>
            </w:r>
          </w:p>
          <w:p w14:paraId="057F1964" w14:textId="77777777" w:rsidR="00B07B19" w:rsidRPr="00D56365" w:rsidRDefault="00B07B19" w:rsidP="00106DFF">
            <w:pPr>
              <w:pStyle w:val="LineForSignature"/>
              <w:rPr>
                <w:rFonts w:ascii="Corbel" w:hAnsi="Corbel"/>
              </w:rPr>
            </w:pPr>
            <w:r w:rsidRPr="00D56365">
              <w:rPr>
                <w:rFonts w:ascii="Corbel" w:hAnsi="Corbel"/>
              </w:rPr>
              <w:br/>
            </w:r>
            <w:r w:rsidRPr="00D56365">
              <w:rPr>
                <w:rFonts w:ascii="Corbel" w:hAnsi="Corbel"/>
              </w:rPr>
              <w:tab/>
            </w:r>
          </w:p>
          <w:p w14:paraId="77FDBA16" w14:textId="77777777" w:rsidR="00B07B19" w:rsidRPr="00D56365" w:rsidRDefault="00B07B19" w:rsidP="00106DFF">
            <w:pPr>
              <w:pStyle w:val="SingleParagraph"/>
              <w:rPr>
                <w:rStyle w:val="Bold"/>
              </w:rPr>
            </w:pPr>
            <w:r w:rsidRPr="00D56365">
              <w:rPr>
                <w:rStyle w:val="Bold"/>
              </w:rPr>
              <w:t xml:space="preserve">The Honourable </w:t>
            </w:r>
            <w:r>
              <w:rPr>
                <w:rStyle w:val="Bold"/>
              </w:rPr>
              <w:t>Andrew Giles</w:t>
            </w:r>
            <w:r w:rsidRPr="00D56365">
              <w:rPr>
                <w:rStyle w:val="Bold"/>
              </w:rPr>
              <w:t xml:space="preserve"> MP</w:t>
            </w:r>
          </w:p>
          <w:p w14:paraId="5BD8D700" w14:textId="77777777" w:rsidR="00B07B19" w:rsidRPr="00D56365" w:rsidRDefault="00B07B19" w:rsidP="00106DFF">
            <w:pPr>
              <w:pStyle w:val="Position"/>
              <w:rPr>
                <w:lang w:val="en-GB"/>
              </w:rPr>
            </w:pPr>
            <w:r w:rsidRPr="00D56365">
              <w:rPr>
                <w:lang w:val="en-GB"/>
              </w:rPr>
              <w:t xml:space="preserve">Minister for </w:t>
            </w:r>
            <w:r>
              <w:rPr>
                <w:lang w:val="en-GB"/>
              </w:rPr>
              <w:t>Skills and Training</w:t>
            </w:r>
          </w:p>
          <w:p w14:paraId="28BD0254" w14:textId="5067C8C2" w:rsidR="00B07B19" w:rsidRPr="00D56365" w:rsidRDefault="00B07B19" w:rsidP="00106DFF">
            <w:pPr>
              <w:pStyle w:val="SingleParagraph"/>
              <w:tabs>
                <w:tab w:val="num" w:pos="1134"/>
              </w:tabs>
              <w:spacing w:after="240"/>
              <w:rPr>
                <w:b/>
                <w:lang w:val="en-GB"/>
              </w:rPr>
            </w:pPr>
            <w:r>
              <w:rPr>
                <w:lang w:val="en-GB"/>
              </w:rPr>
              <w:t xml:space="preserve">      /      </w:t>
            </w:r>
            <w:proofErr w:type="gramStart"/>
            <w:r>
              <w:rPr>
                <w:lang w:val="en-GB"/>
              </w:rPr>
              <w:t xml:space="preserve">/  </w:t>
            </w:r>
            <w:r w:rsidR="00E17B7B">
              <w:rPr>
                <w:lang w:val="en-GB"/>
              </w:rPr>
              <w:t>2025</w:t>
            </w:r>
            <w:proofErr w:type="gramEnd"/>
          </w:p>
        </w:tc>
        <w:tc>
          <w:tcPr>
            <w:tcW w:w="283" w:type="dxa"/>
          </w:tcPr>
          <w:p w14:paraId="760F167F" w14:textId="77777777" w:rsidR="00B07B19" w:rsidRPr="00D56365" w:rsidRDefault="00B07B19" w:rsidP="00106DFF">
            <w:pPr>
              <w:pStyle w:val="Signed"/>
              <w:rPr>
                <w:rStyle w:val="SignedBold"/>
                <w:rFonts w:ascii="Corbel" w:hAnsi="Corbel"/>
                <w:b w:val="0"/>
                <w:bCs w:val="0"/>
              </w:rPr>
            </w:pPr>
          </w:p>
        </w:tc>
        <w:tc>
          <w:tcPr>
            <w:tcW w:w="4536" w:type="dxa"/>
          </w:tcPr>
          <w:p w14:paraId="3BDEF901" w14:textId="77777777" w:rsidR="00B07B19" w:rsidRPr="00D56365" w:rsidRDefault="00B07B19" w:rsidP="00106DFF">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Pr>
                <w:rFonts w:ascii="Corbel" w:hAnsi="Corbel"/>
              </w:rPr>
              <w:t>Queensland</w:t>
            </w:r>
            <w:r w:rsidRPr="00D56365">
              <w:rPr>
                <w:rFonts w:ascii="Corbel" w:hAnsi="Corbel"/>
              </w:rPr>
              <w:t xml:space="preserve"> by</w:t>
            </w:r>
            <w:r>
              <w:rPr>
                <w:rFonts w:ascii="Corbel" w:hAnsi="Corbel"/>
              </w:rPr>
              <w:t xml:space="preserve"> </w:t>
            </w:r>
          </w:p>
          <w:p w14:paraId="7403605F" w14:textId="77777777" w:rsidR="00B07B19" w:rsidRPr="00D56365" w:rsidRDefault="00B07B19" w:rsidP="00106DFF">
            <w:pPr>
              <w:pStyle w:val="LineForSignature"/>
              <w:rPr>
                <w:rFonts w:ascii="Corbel" w:hAnsi="Corbel"/>
              </w:rPr>
            </w:pPr>
            <w:r w:rsidRPr="00D56365">
              <w:rPr>
                <w:rFonts w:ascii="Corbel" w:hAnsi="Corbel"/>
              </w:rPr>
              <w:br/>
            </w:r>
            <w:r w:rsidRPr="00D56365">
              <w:rPr>
                <w:rFonts w:ascii="Corbel" w:hAnsi="Corbel"/>
              </w:rPr>
              <w:tab/>
            </w:r>
          </w:p>
          <w:p w14:paraId="40950184" w14:textId="77777777" w:rsidR="00B07B19" w:rsidRPr="00D56365" w:rsidRDefault="00B07B19" w:rsidP="00106DFF">
            <w:pPr>
              <w:pStyle w:val="SingleParagraph"/>
              <w:rPr>
                <w:rStyle w:val="Bold"/>
              </w:rPr>
            </w:pPr>
            <w:r w:rsidRPr="00D56365">
              <w:rPr>
                <w:rStyle w:val="Bold"/>
              </w:rPr>
              <w:t>The Honourable [insert name] MP</w:t>
            </w:r>
          </w:p>
          <w:p w14:paraId="2F67F919" w14:textId="77777777" w:rsidR="00B07B19" w:rsidRPr="00D56365" w:rsidRDefault="00B07B19" w:rsidP="00106DFF">
            <w:pPr>
              <w:pStyle w:val="Position"/>
              <w:rPr>
                <w:lang w:val="en-GB"/>
              </w:rPr>
            </w:pPr>
            <w:r w:rsidRPr="00D56365">
              <w:rPr>
                <w:lang w:val="en-GB"/>
              </w:rPr>
              <w:t xml:space="preserve">Minister for [insert title] </w:t>
            </w:r>
          </w:p>
          <w:p w14:paraId="42CC0D3F" w14:textId="575CE54B" w:rsidR="00B07B19" w:rsidRPr="00396903" w:rsidRDefault="00B07B19" w:rsidP="00106DFF">
            <w:pPr>
              <w:rPr>
                <w:rFonts w:ascii="Corbel" w:hAnsi="Corbel"/>
                <w:lang w:val="en-GB"/>
              </w:rPr>
            </w:pPr>
            <w:r w:rsidRPr="00396903">
              <w:rPr>
                <w:rFonts w:ascii="Corbel" w:hAnsi="Corbel"/>
                <w:lang w:val="en-GB"/>
              </w:rPr>
              <w:t xml:space="preserve">      /      </w:t>
            </w:r>
            <w:proofErr w:type="gramStart"/>
            <w:r w:rsidRPr="00396903">
              <w:rPr>
                <w:rFonts w:ascii="Corbel" w:hAnsi="Corbel"/>
                <w:lang w:val="en-GB"/>
              </w:rPr>
              <w:t xml:space="preserve">/  </w:t>
            </w:r>
            <w:r w:rsidR="00E17B7B" w:rsidRPr="00396903">
              <w:rPr>
                <w:rFonts w:ascii="Corbel" w:hAnsi="Corbel"/>
                <w:lang w:val="en-GB"/>
              </w:rPr>
              <w:t>202</w:t>
            </w:r>
            <w:r w:rsidR="00E17B7B">
              <w:rPr>
                <w:rFonts w:ascii="Corbel" w:hAnsi="Corbel"/>
                <w:lang w:val="en-GB"/>
              </w:rPr>
              <w:t>5</w:t>
            </w:r>
            <w:proofErr w:type="gramEnd"/>
          </w:p>
        </w:tc>
      </w:tr>
    </w:tbl>
    <w:p w14:paraId="0CECFE28" w14:textId="77777777" w:rsidR="00B07B19" w:rsidRDefault="00B07B19" w:rsidP="00B07B19">
      <w:pPr>
        <w:rPr>
          <w:rFonts w:ascii="Corbel" w:hAnsi="Corbel"/>
          <w:b/>
          <w:bCs/>
        </w:rPr>
      </w:pPr>
    </w:p>
    <w:p w14:paraId="7ADF0F62" w14:textId="59E86468" w:rsidR="00B07B19" w:rsidRDefault="00B07B19" w:rsidP="00B07B19">
      <w:pPr>
        <w:rPr>
          <w:rFonts w:ascii="Corbel" w:hAnsi="Corbel"/>
          <w:b/>
          <w:bCs/>
        </w:rPr>
      </w:pPr>
    </w:p>
    <w:sectPr w:rsidR="00B07B19" w:rsidSect="00520D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154C" w14:textId="77777777" w:rsidR="001F472A" w:rsidRDefault="001F472A" w:rsidP="009C2911">
      <w:pPr>
        <w:spacing w:after="0" w:line="240" w:lineRule="auto"/>
      </w:pPr>
      <w:r>
        <w:separator/>
      </w:r>
    </w:p>
  </w:endnote>
  <w:endnote w:type="continuationSeparator" w:id="0">
    <w:p w14:paraId="3AE47228" w14:textId="77777777" w:rsidR="001F472A" w:rsidRDefault="001F472A" w:rsidP="009C2911">
      <w:pPr>
        <w:spacing w:after="0" w:line="240" w:lineRule="auto"/>
      </w:pPr>
      <w:r>
        <w:continuationSeparator/>
      </w:r>
    </w:p>
  </w:endnote>
  <w:endnote w:type="continuationNotice" w:id="1">
    <w:p w14:paraId="300C8DE0" w14:textId="77777777" w:rsidR="001F472A" w:rsidRDefault="001F4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703948"/>
      <w:docPartObj>
        <w:docPartGallery w:val="Page Numbers (Bottom of Page)"/>
        <w:docPartUnique/>
      </w:docPartObj>
    </w:sdtPr>
    <w:sdtEndPr>
      <w:rPr>
        <w:noProof/>
      </w:rPr>
    </w:sdtEndPr>
    <w:sdtContent>
      <w:p w14:paraId="470DF262" w14:textId="3A2F7E7F" w:rsidR="001052E7" w:rsidRDefault="00105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3B467" w14:textId="77777777" w:rsidR="001052E7" w:rsidRDefault="00105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9B41" w14:textId="77777777" w:rsidR="001F472A" w:rsidRDefault="001F472A" w:rsidP="009C2911">
      <w:pPr>
        <w:spacing w:after="0" w:line="240" w:lineRule="auto"/>
      </w:pPr>
      <w:r>
        <w:separator/>
      </w:r>
    </w:p>
  </w:footnote>
  <w:footnote w:type="continuationSeparator" w:id="0">
    <w:p w14:paraId="2A012FB5" w14:textId="77777777" w:rsidR="001F472A" w:rsidRDefault="001F472A" w:rsidP="009C2911">
      <w:pPr>
        <w:spacing w:after="0" w:line="240" w:lineRule="auto"/>
      </w:pPr>
      <w:r>
        <w:continuationSeparator/>
      </w:r>
    </w:p>
  </w:footnote>
  <w:footnote w:type="continuationNotice" w:id="1">
    <w:p w14:paraId="52F53841" w14:textId="77777777" w:rsidR="001F472A" w:rsidRDefault="001F472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UxvF60v" int2:invalidationBookmarkName="" int2:hashCode="57SECp0hC7lT+K" int2:id="gPsjnk3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A60"/>
    <w:multiLevelType w:val="hybridMultilevel"/>
    <w:tmpl w:val="3D320EE2"/>
    <w:lvl w:ilvl="0" w:tplc="0C090017">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07278"/>
    <w:multiLevelType w:val="multilevel"/>
    <w:tmpl w:val="7142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328A6"/>
    <w:multiLevelType w:val="multilevel"/>
    <w:tmpl w:val="2AD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264B1"/>
    <w:multiLevelType w:val="multilevel"/>
    <w:tmpl w:val="18EA13EA"/>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B37393"/>
    <w:multiLevelType w:val="hybridMultilevel"/>
    <w:tmpl w:val="D7E87710"/>
    <w:lvl w:ilvl="0" w:tplc="05583CCA">
      <w:start w:val="1"/>
      <w:numFmt w:val="decimal"/>
      <w:lvlText w:val="%1."/>
      <w:lvlJc w:val="left"/>
      <w:pPr>
        <w:tabs>
          <w:tab w:val="num" w:pos="720"/>
        </w:tabs>
        <w:ind w:left="720" w:hanging="360"/>
      </w:pPr>
      <w:rPr>
        <w:rFonts w:hint="default"/>
        <w:b w:val="0"/>
        <w:bCs w:val="0"/>
        <w:color w:val="4472C4" w:themeColor="accent1"/>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546655"/>
    <w:multiLevelType w:val="hybridMultilevel"/>
    <w:tmpl w:val="53C4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A003A8"/>
    <w:multiLevelType w:val="hybridMultilevel"/>
    <w:tmpl w:val="CCD21744"/>
    <w:lvl w:ilvl="0" w:tplc="EB525C50">
      <w:start w:val="1"/>
      <w:numFmt w:val="bullet"/>
      <w:lvlText w:val=""/>
      <w:lvlJc w:val="left"/>
      <w:pPr>
        <w:ind w:left="720" w:hanging="360"/>
      </w:pPr>
      <w:rPr>
        <w:rFonts w:ascii="Symbol" w:hAnsi="Symbol"/>
      </w:rPr>
    </w:lvl>
    <w:lvl w:ilvl="1" w:tplc="FD4E5EA0">
      <w:start w:val="1"/>
      <w:numFmt w:val="bullet"/>
      <w:lvlText w:val=""/>
      <w:lvlJc w:val="left"/>
      <w:pPr>
        <w:ind w:left="720" w:hanging="360"/>
      </w:pPr>
      <w:rPr>
        <w:rFonts w:ascii="Symbol" w:hAnsi="Symbol"/>
      </w:rPr>
    </w:lvl>
    <w:lvl w:ilvl="2" w:tplc="AE4E79A2">
      <w:start w:val="1"/>
      <w:numFmt w:val="bullet"/>
      <w:lvlText w:val=""/>
      <w:lvlJc w:val="left"/>
      <w:pPr>
        <w:ind w:left="720" w:hanging="360"/>
      </w:pPr>
      <w:rPr>
        <w:rFonts w:ascii="Symbol" w:hAnsi="Symbol"/>
      </w:rPr>
    </w:lvl>
    <w:lvl w:ilvl="3" w:tplc="C9CC35D2">
      <w:start w:val="1"/>
      <w:numFmt w:val="bullet"/>
      <w:lvlText w:val=""/>
      <w:lvlJc w:val="left"/>
      <w:pPr>
        <w:ind w:left="720" w:hanging="360"/>
      </w:pPr>
      <w:rPr>
        <w:rFonts w:ascii="Symbol" w:hAnsi="Symbol"/>
      </w:rPr>
    </w:lvl>
    <w:lvl w:ilvl="4" w:tplc="0F7A2642">
      <w:start w:val="1"/>
      <w:numFmt w:val="bullet"/>
      <w:lvlText w:val=""/>
      <w:lvlJc w:val="left"/>
      <w:pPr>
        <w:ind w:left="720" w:hanging="360"/>
      </w:pPr>
      <w:rPr>
        <w:rFonts w:ascii="Symbol" w:hAnsi="Symbol"/>
      </w:rPr>
    </w:lvl>
    <w:lvl w:ilvl="5" w:tplc="227EBFEC">
      <w:start w:val="1"/>
      <w:numFmt w:val="bullet"/>
      <w:lvlText w:val=""/>
      <w:lvlJc w:val="left"/>
      <w:pPr>
        <w:ind w:left="720" w:hanging="360"/>
      </w:pPr>
      <w:rPr>
        <w:rFonts w:ascii="Symbol" w:hAnsi="Symbol"/>
      </w:rPr>
    </w:lvl>
    <w:lvl w:ilvl="6" w:tplc="5DA4DE02">
      <w:start w:val="1"/>
      <w:numFmt w:val="bullet"/>
      <w:lvlText w:val=""/>
      <w:lvlJc w:val="left"/>
      <w:pPr>
        <w:ind w:left="720" w:hanging="360"/>
      </w:pPr>
      <w:rPr>
        <w:rFonts w:ascii="Symbol" w:hAnsi="Symbol"/>
      </w:rPr>
    </w:lvl>
    <w:lvl w:ilvl="7" w:tplc="7910D4E2">
      <w:start w:val="1"/>
      <w:numFmt w:val="bullet"/>
      <w:lvlText w:val=""/>
      <w:lvlJc w:val="left"/>
      <w:pPr>
        <w:ind w:left="720" w:hanging="360"/>
      </w:pPr>
      <w:rPr>
        <w:rFonts w:ascii="Symbol" w:hAnsi="Symbol"/>
      </w:rPr>
    </w:lvl>
    <w:lvl w:ilvl="8" w:tplc="80B4F0E8">
      <w:start w:val="1"/>
      <w:numFmt w:val="bullet"/>
      <w:lvlText w:val=""/>
      <w:lvlJc w:val="left"/>
      <w:pPr>
        <w:ind w:left="720" w:hanging="360"/>
      </w:pPr>
      <w:rPr>
        <w:rFonts w:ascii="Symbol" w:hAnsi="Symbol"/>
      </w:rPr>
    </w:lvl>
  </w:abstractNum>
  <w:abstractNum w:abstractNumId="9" w15:restartNumberingAfterBreak="0">
    <w:nsid w:val="18EC556E"/>
    <w:multiLevelType w:val="hybridMultilevel"/>
    <w:tmpl w:val="6650A230"/>
    <w:lvl w:ilvl="0" w:tplc="989E7330">
      <w:start w:val="1"/>
      <w:numFmt w:val="bullet"/>
      <w:lvlText w:val=""/>
      <w:lvlJc w:val="left"/>
      <w:pPr>
        <w:ind w:left="1220" w:hanging="360"/>
      </w:pPr>
      <w:rPr>
        <w:rFonts w:ascii="Symbol" w:hAnsi="Symbol"/>
      </w:rPr>
    </w:lvl>
    <w:lvl w:ilvl="1" w:tplc="9D80B432">
      <w:start w:val="1"/>
      <w:numFmt w:val="bullet"/>
      <w:lvlText w:val=""/>
      <w:lvlJc w:val="left"/>
      <w:pPr>
        <w:ind w:left="1220" w:hanging="360"/>
      </w:pPr>
      <w:rPr>
        <w:rFonts w:ascii="Symbol" w:hAnsi="Symbol"/>
      </w:rPr>
    </w:lvl>
    <w:lvl w:ilvl="2" w:tplc="7558114A">
      <w:start w:val="1"/>
      <w:numFmt w:val="bullet"/>
      <w:lvlText w:val=""/>
      <w:lvlJc w:val="left"/>
      <w:pPr>
        <w:ind w:left="1220" w:hanging="360"/>
      </w:pPr>
      <w:rPr>
        <w:rFonts w:ascii="Symbol" w:hAnsi="Symbol"/>
      </w:rPr>
    </w:lvl>
    <w:lvl w:ilvl="3" w:tplc="990ABE9C">
      <w:start w:val="1"/>
      <w:numFmt w:val="bullet"/>
      <w:lvlText w:val=""/>
      <w:lvlJc w:val="left"/>
      <w:pPr>
        <w:ind w:left="1220" w:hanging="360"/>
      </w:pPr>
      <w:rPr>
        <w:rFonts w:ascii="Symbol" w:hAnsi="Symbol"/>
      </w:rPr>
    </w:lvl>
    <w:lvl w:ilvl="4" w:tplc="F6E41EAC">
      <w:start w:val="1"/>
      <w:numFmt w:val="bullet"/>
      <w:lvlText w:val=""/>
      <w:lvlJc w:val="left"/>
      <w:pPr>
        <w:ind w:left="1220" w:hanging="360"/>
      </w:pPr>
      <w:rPr>
        <w:rFonts w:ascii="Symbol" w:hAnsi="Symbol"/>
      </w:rPr>
    </w:lvl>
    <w:lvl w:ilvl="5" w:tplc="24089EFE">
      <w:start w:val="1"/>
      <w:numFmt w:val="bullet"/>
      <w:lvlText w:val=""/>
      <w:lvlJc w:val="left"/>
      <w:pPr>
        <w:ind w:left="1220" w:hanging="360"/>
      </w:pPr>
      <w:rPr>
        <w:rFonts w:ascii="Symbol" w:hAnsi="Symbol"/>
      </w:rPr>
    </w:lvl>
    <w:lvl w:ilvl="6" w:tplc="E0F6E4A2">
      <w:start w:val="1"/>
      <w:numFmt w:val="bullet"/>
      <w:lvlText w:val=""/>
      <w:lvlJc w:val="left"/>
      <w:pPr>
        <w:ind w:left="1220" w:hanging="360"/>
      </w:pPr>
      <w:rPr>
        <w:rFonts w:ascii="Symbol" w:hAnsi="Symbol"/>
      </w:rPr>
    </w:lvl>
    <w:lvl w:ilvl="7" w:tplc="CEF6650E">
      <w:start w:val="1"/>
      <w:numFmt w:val="bullet"/>
      <w:lvlText w:val=""/>
      <w:lvlJc w:val="left"/>
      <w:pPr>
        <w:ind w:left="1220" w:hanging="360"/>
      </w:pPr>
      <w:rPr>
        <w:rFonts w:ascii="Symbol" w:hAnsi="Symbol"/>
      </w:rPr>
    </w:lvl>
    <w:lvl w:ilvl="8" w:tplc="606EB2E2">
      <w:start w:val="1"/>
      <w:numFmt w:val="bullet"/>
      <w:lvlText w:val=""/>
      <w:lvlJc w:val="left"/>
      <w:pPr>
        <w:ind w:left="1220" w:hanging="360"/>
      </w:pPr>
      <w:rPr>
        <w:rFonts w:ascii="Symbol" w:hAnsi="Symbol"/>
      </w:rPr>
    </w:lvl>
  </w:abstractNum>
  <w:abstractNum w:abstractNumId="10" w15:restartNumberingAfterBreak="0">
    <w:nsid w:val="1D78323E"/>
    <w:multiLevelType w:val="multilevel"/>
    <w:tmpl w:val="5F04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259BC"/>
    <w:multiLevelType w:val="hybridMultilevel"/>
    <w:tmpl w:val="83DC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64F17"/>
    <w:multiLevelType w:val="hybridMultilevel"/>
    <w:tmpl w:val="A2F88036"/>
    <w:lvl w:ilvl="0" w:tplc="A6D824B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29E336D"/>
    <w:multiLevelType w:val="hybridMultilevel"/>
    <w:tmpl w:val="EF2AC578"/>
    <w:lvl w:ilvl="0" w:tplc="68EC9C5A">
      <w:start w:val="1"/>
      <w:numFmt w:val="bullet"/>
      <w:lvlText w:val=""/>
      <w:lvlJc w:val="left"/>
      <w:pPr>
        <w:ind w:left="1800" w:hanging="360"/>
      </w:pPr>
      <w:rPr>
        <w:rFonts w:ascii="Symbol" w:hAnsi="Symbol"/>
      </w:rPr>
    </w:lvl>
    <w:lvl w:ilvl="1" w:tplc="3D426B0E">
      <w:start w:val="1"/>
      <w:numFmt w:val="bullet"/>
      <w:lvlText w:val=""/>
      <w:lvlJc w:val="left"/>
      <w:pPr>
        <w:ind w:left="1800" w:hanging="360"/>
      </w:pPr>
      <w:rPr>
        <w:rFonts w:ascii="Symbol" w:hAnsi="Symbol"/>
      </w:rPr>
    </w:lvl>
    <w:lvl w:ilvl="2" w:tplc="CEECEF7A">
      <w:start w:val="1"/>
      <w:numFmt w:val="bullet"/>
      <w:lvlText w:val=""/>
      <w:lvlJc w:val="left"/>
      <w:pPr>
        <w:ind w:left="1800" w:hanging="360"/>
      </w:pPr>
      <w:rPr>
        <w:rFonts w:ascii="Symbol" w:hAnsi="Symbol"/>
      </w:rPr>
    </w:lvl>
    <w:lvl w:ilvl="3" w:tplc="BBF4FFCE">
      <w:start w:val="1"/>
      <w:numFmt w:val="bullet"/>
      <w:lvlText w:val=""/>
      <w:lvlJc w:val="left"/>
      <w:pPr>
        <w:ind w:left="1800" w:hanging="360"/>
      </w:pPr>
      <w:rPr>
        <w:rFonts w:ascii="Symbol" w:hAnsi="Symbol"/>
      </w:rPr>
    </w:lvl>
    <w:lvl w:ilvl="4" w:tplc="06902AEE">
      <w:start w:val="1"/>
      <w:numFmt w:val="bullet"/>
      <w:lvlText w:val=""/>
      <w:lvlJc w:val="left"/>
      <w:pPr>
        <w:ind w:left="1800" w:hanging="360"/>
      </w:pPr>
      <w:rPr>
        <w:rFonts w:ascii="Symbol" w:hAnsi="Symbol"/>
      </w:rPr>
    </w:lvl>
    <w:lvl w:ilvl="5" w:tplc="6A42D2DE">
      <w:start w:val="1"/>
      <w:numFmt w:val="bullet"/>
      <w:lvlText w:val=""/>
      <w:lvlJc w:val="left"/>
      <w:pPr>
        <w:ind w:left="1800" w:hanging="360"/>
      </w:pPr>
      <w:rPr>
        <w:rFonts w:ascii="Symbol" w:hAnsi="Symbol"/>
      </w:rPr>
    </w:lvl>
    <w:lvl w:ilvl="6" w:tplc="42449B0A">
      <w:start w:val="1"/>
      <w:numFmt w:val="bullet"/>
      <w:lvlText w:val=""/>
      <w:lvlJc w:val="left"/>
      <w:pPr>
        <w:ind w:left="1800" w:hanging="360"/>
      </w:pPr>
      <w:rPr>
        <w:rFonts w:ascii="Symbol" w:hAnsi="Symbol"/>
      </w:rPr>
    </w:lvl>
    <w:lvl w:ilvl="7" w:tplc="4E8A613E">
      <w:start w:val="1"/>
      <w:numFmt w:val="bullet"/>
      <w:lvlText w:val=""/>
      <w:lvlJc w:val="left"/>
      <w:pPr>
        <w:ind w:left="1800" w:hanging="360"/>
      </w:pPr>
      <w:rPr>
        <w:rFonts w:ascii="Symbol" w:hAnsi="Symbol"/>
      </w:rPr>
    </w:lvl>
    <w:lvl w:ilvl="8" w:tplc="E48ED570">
      <w:start w:val="1"/>
      <w:numFmt w:val="bullet"/>
      <w:lvlText w:val=""/>
      <w:lvlJc w:val="left"/>
      <w:pPr>
        <w:ind w:left="1800" w:hanging="360"/>
      </w:pPr>
      <w:rPr>
        <w:rFonts w:ascii="Symbol" w:hAnsi="Symbol"/>
      </w:rPr>
    </w:lvl>
  </w:abstractNum>
  <w:abstractNum w:abstractNumId="14" w15:restartNumberingAfterBreak="0">
    <w:nsid w:val="24D5321B"/>
    <w:multiLevelType w:val="hybridMultilevel"/>
    <w:tmpl w:val="3BC42A6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F2201C"/>
    <w:multiLevelType w:val="hybridMultilevel"/>
    <w:tmpl w:val="12C0B734"/>
    <w:lvl w:ilvl="0" w:tplc="C90A125C">
      <w:start w:val="1"/>
      <w:numFmt w:val="bullet"/>
      <w:lvlText w:val=""/>
      <w:lvlJc w:val="left"/>
      <w:pPr>
        <w:ind w:left="1220" w:hanging="360"/>
      </w:pPr>
      <w:rPr>
        <w:rFonts w:ascii="Symbol" w:hAnsi="Symbol"/>
      </w:rPr>
    </w:lvl>
    <w:lvl w:ilvl="1" w:tplc="A65A6682">
      <w:start w:val="1"/>
      <w:numFmt w:val="bullet"/>
      <w:lvlText w:val=""/>
      <w:lvlJc w:val="left"/>
      <w:pPr>
        <w:ind w:left="1220" w:hanging="360"/>
      </w:pPr>
      <w:rPr>
        <w:rFonts w:ascii="Symbol" w:hAnsi="Symbol"/>
      </w:rPr>
    </w:lvl>
    <w:lvl w:ilvl="2" w:tplc="F1587016">
      <w:start w:val="1"/>
      <w:numFmt w:val="bullet"/>
      <w:lvlText w:val=""/>
      <w:lvlJc w:val="left"/>
      <w:pPr>
        <w:ind w:left="1220" w:hanging="360"/>
      </w:pPr>
      <w:rPr>
        <w:rFonts w:ascii="Symbol" w:hAnsi="Symbol"/>
      </w:rPr>
    </w:lvl>
    <w:lvl w:ilvl="3" w:tplc="7D28F798">
      <w:start w:val="1"/>
      <w:numFmt w:val="bullet"/>
      <w:lvlText w:val=""/>
      <w:lvlJc w:val="left"/>
      <w:pPr>
        <w:ind w:left="1220" w:hanging="360"/>
      </w:pPr>
      <w:rPr>
        <w:rFonts w:ascii="Symbol" w:hAnsi="Symbol"/>
      </w:rPr>
    </w:lvl>
    <w:lvl w:ilvl="4" w:tplc="3CBC7534">
      <w:start w:val="1"/>
      <w:numFmt w:val="bullet"/>
      <w:lvlText w:val=""/>
      <w:lvlJc w:val="left"/>
      <w:pPr>
        <w:ind w:left="1220" w:hanging="360"/>
      </w:pPr>
      <w:rPr>
        <w:rFonts w:ascii="Symbol" w:hAnsi="Symbol"/>
      </w:rPr>
    </w:lvl>
    <w:lvl w:ilvl="5" w:tplc="EB860CFE">
      <w:start w:val="1"/>
      <w:numFmt w:val="bullet"/>
      <w:lvlText w:val=""/>
      <w:lvlJc w:val="left"/>
      <w:pPr>
        <w:ind w:left="1220" w:hanging="360"/>
      </w:pPr>
      <w:rPr>
        <w:rFonts w:ascii="Symbol" w:hAnsi="Symbol"/>
      </w:rPr>
    </w:lvl>
    <w:lvl w:ilvl="6" w:tplc="EFF4E2E0">
      <w:start w:val="1"/>
      <w:numFmt w:val="bullet"/>
      <w:lvlText w:val=""/>
      <w:lvlJc w:val="left"/>
      <w:pPr>
        <w:ind w:left="1220" w:hanging="360"/>
      </w:pPr>
      <w:rPr>
        <w:rFonts w:ascii="Symbol" w:hAnsi="Symbol"/>
      </w:rPr>
    </w:lvl>
    <w:lvl w:ilvl="7" w:tplc="6E2E5FE8">
      <w:start w:val="1"/>
      <w:numFmt w:val="bullet"/>
      <w:lvlText w:val=""/>
      <w:lvlJc w:val="left"/>
      <w:pPr>
        <w:ind w:left="1220" w:hanging="360"/>
      </w:pPr>
      <w:rPr>
        <w:rFonts w:ascii="Symbol" w:hAnsi="Symbol"/>
      </w:rPr>
    </w:lvl>
    <w:lvl w:ilvl="8" w:tplc="D63A22CE">
      <w:start w:val="1"/>
      <w:numFmt w:val="bullet"/>
      <w:lvlText w:val=""/>
      <w:lvlJc w:val="left"/>
      <w:pPr>
        <w:ind w:left="1220" w:hanging="360"/>
      </w:pPr>
      <w:rPr>
        <w:rFonts w:ascii="Symbol" w:hAnsi="Symbol"/>
      </w:rPr>
    </w:lvl>
  </w:abstractNum>
  <w:abstractNum w:abstractNumId="16" w15:restartNumberingAfterBreak="0">
    <w:nsid w:val="270D5D0C"/>
    <w:multiLevelType w:val="multilevel"/>
    <w:tmpl w:val="995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B7E56"/>
    <w:multiLevelType w:val="hybridMultilevel"/>
    <w:tmpl w:val="1ECA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4B4D38"/>
    <w:multiLevelType w:val="hybridMultilevel"/>
    <w:tmpl w:val="44E0AD0E"/>
    <w:lvl w:ilvl="0" w:tplc="86EC9392">
      <w:start w:val="1"/>
      <w:numFmt w:val="bullet"/>
      <w:lvlText w:val=""/>
      <w:lvlJc w:val="left"/>
      <w:pPr>
        <w:ind w:left="720" w:hanging="360"/>
      </w:pPr>
      <w:rPr>
        <w:rFonts w:ascii="Symbol" w:hAnsi="Symbol"/>
      </w:rPr>
    </w:lvl>
    <w:lvl w:ilvl="1" w:tplc="B622DEC6">
      <w:start w:val="1"/>
      <w:numFmt w:val="bullet"/>
      <w:lvlText w:val=""/>
      <w:lvlJc w:val="left"/>
      <w:pPr>
        <w:ind w:left="720" w:hanging="360"/>
      </w:pPr>
      <w:rPr>
        <w:rFonts w:ascii="Symbol" w:hAnsi="Symbol"/>
      </w:rPr>
    </w:lvl>
    <w:lvl w:ilvl="2" w:tplc="D17E88E2">
      <w:start w:val="1"/>
      <w:numFmt w:val="bullet"/>
      <w:lvlText w:val=""/>
      <w:lvlJc w:val="left"/>
      <w:pPr>
        <w:ind w:left="720" w:hanging="360"/>
      </w:pPr>
      <w:rPr>
        <w:rFonts w:ascii="Symbol" w:hAnsi="Symbol"/>
      </w:rPr>
    </w:lvl>
    <w:lvl w:ilvl="3" w:tplc="C7B40266">
      <w:start w:val="1"/>
      <w:numFmt w:val="bullet"/>
      <w:lvlText w:val=""/>
      <w:lvlJc w:val="left"/>
      <w:pPr>
        <w:ind w:left="720" w:hanging="360"/>
      </w:pPr>
      <w:rPr>
        <w:rFonts w:ascii="Symbol" w:hAnsi="Symbol"/>
      </w:rPr>
    </w:lvl>
    <w:lvl w:ilvl="4" w:tplc="45925B76">
      <w:start w:val="1"/>
      <w:numFmt w:val="bullet"/>
      <w:lvlText w:val=""/>
      <w:lvlJc w:val="left"/>
      <w:pPr>
        <w:ind w:left="720" w:hanging="360"/>
      </w:pPr>
      <w:rPr>
        <w:rFonts w:ascii="Symbol" w:hAnsi="Symbol"/>
      </w:rPr>
    </w:lvl>
    <w:lvl w:ilvl="5" w:tplc="52144A5A">
      <w:start w:val="1"/>
      <w:numFmt w:val="bullet"/>
      <w:lvlText w:val=""/>
      <w:lvlJc w:val="left"/>
      <w:pPr>
        <w:ind w:left="720" w:hanging="360"/>
      </w:pPr>
      <w:rPr>
        <w:rFonts w:ascii="Symbol" w:hAnsi="Symbol"/>
      </w:rPr>
    </w:lvl>
    <w:lvl w:ilvl="6" w:tplc="E3582E08">
      <w:start w:val="1"/>
      <w:numFmt w:val="bullet"/>
      <w:lvlText w:val=""/>
      <w:lvlJc w:val="left"/>
      <w:pPr>
        <w:ind w:left="720" w:hanging="360"/>
      </w:pPr>
      <w:rPr>
        <w:rFonts w:ascii="Symbol" w:hAnsi="Symbol"/>
      </w:rPr>
    </w:lvl>
    <w:lvl w:ilvl="7" w:tplc="37B81AAA">
      <w:start w:val="1"/>
      <w:numFmt w:val="bullet"/>
      <w:lvlText w:val=""/>
      <w:lvlJc w:val="left"/>
      <w:pPr>
        <w:ind w:left="720" w:hanging="360"/>
      </w:pPr>
      <w:rPr>
        <w:rFonts w:ascii="Symbol" w:hAnsi="Symbol"/>
      </w:rPr>
    </w:lvl>
    <w:lvl w:ilvl="8" w:tplc="4F0862DC">
      <w:start w:val="1"/>
      <w:numFmt w:val="bullet"/>
      <w:lvlText w:val=""/>
      <w:lvlJc w:val="left"/>
      <w:pPr>
        <w:ind w:left="720" w:hanging="360"/>
      </w:pPr>
      <w:rPr>
        <w:rFonts w:ascii="Symbol" w:hAnsi="Symbol"/>
      </w:rPr>
    </w:lvl>
  </w:abstractNum>
  <w:abstractNum w:abstractNumId="19"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9177FB"/>
    <w:multiLevelType w:val="hybridMultilevel"/>
    <w:tmpl w:val="6B82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6413FA"/>
    <w:multiLevelType w:val="hybridMultilevel"/>
    <w:tmpl w:val="16285CB2"/>
    <w:lvl w:ilvl="0" w:tplc="A9164C86">
      <w:start w:val="1"/>
      <w:numFmt w:val="bullet"/>
      <w:lvlText w:val=""/>
      <w:lvlJc w:val="left"/>
      <w:pPr>
        <w:ind w:left="1080" w:hanging="360"/>
      </w:pPr>
      <w:rPr>
        <w:rFonts w:ascii="Symbol" w:hAnsi="Symbol"/>
      </w:rPr>
    </w:lvl>
    <w:lvl w:ilvl="1" w:tplc="44B2EF36">
      <w:start w:val="1"/>
      <w:numFmt w:val="bullet"/>
      <w:lvlText w:val=""/>
      <w:lvlJc w:val="left"/>
      <w:pPr>
        <w:ind w:left="1080" w:hanging="360"/>
      </w:pPr>
      <w:rPr>
        <w:rFonts w:ascii="Symbol" w:hAnsi="Symbol"/>
      </w:rPr>
    </w:lvl>
    <w:lvl w:ilvl="2" w:tplc="8518884A">
      <w:start w:val="1"/>
      <w:numFmt w:val="bullet"/>
      <w:lvlText w:val=""/>
      <w:lvlJc w:val="left"/>
      <w:pPr>
        <w:ind w:left="1080" w:hanging="360"/>
      </w:pPr>
      <w:rPr>
        <w:rFonts w:ascii="Symbol" w:hAnsi="Symbol"/>
      </w:rPr>
    </w:lvl>
    <w:lvl w:ilvl="3" w:tplc="18C0F5C2">
      <w:start w:val="1"/>
      <w:numFmt w:val="bullet"/>
      <w:lvlText w:val=""/>
      <w:lvlJc w:val="left"/>
      <w:pPr>
        <w:ind w:left="1080" w:hanging="360"/>
      </w:pPr>
      <w:rPr>
        <w:rFonts w:ascii="Symbol" w:hAnsi="Symbol"/>
      </w:rPr>
    </w:lvl>
    <w:lvl w:ilvl="4" w:tplc="ACEC66A4">
      <w:start w:val="1"/>
      <w:numFmt w:val="bullet"/>
      <w:lvlText w:val=""/>
      <w:lvlJc w:val="left"/>
      <w:pPr>
        <w:ind w:left="1080" w:hanging="360"/>
      </w:pPr>
      <w:rPr>
        <w:rFonts w:ascii="Symbol" w:hAnsi="Symbol"/>
      </w:rPr>
    </w:lvl>
    <w:lvl w:ilvl="5" w:tplc="136A3800">
      <w:start w:val="1"/>
      <w:numFmt w:val="bullet"/>
      <w:lvlText w:val=""/>
      <w:lvlJc w:val="left"/>
      <w:pPr>
        <w:ind w:left="1080" w:hanging="360"/>
      </w:pPr>
      <w:rPr>
        <w:rFonts w:ascii="Symbol" w:hAnsi="Symbol"/>
      </w:rPr>
    </w:lvl>
    <w:lvl w:ilvl="6" w:tplc="DB82AAC0">
      <w:start w:val="1"/>
      <w:numFmt w:val="bullet"/>
      <w:lvlText w:val=""/>
      <w:lvlJc w:val="left"/>
      <w:pPr>
        <w:ind w:left="1080" w:hanging="360"/>
      </w:pPr>
      <w:rPr>
        <w:rFonts w:ascii="Symbol" w:hAnsi="Symbol"/>
      </w:rPr>
    </w:lvl>
    <w:lvl w:ilvl="7" w:tplc="2BB8BEE4">
      <w:start w:val="1"/>
      <w:numFmt w:val="bullet"/>
      <w:lvlText w:val=""/>
      <w:lvlJc w:val="left"/>
      <w:pPr>
        <w:ind w:left="1080" w:hanging="360"/>
      </w:pPr>
      <w:rPr>
        <w:rFonts w:ascii="Symbol" w:hAnsi="Symbol"/>
      </w:rPr>
    </w:lvl>
    <w:lvl w:ilvl="8" w:tplc="B27A7042">
      <w:start w:val="1"/>
      <w:numFmt w:val="bullet"/>
      <w:lvlText w:val=""/>
      <w:lvlJc w:val="left"/>
      <w:pPr>
        <w:ind w:left="1080" w:hanging="360"/>
      </w:pPr>
      <w:rPr>
        <w:rFonts w:ascii="Symbol" w:hAnsi="Symbol"/>
      </w:rPr>
    </w:lvl>
  </w:abstractNum>
  <w:abstractNum w:abstractNumId="22" w15:restartNumberingAfterBreak="0">
    <w:nsid w:val="2F3B31E8"/>
    <w:multiLevelType w:val="hybridMultilevel"/>
    <w:tmpl w:val="EF2ABE7C"/>
    <w:lvl w:ilvl="0" w:tplc="AA32C7DE">
      <w:start w:val="1"/>
      <w:numFmt w:val="bullet"/>
      <w:lvlText w:val=""/>
      <w:lvlJc w:val="left"/>
      <w:pPr>
        <w:ind w:left="1220" w:hanging="360"/>
      </w:pPr>
      <w:rPr>
        <w:rFonts w:ascii="Symbol" w:hAnsi="Symbol"/>
      </w:rPr>
    </w:lvl>
    <w:lvl w:ilvl="1" w:tplc="23DC104A">
      <w:start w:val="1"/>
      <w:numFmt w:val="bullet"/>
      <w:lvlText w:val=""/>
      <w:lvlJc w:val="left"/>
      <w:pPr>
        <w:ind w:left="1840" w:hanging="360"/>
      </w:pPr>
      <w:rPr>
        <w:rFonts w:ascii="Symbol" w:hAnsi="Symbol"/>
      </w:rPr>
    </w:lvl>
    <w:lvl w:ilvl="2" w:tplc="2E200298">
      <w:start w:val="1"/>
      <w:numFmt w:val="bullet"/>
      <w:lvlText w:val=""/>
      <w:lvlJc w:val="left"/>
      <w:pPr>
        <w:ind w:left="2340" w:hanging="360"/>
      </w:pPr>
      <w:rPr>
        <w:rFonts w:ascii="Symbol" w:hAnsi="Symbol"/>
      </w:rPr>
    </w:lvl>
    <w:lvl w:ilvl="3" w:tplc="18305E26">
      <w:start w:val="1"/>
      <w:numFmt w:val="bullet"/>
      <w:lvlText w:val=""/>
      <w:lvlJc w:val="left"/>
      <w:pPr>
        <w:ind w:left="1840" w:hanging="360"/>
      </w:pPr>
      <w:rPr>
        <w:rFonts w:ascii="Symbol" w:hAnsi="Symbol"/>
      </w:rPr>
    </w:lvl>
    <w:lvl w:ilvl="4" w:tplc="5050A27A">
      <w:start w:val="1"/>
      <w:numFmt w:val="bullet"/>
      <w:lvlText w:val=""/>
      <w:lvlJc w:val="left"/>
      <w:pPr>
        <w:ind w:left="1840" w:hanging="360"/>
      </w:pPr>
      <w:rPr>
        <w:rFonts w:ascii="Symbol" w:hAnsi="Symbol"/>
      </w:rPr>
    </w:lvl>
    <w:lvl w:ilvl="5" w:tplc="C28E4ABA">
      <w:start w:val="1"/>
      <w:numFmt w:val="bullet"/>
      <w:lvlText w:val=""/>
      <w:lvlJc w:val="left"/>
      <w:pPr>
        <w:ind w:left="1840" w:hanging="360"/>
      </w:pPr>
      <w:rPr>
        <w:rFonts w:ascii="Symbol" w:hAnsi="Symbol"/>
      </w:rPr>
    </w:lvl>
    <w:lvl w:ilvl="6" w:tplc="2F2C0838">
      <w:start w:val="1"/>
      <w:numFmt w:val="bullet"/>
      <w:lvlText w:val=""/>
      <w:lvlJc w:val="left"/>
      <w:pPr>
        <w:ind w:left="1840" w:hanging="360"/>
      </w:pPr>
      <w:rPr>
        <w:rFonts w:ascii="Symbol" w:hAnsi="Symbol"/>
      </w:rPr>
    </w:lvl>
    <w:lvl w:ilvl="7" w:tplc="B34AC752">
      <w:start w:val="1"/>
      <w:numFmt w:val="bullet"/>
      <w:lvlText w:val=""/>
      <w:lvlJc w:val="left"/>
      <w:pPr>
        <w:ind w:left="1840" w:hanging="360"/>
      </w:pPr>
      <w:rPr>
        <w:rFonts w:ascii="Symbol" w:hAnsi="Symbol"/>
      </w:rPr>
    </w:lvl>
    <w:lvl w:ilvl="8" w:tplc="288616E0">
      <w:start w:val="1"/>
      <w:numFmt w:val="bullet"/>
      <w:lvlText w:val=""/>
      <w:lvlJc w:val="left"/>
      <w:pPr>
        <w:ind w:left="1840" w:hanging="360"/>
      </w:pPr>
      <w:rPr>
        <w:rFonts w:ascii="Symbol" w:hAnsi="Symbol"/>
      </w:rPr>
    </w:lvl>
  </w:abstractNum>
  <w:abstractNum w:abstractNumId="23" w15:restartNumberingAfterBreak="0">
    <w:nsid w:val="2F8841B9"/>
    <w:multiLevelType w:val="hybridMultilevel"/>
    <w:tmpl w:val="0B96BD18"/>
    <w:lvl w:ilvl="0" w:tplc="C57846BC">
      <w:start w:val="1"/>
      <w:numFmt w:val="bullet"/>
      <w:lvlText w:val=""/>
      <w:lvlJc w:val="left"/>
      <w:pPr>
        <w:ind w:left="360" w:hanging="360"/>
      </w:pPr>
      <w:rPr>
        <w:rFonts w:ascii="Symbol" w:hAnsi="Symbol" w:hint="default"/>
        <w:color w:val="44546A"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613C28"/>
    <w:multiLevelType w:val="hybridMultilevel"/>
    <w:tmpl w:val="52DACFCC"/>
    <w:lvl w:ilvl="0" w:tplc="0C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C0610F"/>
    <w:multiLevelType w:val="multilevel"/>
    <w:tmpl w:val="6C5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C781A"/>
    <w:multiLevelType w:val="hybridMultilevel"/>
    <w:tmpl w:val="85DCB5E6"/>
    <w:lvl w:ilvl="0" w:tplc="6F6E4212">
      <w:start w:val="1"/>
      <w:numFmt w:val="bullet"/>
      <w:lvlText w:val=""/>
      <w:lvlJc w:val="left"/>
      <w:pPr>
        <w:ind w:left="184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E11383"/>
    <w:multiLevelType w:val="hybridMultilevel"/>
    <w:tmpl w:val="83643D84"/>
    <w:lvl w:ilvl="0" w:tplc="6F6E4212">
      <w:start w:val="1"/>
      <w:numFmt w:val="bullet"/>
      <w:lvlText w:val=""/>
      <w:lvlJc w:val="left"/>
      <w:pPr>
        <w:ind w:left="1840" w:hanging="360"/>
      </w:pPr>
      <w:rPr>
        <w:rFonts w:ascii="Symbol" w:hAnsi="Symbol"/>
      </w:rPr>
    </w:lvl>
    <w:lvl w:ilvl="1" w:tplc="388CAFEC">
      <w:start w:val="1"/>
      <w:numFmt w:val="bullet"/>
      <w:lvlText w:val=""/>
      <w:lvlJc w:val="left"/>
      <w:pPr>
        <w:ind w:left="1840" w:hanging="360"/>
      </w:pPr>
      <w:rPr>
        <w:rFonts w:ascii="Symbol" w:hAnsi="Symbol"/>
      </w:rPr>
    </w:lvl>
    <w:lvl w:ilvl="2" w:tplc="6F163AA8">
      <w:start w:val="1"/>
      <w:numFmt w:val="bullet"/>
      <w:lvlText w:val=""/>
      <w:lvlJc w:val="left"/>
      <w:pPr>
        <w:ind w:left="1840" w:hanging="360"/>
      </w:pPr>
      <w:rPr>
        <w:rFonts w:ascii="Symbol" w:hAnsi="Symbol"/>
      </w:rPr>
    </w:lvl>
    <w:lvl w:ilvl="3" w:tplc="8DF2EBD2">
      <w:start w:val="1"/>
      <w:numFmt w:val="bullet"/>
      <w:lvlText w:val=""/>
      <w:lvlJc w:val="left"/>
      <w:pPr>
        <w:ind w:left="1840" w:hanging="360"/>
      </w:pPr>
      <w:rPr>
        <w:rFonts w:ascii="Symbol" w:hAnsi="Symbol"/>
      </w:rPr>
    </w:lvl>
    <w:lvl w:ilvl="4" w:tplc="72F23012">
      <w:start w:val="1"/>
      <w:numFmt w:val="bullet"/>
      <w:lvlText w:val=""/>
      <w:lvlJc w:val="left"/>
      <w:pPr>
        <w:ind w:left="1840" w:hanging="360"/>
      </w:pPr>
      <w:rPr>
        <w:rFonts w:ascii="Symbol" w:hAnsi="Symbol"/>
      </w:rPr>
    </w:lvl>
    <w:lvl w:ilvl="5" w:tplc="67268A4C">
      <w:start w:val="1"/>
      <w:numFmt w:val="bullet"/>
      <w:lvlText w:val=""/>
      <w:lvlJc w:val="left"/>
      <w:pPr>
        <w:ind w:left="1840" w:hanging="360"/>
      </w:pPr>
      <w:rPr>
        <w:rFonts w:ascii="Symbol" w:hAnsi="Symbol"/>
      </w:rPr>
    </w:lvl>
    <w:lvl w:ilvl="6" w:tplc="FA7E67F8">
      <w:start w:val="1"/>
      <w:numFmt w:val="bullet"/>
      <w:lvlText w:val=""/>
      <w:lvlJc w:val="left"/>
      <w:pPr>
        <w:ind w:left="1840" w:hanging="360"/>
      </w:pPr>
      <w:rPr>
        <w:rFonts w:ascii="Symbol" w:hAnsi="Symbol"/>
      </w:rPr>
    </w:lvl>
    <w:lvl w:ilvl="7" w:tplc="1BF86752">
      <w:start w:val="1"/>
      <w:numFmt w:val="bullet"/>
      <w:lvlText w:val=""/>
      <w:lvlJc w:val="left"/>
      <w:pPr>
        <w:ind w:left="1840" w:hanging="360"/>
      </w:pPr>
      <w:rPr>
        <w:rFonts w:ascii="Symbol" w:hAnsi="Symbol"/>
      </w:rPr>
    </w:lvl>
    <w:lvl w:ilvl="8" w:tplc="4D72689A">
      <w:start w:val="1"/>
      <w:numFmt w:val="bullet"/>
      <w:lvlText w:val=""/>
      <w:lvlJc w:val="left"/>
      <w:pPr>
        <w:ind w:left="1840" w:hanging="360"/>
      </w:pPr>
      <w:rPr>
        <w:rFonts w:ascii="Symbol" w:hAnsi="Symbol"/>
      </w:rPr>
    </w:lvl>
  </w:abstractNum>
  <w:abstractNum w:abstractNumId="28" w15:restartNumberingAfterBreak="0">
    <w:nsid w:val="385842CA"/>
    <w:multiLevelType w:val="hybridMultilevel"/>
    <w:tmpl w:val="DEB2EAB8"/>
    <w:lvl w:ilvl="0" w:tplc="4BDA7184">
      <w:start w:val="1"/>
      <w:numFmt w:val="bullet"/>
      <w:lvlText w:val="•"/>
      <w:lvlJc w:val="left"/>
      <w:pPr>
        <w:tabs>
          <w:tab w:val="num" w:pos="720"/>
        </w:tabs>
        <w:ind w:left="720" w:hanging="360"/>
      </w:pPr>
      <w:rPr>
        <w:rFonts w:ascii="Arial" w:hAnsi="Arial" w:hint="default"/>
      </w:rPr>
    </w:lvl>
    <w:lvl w:ilvl="1" w:tplc="4D485374" w:tentative="1">
      <w:start w:val="1"/>
      <w:numFmt w:val="bullet"/>
      <w:lvlText w:val="•"/>
      <w:lvlJc w:val="left"/>
      <w:pPr>
        <w:tabs>
          <w:tab w:val="num" w:pos="1440"/>
        </w:tabs>
        <w:ind w:left="1440" w:hanging="360"/>
      </w:pPr>
      <w:rPr>
        <w:rFonts w:ascii="Arial" w:hAnsi="Arial" w:hint="default"/>
      </w:rPr>
    </w:lvl>
    <w:lvl w:ilvl="2" w:tplc="E17E4622" w:tentative="1">
      <w:start w:val="1"/>
      <w:numFmt w:val="bullet"/>
      <w:lvlText w:val="•"/>
      <w:lvlJc w:val="left"/>
      <w:pPr>
        <w:tabs>
          <w:tab w:val="num" w:pos="2160"/>
        </w:tabs>
        <w:ind w:left="2160" w:hanging="360"/>
      </w:pPr>
      <w:rPr>
        <w:rFonts w:ascii="Arial" w:hAnsi="Arial" w:hint="default"/>
      </w:rPr>
    </w:lvl>
    <w:lvl w:ilvl="3" w:tplc="16B6B9C8" w:tentative="1">
      <w:start w:val="1"/>
      <w:numFmt w:val="bullet"/>
      <w:lvlText w:val="•"/>
      <w:lvlJc w:val="left"/>
      <w:pPr>
        <w:tabs>
          <w:tab w:val="num" w:pos="2880"/>
        </w:tabs>
        <w:ind w:left="2880" w:hanging="360"/>
      </w:pPr>
      <w:rPr>
        <w:rFonts w:ascii="Arial" w:hAnsi="Arial" w:hint="default"/>
      </w:rPr>
    </w:lvl>
    <w:lvl w:ilvl="4" w:tplc="C458DC98" w:tentative="1">
      <w:start w:val="1"/>
      <w:numFmt w:val="bullet"/>
      <w:lvlText w:val="•"/>
      <w:lvlJc w:val="left"/>
      <w:pPr>
        <w:tabs>
          <w:tab w:val="num" w:pos="3600"/>
        </w:tabs>
        <w:ind w:left="3600" w:hanging="360"/>
      </w:pPr>
      <w:rPr>
        <w:rFonts w:ascii="Arial" w:hAnsi="Arial" w:hint="default"/>
      </w:rPr>
    </w:lvl>
    <w:lvl w:ilvl="5" w:tplc="2D4E9476" w:tentative="1">
      <w:start w:val="1"/>
      <w:numFmt w:val="bullet"/>
      <w:lvlText w:val="•"/>
      <w:lvlJc w:val="left"/>
      <w:pPr>
        <w:tabs>
          <w:tab w:val="num" w:pos="4320"/>
        </w:tabs>
        <w:ind w:left="4320" w:hanging="360"/>
      </w:pPr>
      <w:rPr>
        <w:rFonts w:ascii="Arial" w:hAnsi="Arial" w:hint="default"/>
      </w:rPr>
    </w:lvl>
    <w:lvl w:ilvl="6" w:tplc="FC8634D8" w:tentative="1">
      <w:start w:val="1"/>
      <w:numFmt w:val="bullet"/>
      <w:lvlText w:val="•"/>
      <w:lvlJc w:val="left"/>
      <w:pPr>
        <w:tabs>
          <w:tab w:val="num" w:pos="5040"/>
        </w:tabs>
        <w:ind w:left="5040" w:hanging="360"/>
      </w:pPr>
      <w:rPr>
        <w:rFonts w:ascii="Arial" w:hAnsi="Arial" w:hint="default"/>
      </w:rPr>
    </w:lvl>
    <w:lvl w:ilvl="7" w:tplc="CD1ADF90" w:tentative="1">
      <w:start w:val="1"/>
      <w:numFmt w:val="bullet"/>
      <w:lvlText w:val="•"/>
      <w:lvlJc w:val="left"/>
      <w:pPr>
        <w:tabs>
          <w:tab w:val="num" w:pos="5760"/>
        </w:tabs>
        <w:ind w:left="5760" w:hanging="360"/>
      </w:pPr>
      <w:rPr>
        <w:rFonts w:ascii="Arial" w:hAnsi="Arial" w:hint="default"/>
      </w:rPr>
    </w:lvl>
    <w:lvl w:ilvl="8" w:tplc="394693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967CEB"/>
    <w:multiLevelType w:val="multilevel"/>
    <w:tmpl w:val="53A6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3F0757"/>
    <w:multiLevelType w:val="hybridMultilevel"/>
    <w:tmpl w:val="6CC2C548"/>
    <w:lvl w:ilvl="0" w:tplc="FFFFFFFF">
      <w:start w:val="1"/>
      <w:numFmt w:val="bullet"/>
      <w:lvlText w:val="•"/>
      <w:lvlJc w:val="left"/>
      <w:pPr>
        <w:ind w:left="360" w:hanging="360"/>
      </w:pPr>
      <w:rPr>
        <w:rFonts w:ascii="Arial" w:hAnsi="Arial"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CD8658D"/>
    <w:multiLevelType w:val="hybridMultilevel"/>
    <w:tmpl w:val="494C41FC"/>
    <w:lvl w:ilvl="0" w:tplc="F55C8F78">
      <w:start w:val="1"/>
      <w:numFmt w:val="bullet"/>
      <w:lvlText w:val=""/>
      <w:lvlJc w:val="left"/>
      <w:pPr>
        <w:ind w:left="1080" w:hanging="360"/>
      </w:pPr>
      <w:rPr>
        <w:rFonts w:ascii="Symbol" w:hAnsi="Symbol"/>
      </w:rPr>
    </w:lvl>
    <w:lvl w:ilvl="1" w:tplc="73C85950">
      <w:start w:val="1"/>
      <w:numFmt w:val="bullet"/>
      <w:lvlText w:val=""/>
      <w:lvlJc w:val="left"/>
      <w:pPr>
        <w:ind w:left="1080" w:hanging="360"/>
      </w:pPr>
      <w:rPr>
        <w:rFonts w:ascii="Symbol" w:hAnsi="Symbol"/>
      </w:rPr>
    </w:lvl>
    <w:lvl w:ilvl="2" w:tplc="B7EEBFAC">
      <w:start w:val="1"/>
      <w:numFmt w:val="bullet"/>
      <w:lvlText w:val=""/>
      <w:lvlJc w:val="left"/>
      <w:pPr>
        <w:ind w:left="1080" w:hanging="360"/>
      </w:pPr>
      <w:rPr>
        <w:rFonts w:ascii="Symbol" w:hAnsi="Symbol"/>
      </w:rPr>
    </w:lvl>
    <w:lvl w:ilvl="3" w:tplc="A2BEDB72">
      <w:start w:val="1"/>
      <w:numFmt w:val="bullet"/>
      <w:lvlText w:val=""/>
      <w:lvlJc w:val="left"/>
      <w:pPr>
        <w:ind w:left="1080" w:hanging="360"/>
      </w:pPr>
      <w:rPr>
        <w:rFonts w:ascii="Symbol" w:hAnsi="Symbol"/>
      </w:rPr>
    </w:lvl>
    <w:lvl w:ilvl="4" w:tplc="2F4E212A">
      <w:start w:val="1"/>
      <w:numFmt w:val="bullet"/>
      <w:lvlText w:val=""/>
      <w:lvlJc w:val="left"/>
      <w:pPr>
        <w:ind w:left="1080" w:hanging="360"/>
      </w:pPr>
      <w:rPr>
        <w:rFonts w:ascii="Symbol" w:hAnsi="Symbol"/>
      </w:rPr>
    </w:lvl>
    <w:lvl w:ilvl="5" w:tplc="90F20436">
      <w:start w:val="1"/>
      <w:numFmt w:val="bullet"/>
      <w:lvlText w:val=""/>
      <w:lvlJc w:val="left"/>
      <w:pPr>
        <w:ind w:left="1080" w:hanging="360"/>
      </w:pPr>
      <w:rPr>
        <w:rFonts w:ascii="Symbol" w:hAnsi="Symbol"/>
      </w:rPr>
    </w:lvl>
    <w:lvl w:ilvl="6" w:tplc="C47694A2">
      <w:start w:val="1"/>
      <w:numFmt w:val="bullet"/>
      <w:lvlText w:val=""/>
      <w:lvlJc w:val="left"/>
      <w:pPr>
        <w:ind w:left="1080" w:hanging="360"/>
      </w:pPr>
      <w:rPr>
        <w:rFonts w:ascii="Symbol" w:hAnsi="Symbol"/>
      </w:rPr>
    </w:lvl>
    <w:lvl w:ilvl="7" w:tplc="71680598">
      <w:start w:val="1"/>
      <w:numFmt w:val="bullet"/>
      <w:lvlText w:val=""/>
      <w:lvlJc w:val="left"/>
      <w:pPr>
        <w:ind w:left="1080" w:hanging="360"/>
      </w:pPr>
      <w:rPr>
        <w:rFonts w:ascii="Symbol" w:hAnsi="Symbol"/>
      </w:rPr>
    </w:lvl>
    <w:lvl w:ilvl="8" w:tplc="19D0A9F0">
      <w:start w:val="1"/>
      <w:numFmt w:val="bullet"/>
      <w:lvlText w:val=""/>
      <w:lvlJc w:val="left"/>
      <w:pPr>
        <w:ind w:left="1080" w:hanging="360"/>
      </w:pPr>
      <w:rPr>
        <w:rFonts w:ascii="Symbol" w:hAnsi="Symbol"/>
      </w:rPr>
    </w:lvl>
  </w:abstractNum>
  <w:abstractNum w:abstractNumId="32" w15:restartNumberingAfterBreak="0">
    <w:nsid w:val="3E2B3630"/>
    <w:multiLevelType w:val="hybridMultilevel"/>
    <w:tmpl w:val="F8CA1494"/>
    <w:lvl w:ilvl="0" w:tplc="CDEEE27E">
      <w:start w:val="1"/>
      <w:numFmt w:val="bullet"/>
      <w:lvlText w:val=""/>
      <w:lvlJc w:val="left"/>
      <w:pPr>
        <w:ind w:left="1440" w:hanging="360"/>
      </w:pPr>
      <w:rPr>
        <w:rFonts w:ascii="Symbol" w:hAnsi="Symbol"/>
      </w:rPr>
    </w:lvl>
    <w:lvl w:ilvl="1" w:tplc="7D50C41E">
      <w:start w:val="1"/>
      <w:numFmt w:val="bullet"/>
      <w:lvlText w:val=""/>
      <w:lvlJc w:val="left"/>
      <w:pPr>
        <w:ind w:left="1440" w:hanging="360"/>
      </w:pPr>
      <w:rPr>
        <w:rFonts w:ascii="Symbol" w:hAnsi="Symbol"/>
      </w:rPr>
    </w:lvl>
    <w:lvl w:ilvl="2" w:tplc="6F86CB8C">
      <w:start w:val="1"/>
      <w:numFmt w:val="bullet"/>
      <w:lvlText w:val=""/>
      <w:lvlJc w:val="left"/>
      <w:pPr>
        <w:ind w:left="1440" w:hanging="360"/>
      </w:pPr>
      <w:rPr>
        <w:rFonts w:ascii="Symbol" w:hAnsi="Symbol"/>
      </w:rPr>
    </w:lvl>
    <w:lvl w:ilvl="3" w:tplc="402062A2">
      <w:start w:val="1"/>
      <w:numFmt w:val="bullet"/>
      <w:lvlText w:val=""/>
      <w:lvlJc w:val="left"/>
      <w:pPr>
        <w:ind w:left="1440" w:hanging="360"/>
      </w:pPr>
      <w:rPr>
        <w:rFonts w:ascii="Symbol" w:hAnsi="Symbol"/>
      </w:rPr>
    </w:lvl>
    <w:lvl w:ilvl="4" w:tplc="41E2FE48">
      <w:start w:val="1"/>
      <w:numFmt w:val="bullet"/>
      <w:lvlText w:val=""/>
      <w:lvlJc w:val="left"/>
      <w:pPr>
        <w:ind w:left="1440" w:hanging="360"/>
      </w:pPr>
      <w:rPr>
        <w:rFonts w:ascii="Symbol" w:hAnsi="Symbol"/>
      </w:rPr>
    </w:lvl>
    <w:lvl w:ilvl="5" w:tplc="B264504E">
      <w:start w:val="1"/>
      <w:numFmt w:val="bullet"/>
      <w:lvlText w:val=""/>
      <w:lvlJc w:val="left"/>
      <w:pPr>
        <w:ind w:left="1440" w:hanging="360"/>
      </w:pPr>
      <w:rPr>
        <w:rFonts w:ascii="Symbol" w:hAnsi="Symbol"/>
      </w:rPr>
    </w:lvl>
    <w:lvl w:ilvl="6" w:tplc="4D2AD65C">
      <w:start w:val="1"/>
      <w:numFmt w:val="bullet"/>
      <w:lvlText w:val=""/>
      <w:lvlJc w:val="left"/>
      <w:pPr>
        <w:ind w:left="1440" w:hanging="360"/>
      </w:pPr>
      <w:rPr>
        <w:rFonts w:ascii="Symbol" w:hAnsi="Symbol"/>
      </w:rPr>
    </w:lvl>
    <w:lvl w:ilvl="7" w:tplc="287A5D92">
      <w:start w:val="1"/>
      <w:numFmt w:val="bullet"/>
      <w:lvlText w:val=""/>
      <w:lvlJc w:val="left"/>
      <w:pPr>
        <w:ind w:left="1440" w:hanging="360"/>
      </w:pPr>
      <w:rPr>
        <w:rFonts w:ascii="Symbol" w:hAnsi="Symbol"/>
      </w:rPr>
    </w:lvl>
    <w:lvl w:ilvl="8" w:tplc="121E8C8A">
      <w:start w:val="1"/>
      <w:numFmt w:val="bullet"/>
      <w:lvlText w:val=""/>
      <w:lvlJc w:val="left"/>
      <w:pPr>
        <w:ind w:left="1440" w:hanging="360"/>
      </w:pPr>
      <w:rPr>
        <w:rFonts w:ascii="Symbol" w:hAnsi="Symbol"/>
      </w:rPr>
    </w:lvl>
  </w:abstractNum>
  <w:abstractNum w:abstractNumId="33"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34" w15:restartNumberingAfterBreak="0">
    <w:nsid w:val="3F402F8D"/>
    <w:multiLevelType w:val="hybridMultilevel"/>
    <w:tmpl w:val="0658D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745422"/>
    <w:multiLevelType w:val="hybridMultilevel"/>
    <w:tmpl w:val="AD44A47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41215E5D"/>
    <w:multiLevelType w:val="hybridMultilevel"/>
    <w:tmpl w:val="BEA2F15E"/>
    <w:lvl w:ilvl="0" w:tplc="39F82DC4">
      <w:start w:val="1"/>
      <w:numFmt w:val="bullet"/>
      <w:lvlText w:val=""/>
      <w:lvlJc w:val="left"/>
      <w:pPr>
        <w:ind w:left="720" w:hanging="360"/>
      </w:pPr>
      <w:rPr>
        <w:rFonts w:ascii="Symbol" w:hAnsi="Symbol"/>
      </w:rPr>
    </w:lvl>
    <w:lvl w:ilvl="1" w:tplc="26F29B20">
      <w:start w:val="1"/>
      <w:numFmt w:val="bullet"/>
      <w:lvlText w:val=""/>
      <w:lvlJc w:val="left"/>
      <w:pPr>
        <w:ind w:left="720" w:hanging="360"/>
      </w:pPr>
      <w:rPr>
        <w:rFonts w:ascii="Symbol" w:hAnsi="Symbol"/>
      </w:rPr>
    </w:lvl>
    <w:lvl w:ilvl="2" w:tplc="95F08182">
      <w:start w:val="1"/>
      <w:numFmt w:val="bullet"/>
      <w:lvlText w:val=""/>
      <w:lvlJc w:val="left"/>
      <w:pPr>
        <w:ind w:left="720" w:hanging="360"/>
      </w:pPr>
      <w:rPr>
        <w:rFonts w:ascii="Symbol" w:hAnsi="Symbol"/>
      </w:rPr>
    </w:lvl>
    <w:lvl w:ilvl="3" w:tplc="EDB01604">
      <w:start w:val="1"/>
      <w:numFmt w:val="bullet"/>
      <w:lvlText w:val=""/>
      <w:lvlJc w:val="left"/>
      <w:pPr>
        <w:ind w:left="720" w:hanging="360"/>
      </w:pPr>
      <w:rPr>
        <w:rFonts w:ascii="Symbol" w:hAnsi="Symbol"/>
      </w:rPr>
    </w:lvl>
    <w:lvl w:ilvl="4" w:tplc="14520B00">
      <w:start w:val="1"/>
      <w:numFmt w:val="bullet"/>
      <w:lvlText w:val=""/>
      <w:lvlJc w:val="left"/>
      <w:pPr>
        <w:ind w:left="720" w:hanging="360"/>
      </w:pPr>
      <w:rPr>
        <w:rFonts w:ascii="Symbol" w:hAnsi="Symbol"/>
      </w:rPr>
    </w:lvl>
    <w:lvl w:ilvl="5" w:tplc="6A9EA0EC">
      <w:start w:val="1"/>
      <w:numFmt w:val="bullet"/>
      <w:lvlText w:val=""/>
      <w:lvlJc w:val="left"/>
      <w:pPr>
        <w:ind w:left="720" w:hanging="360"/>
      </w:pPr>
      <w:rPr>
        <w:rFonts w:ascii="Symbol" w:hAnsi="Symbol"/>
      </w:rPr>
    </w:lvl>
    <w:lvl w:ilvl="6" w:tplc="EA28B106">
      <w:start w:val="1"/>
      <w:numFmt w:val="bullet"/>
      <w:lvlText w:val=""/>
      <w:lvlJc w:val="left"/>
      <w:pPr>
        <w:ind w:left="720" w:hanging="360"/>
      </w:pPr>
      <w:rPr>
        <w:rFonts w:ascii="Symbol" w:hAnsi="Symbol"/>
      </w:rPr>
    </w:lvl>
    <w:lvl w:ilvl="7" w:tplc="CA42BE54">
      <w:start w:val="1"/>
      <w:numFmt w:val="bullet"/>
      <w:lvlText w:val=""/>
      <w:lvlJc w:val="left"/>
      <w:pPr>
        <w:ind w:left="720" w:hanging="360"/>
      </w:pPr>
      <w:rPr>
        <w:rFonts w:ascii="Symbol" w:hAnsi="Symbol"/>
      </w:rPr>
    </w:lvl>
    <w:lvl w:ilvl="8" w:tplc="399EBD5C">
      <w:start w:val="1"/>
      <w:numFmt w:val="bullet"/>
      <w:lvlText w:val=""/>
      <w:lvlJc w:val="left"/>
      <w:pPr>
        <w:ind w:left="720" w:hanging="360"/>
      </w:pPr>
      <w:rPr>
        <w:rFonts w:ascii="Symbol" w:hAnsi="Symbol"/>
      </w:rPr>
    </w:lvl>
  </w:abstractNum>
  <w:abstractNum w:abstractNumId="37" w15:restartNumberingAfterBreak="0">
    <w:nsid w:val="42951A5E"/>
    <w:multiLevelType w:val="hybridMultilevel"/>
    <w:tmpl w:val="67B2A482"/>
    <w:lvl w:ilvl="0" w:tplc="994A1B60">
      <w:start w:val="1"/>
      <w:numFmt w:val="bullet"/>
      <w:lvlText w:val="•"/>
      <w:lvlJc w:val="left"/>
      <w:pPr>
        <w:tabs>
          <w:tab w:val="num" w:pos="720"/>
        </w:tabs>
        <w:ind w:left="720" w:hanging="360"/>
      </w:pPr>
      <w:rPr>
        <w:rFonts w:ascii="Arial" w:hAnsi="Arial" w:hint="default"/>
      </w:rPr>
    </w:lvl>
    <w:lvl w:ilvl="1" w:tplc="88967600" w:tentative="1">
      <w:start w:val="1"/>
      <w:numFmt w:val="bullet"/>
      <w:lvlText w:val="•"/>
      <w:lvlJc w:val="left"/>
      <w:pPr>
        <w:tabs>
          <w:tab w:val="num" w:pos="1440"/>
        </w:tabs>
        <w:ind w:left="1440" w:hanging="360"/>
      </w:pPr>
      <w:rPr>
        <w:rFonts w:ascii="Arial" w:hAnsi="Arial" w:hint="default"/>
      </w:rPr>
    </w:lvl>
    <w:lvl w:ilvl="2" w:tplc="7A4C16F8" w:tentative="1">
      <w:start w:val="1"/>
      <w:numFmt w:val="bullet"/>
      <w:lvlText w:val="•"/>
      <w:lvlJc w:val="left"/>
      <w:pPr>
        <w:tabs>
          <w:tab w:val="num" w:pos="2160"/>
        </w:tabs>
        <w:ind w:left="2160" w:hanging="360"/>
      </w:pPr>
      <w:rPr>
        <w:rFonts w:ascii="Arial" w:hAnsi="Arial" w:hint="default"/>
      </w:rPr>
    </w:lvl>
    <w:lvl w:ilvl="3" w:tplc="99421E2C" w:tentative="1">
      <w:start w:val="1"/>
      <w:numFmt w:val="bullet"/>
      <w:lvlText w:val="•"/>
      <w:lvlJc w:val="left"/>
      <w:pPr>
        <w:tabs>
          <w:tab w:val="num" w:pos="2880"/>
        </w:tabs>
        <w:ind w:left="2880" w:hanging="360"/>
      </w:pPr>
      <w:rPr>
        <w:rFonts w:ascii="Arial" w:hAnsi="Arial" w:hint="default"/>
      </w:rPr>
    </w:lvl>
    <w:lvl w:ilvl="4" w:tplc="C4824C20" w:tentative="1">
      <w:start w:val="1"/>
      <w:numFmt w:val="bullet"/>
      <w:lvlText w:val="•"/>
      <w:lvlJc w:val="left"/>
      <w:pPr>
        <w:tabs>
          <w:tab w:val="num" w:pos="3600"/>
        </w:tabs>
        <w:ind w:left="3600" w:hanging="360"/>
      </w:pPr>
      <w:rPr>
        <w:rFonts w:ascii="Arial" w:hAnsi="Arial" w:hint="default"/>
      </w:rPr>
    </w:lvl>
    <w:lvl w:ilvl="5" w:tplc="CE4CD91A" w:tentative="1">
      <w:start w:val="1"/>
      <w:numFmt w:val="bullet"/>
      <w:lvlText w:val="•"/>
      <w:lvlJc w:val="left"/>
      <w:pPr>
        <w:tabs>
          <w:tab w:val="num" w:pos="4320"/>
        </w:tabs>
        <w:ind w:left="4320" w:hanging="360"/>
      </w:pPr>
      <w:rPr>
        <w:rFonts w:ascii="Arial" w:hAnsi="Arial" w:hint="default"/>
      </w:rPr>
    </w:lvl>
    <w:lvl w:ilvl="6" w:tplc="32124944" w:tentative="1">
      <w:start w:val="1"/>
      <w:numFmt w:val="bullet"/>
      <w:lvlText w:val="•"/>
      <w:lvlJc w:val="left"/>
      <w:pPr>
        <w:tabs>
          <w:tab w:val="num" w:pos="5040"/>
        </w:tabs>
        <w:ind w:left="5040" w:hanging="360"/>
      </w:pPr>
      <w:rPr>
        <w:rFonts w:ascii="Arial" w:hAnsi="Arial" w:hint="default"/>
      </w:rPr>
    </w:lvl>
    <w:lvl w:ilvl="7" w:tplc="059A5E0A" w:tentative="1">
      <w:start w:val="1"/>
      <w:numFmt w:val="bullet"/>
      <w:lvlText w:val="•"/>
      <w:lvlJc w:val="left"/>
      <w:pPr>
        <w:tabs>
          <w:tab w:val="num" w:pos="5760"/>
        </w:tabs>
        <w:ind w:left="5760" w:hanging="360"/>
      </w:pPr>
      <w:rPr>
        <w:rFonts w:ascii="Arial" w:hAnsi="Arial" w:hint="default"/>
      </w:rPr>
    </w:lvl>
    <w:lvl w:ilvl="8" w:tplc="01A8C7C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31E23FA"/>
    <w:multiLevelType w:val="hybridMultilevel"/>
    <w:tmpl w:val="E56AADA0"/>
    <w:lvl w:ilvl="0" w:tplc="48C06FF4">
      <w:start w:val="1"/>
      <w:numFmt w:val="bullet"/>
      <w:lvlText w:val=""/>
      <w:lvlJc w:val="left"/>
      <w:pPr>
        <w:ind w:left="1440" w:hanging="360"/>
      </w:pPr>
      <w:rPr>
        <w:rFonts w:ascii="Symbol" w:hAnsi="Symbol"/>
      </w:rPr>
    </w:lvl>
    <w:lvl w:ilvl="1" w:tplc="8000DDC4">
      <w:start w:val="1"/>
      <w:numFmt w:val="bullet"/>
      <w:lvlText w:val=""/>
      <w:lvlJc w:val="left"/>
      <w:pPr>
        <w:ind w:left="1440" w:hanging="360"/>
      </w:pPr>
      <w:rPr>
        <w:rFonts w:ascii="Symbol" w:hAnsi="Symbol"/>
      </w:rPr>
    </w:lvl>
    <w:lvl w:ilvl="2" w:tplc="4B1280D8">
      <w:start w:val="1"/>
      <w:numFmt w:val="bullet"/>
      <w:lvlText w:val=""/>
      <w:lvlJc w:val="left"/>
      <w:pPr>
        <w:ind w:left="1440" w:hanging="360"/>
      </w:pPr>
      <w:rPr>
        <w:rFonts w:ascii="Symbol" w:hAnsi="Symbol"/>
      </w:rPr>
    </w:lvl>
    <w:lvl w:ilvl="3" w:tplc="78446E78">
      <w:start w:val="1"/>
      <w:numFmt w:val="bullet"/>
      <w:lvlText w:val=""/>
      <w:lvlJc w:val="left"/>
      <w:pPr>
        <w:ind w:left="1440" w:hanging="360"/>
      </w:pPr>
      <w:rPr>
        <w:rFonts w:ascii="Symbol" w:hAnsi="Symbol"/>
      </w:rPr>
    </w:lvl>
    <w:lvl w:ilvl="4" w:tplc="650AA68A">
      <w:start w:val="1"/>
      <w:numFmt w:val="bullet"/>
      <w:lvlText w:val=""/>
      <w:lvlJc w:val="left"/>
      <w:pPr>
        <w:ind w:left="1440" w:hanging="360"/>
      </w:pPr>
      <w:rPr>
        <w:rFonts w:ascii="Symbol" w:hAnsi="Symbol"/>
      </w:rPr>
    </w:lvl>
    <w:lvl w:ilvl="5" w:tplc="A82AC35E">
      <w:start w:val="1"/>
      <w:numFmt w:val="bullet"/>
      <w:lvlText w:val=""/>
      <w:lvlJc w:val="left"/>
      <w:pPr>
        <w:ind w:left="1440" w:hanging="360"/>
      </w:pPr>
      <w:rPr>
        <w:rFonts w:ascii="Symbol" w:hAnsi="Symbol"/>
      </w:rPr>
    </w:lvl>
    <w:lvl w:ilvl="6" w:tplc="728A9FDA">
      <w:start w:val="1"/>
      <w:numFmt w:val="bullet"/>
      <w:lvlText w:val=""/>
      <w:lvlJc w:val="left"/>
      <w:pPr>
        <w:ind w:left="1440" w:hanging="360"/>
      </w:pPr>
      <w:rPr>
        <w:rFonts w:ascii="Symbol" w:hAnsi="Symbol"/>
      </w:rPr>
    </w:lvl>
    <w:lvl w:ilvl="7" w:tplc="F2F2F380">
      <w:start w:val="1"/>
      <w:numFmt w:val="bullet"/>
      <w:lvlText w:val=""/>
      <w:lvlJc w:val="left"/>
      <w:pPr>
        <w:ind w:left="1440" w:hanging="360"/>
      </w:pPr>
      <w:rPr>
        <w:rFonts w:ascii="Symbol" w:hAnsi="Symbol"/>
      </w:rPr>
    </w:lvl>
    <w:lvl w:ilvl="8" w:tplc="3E8617FA">
      <w:start w:val="1"/>
      <w:numFmt w:val="bullet"/>
      <w:lvlText w:val=""/>
      <w:lvlJc w:val="left"/>
      <w:pPr>
        <w:ind w:left="1440" w:hanging="360"/>
      </w:pPr>
      <w:rPr>
        <w:rFonts w:ascii="Symbol" w:hAnsi="Symbol"/>
      </w:rPr>
    </w:lvl>
  </w:abstractNum>
  <w:abstractNum w:abstractNumId="39" w15:restartNumberingAfterBreak="0">
    <w:nsid w:val="43F55C3A"/>
    <w:multiLevelType w:val="hybridMultilevel"/>
    <w:tmpl w:val="8A00B8BC"/>
    <w:lvl w:ilvl="0" w:tplc="48928120">
      <w:start w:val="1"/>
      <w:numFmt w:val="bullet"/>
      <w:lvlText w:val=""/>
      <w:lvlJc w:val="left"/>
      <w:pPr>
        <w:ind w:left="1800" w:hanging="360"/>
      </w:pPr>
      <w:rPr>
        <w:rFonts w:ascii="Symbol" w:hAnsi="Symbol"/>
      </w:rPr>
    </w:lvl>
    <w:lvl w:ilvl="1" w:tplc="8992454C">
      <w:start w:val="1"/>
      <w:numFmt w:val="bullet"/>
      <w:lvlText w:val=""/>
      <w:lvlJc w:val="left"/>
      <w:pPr>
        <w:ind w:left="1800" w:hanging="360"/>
      </w:pPr>
      <w:rPr>
        <w:rFonts w:ascii="Symbol" w:hAnsi="Symbol"/>
      </w:rPr>
    </w:lvl>
    <w:lvl w:ilvl="2" w:tplc="2788CFFC">
      <w:start w:val="1"/>
      <w:numFmt w:val="bullet"/>
      <w:lvlText w:val=""/>
      <w:lvlJc w:val="left"/>
      <w:pPr>
        <w:ind w:left="1800" w:hanging="360"/>
      </w:pPr>
      <w:rPr>
        <w:rFonts w:ascii="Symbol" w:hAnsi="Symbol"/>
      </w:rPr>
    </w:lvl>
    <w:lvl w:ilvl="3" w:tplc="86001E7A">
      <w:start w:val="1"/>
      <w:numFmt w:val="bullet"/>
      <w:lvlText w:val=""/>
      <w:lvlJc w:val="left"/>
      <w:pPr>
        <w:ind w:left="1800" w:hanging="360"/>
      </w:pPr>
      <w:rPr>
        <w:rFonts w:ascii="Symbol" w:hAnsi="Symbol"/>
      </w:rPr>
    </w:lvl>
    <w:lvl w:ilvl="4" w:tplc="7502453E">
      <w:start w:val="1"/>
      <w:numFmt w:val="bullet"/>
      <w:lvlText w:val=""/>
      <w:lvlJc w:val="left"/>
      <w:pPr>
        <w:ind w:left="1800" w:hanging="360"/>
      </w:pPr>
      <w:rPr>
        <w:rFonts w:ascii="Symbol" w:hAnsi="Symbol"/>
      </w:rPr>
    </w:lvl>
    <w:lvl w:ilvl="5" w:tplc="C97C4AB2">
      <w:start w:val="1"/>
      <w:numFmt w:val="bullet"/>
      <w:lvlText w:val=""/>
      <w:lvlJc w:val="left"/>
      <w:pPr>
        <w:ind w:left="1800" w:hanging="360"/>
      </w:pPr>
      <w:rPr>
        <w:rFonts w:ascii="Symbol" w:hAnsi="Symbol"/>
      </w:rPr>
    </w:lvl>
    <w:lvl w:ilvl="6" w:tplc="F3E8A82A">
      <w:start w:val="1"/>
      <w:numFmt w:val="bullet"/>
      <w:lvlText w:val=""/>
      <w:lvlJc w:val="left"/>
      <w:pPr>
        <w:ind w:left="1800" w:hanging="360"/>
      </w:pPr>
      <w:rPr>
        <w:rFonts w:ascii="Symbol" w:hAnsi="Symbol"/>
      </w:rPr>
    </w:lvl>
    <w:lvl w:ilvl="7" w:tplc="D79ABDEE">
      <w:start w:val="1"/>
      <w:numFmt w:val="bullet"/>
      <w:lvlText w:val=""/>
      <w:lvlJc w:val="left"/>
      <w:pPr>
        <w:ind w:left="1800" w:hanging="360"/>
      </w:pPr>
      <w:rPr>
        <w:rFonts w:ascii="Symbol" w:hAnsi="Symbol"/>
      </w:rPr>
    </w:lvl>
    <w:lvl w:ilvl="8" w:tplc="C4A6AB1A">
      <w:start w:val="1"/>
      <w:numFmt w:val="bullet"/>
      <w:lvlText w:val=""/>
      <w:lvlJc w:val="left"/>
      <w:pPr>
        <w:ind w:left="1800" w:hanging="360"/>
      </w:pPr>
      <w:rPr>
        <w:rFonts w:ascii="Symbol" w:hAnsi="Symbol"/>
      </w:rPr>
    </w:lvl>
  </w:abstractNum>
  <w:abstractNum w:abstractNumId="40" w15:restartNumberingAfterBreak="0">
    <w:nsid w:val="44EB40FA"/>
    <w:multiLevelType w:val="multilevel"/>
    <w:tmpl w:val="06C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EE792C"/>
    <w:multiLevelType w:val="hybridMultilevel"/>
    <w:tmpl w:val="9AB47BD2"/>
    <w:lvl w:ilvl="0" w:tplc="98B4A672">
      <w:start w:val="1"/>
      <w:numFmt w:val="bullet"/>
      <w:lvlText w:val=""/>
      <w:lvlJc w:val="left"/>
      <w:pPr>
        <w:ind w:left="1440" w:hanging="360"/>
      </w:pPr>
      <w:rPr>
        <w:rFonts w:ascii="Symbol" w:hAnsi="Symbol"/>
      </w:rPr>
    </w:lvl>
    <w:lvl w:ilvl="1" w:tplc="11983154">
      <w:start w:val="1"/>
      <w:numFmt w:val="bullet"/>
      <w:lvlText w:val=""/>
      <w:lvlJc w:val="left"/>
      <w:pPr>
        <w:ind w:left="1440" w:hanging="360"/>
      </w:pPr>
      <w:rPr>
        <w:rFonts w:ascii="Symbol" w:hAnsi="Symbol"/>
      </w:rPr>
    </w:lvl>
    <w:lvl w:ilvl="2" w:tplc="D59E94B0">
      <w:start w:val="1"/>
      <w:numFmt w:val="bullet"/>
      <w:lvlText w:val=""/>
      <w:lvlJc w:val="left"/>
      <w:pPr>
        <w:ind w:left="1440" w:hanging="360"/>
      </w:pPr>
      <w:rPr>
        <w:rFonts w:ascii="Symbol" w:hAnsi="Symbol"/>
      </w:rPr>
    </w:lvl>
    <w:lvl w:ilvl="3" w:tplc="96A26522">
      <w:start w:val="1"/>
      <w:numFmt w:val="bullet"/>
      <w:lvlText w:val=""/>
      <w:lvlJc w:val="left"/>
      <w:pPr>
        <w:ind w:left="1440" w:hanging="360"/>
      </w:pPr>
      <w:rPr>
        <w:rFonts w:ascii="Symbol" w:hAnsi="Symbol"/>
      </w:rPr>
    </w:lvl>
    <w:lvl w:ilvl="4" w:tplc="31ACE4E0">
      <w:start w:val="1"/>
      <w:numFmt w:val="bullet"/>
      <w:lvlText w:val=""/>
      <w:lvlJc w:val="left"/>
      <w:pPr>
        <w:ind w:left="1440" w:hanging="360"/>
      </w:pPr>
      <w:rPr>
        <w:rFonts w:ascii="Symbol" w:hAnsi="Symbol"/>
      </w:rPr>
    </w:lvl>
    <w:lvl w:ilvl="5" w:tplc="FF48F6F2">
      <w:start w:val="1"/>
      <w:numFmt w:val="bullet"/>
      <w:lvlText w:val=""/>
      <w:lvlJc w:val="left"/>
      <w:pPr>
        <w:ind w:left="1440" w:hanging="360"/>
      </w:pPr>
      <w:rPr>
        <w:rFonts w:ascii="Symbol" w:hAnsi="Symbol"/>
      </w:rPr>
    </w:lvl>
    <w:lvl w:ilvl="6" w:tplc="6908C6B4">
      <w:start w:val="1"/>
      <w:numFmt w:val="bullet"/>
      <w:lvlText w:val=""/>
      <w:lvlJc w:val="left"/>
      <w:pPr>
        <w:ind w:left="1440" w:hanging="360"/>
      </w:pPr>
      <w:rPr>
        <w:rFonts w:ascii="Symbol" w:hAnsi="Symbol"/>
      </w:rPr>
    </w:lvl>
    <w:lvl w:ilvl="7" w:tplc="76AE8BB0">
      <w:start w:val="1"/>
      <w:numFmt w:val="bullet"/>
      <w:lvlText w:val=""/>
      <w:lvlJc w:val="left"/>
      <w:pPr>
        <w:ind w:left="1440" w:hanging="360"/>
      </w:pPr>
      <w:rPr>
        <w:rFonts w:ascii="Symbol" w:hAnsi="Symbol"/>
      </w:rPr>
    </w:lvl>
    <w:lvl w:ilvl="8" w:tplc="7642385E">
      <w:start w:val="1"/>
      <w:numFmt w:val="bullet"/>
      <w:lvlText w:val=""/>
      <w:lvlJc w:val="left"/>
      <w:pPr>
        <w:ind w:left="1440" w:hanging="360"/>
      </w:pPr>
      <w:rPr>
        <w:rFonts w:ascii="Symbol" w:hAnsi="Symbol"/>
      </w:rPr>
    </w:lvl>
  </w:abstractNum>
  <w:abstractNum w:abstractNumId="42" w15:restartNumberingAfterBreak="0">
    <w:nsid w:val="49772E60"/>
    <w:multiLevelType w:val="multilevel"/>
    <w:tmpl w:val="8E1C5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EC77AE"/>
    <w:multiLevelType w:val="hybridMultilevel"/>
    <w:tmpl w:val="214A7B8A"/>
    <w:lvl w:ilvl="0" w:tplc="D76007BA">
      <w:start w:val="1"/>
      <w:numFmt w:val="bullet"/>
      <w:lvlText w:val="•"/>
      <w:lvlJc w:val="left"/>
      <w:pPr>
        <w:tabs>
          <w:tab w:val="num" w:pos="720"/>
        </w:tabs>
        <w:ind w:left="720" w:hanging="360"/>
      </w:pPr>
      <w:rPr>
        <w:rFonts w:ascii="Arial" w:hAnsi="Arial" w:hint="default"/>
      </w:rPr>
    </w:lvl>
    <w:lvl w:ilvl="1" w:tplc="B1C0AD46" w:tentative="1">
      <w:start w:val="1"/>
      <w:numFmt w:val="bullet"/>
      <w:lvlText w:val="•"/>
      <w:lvlJc w:val="left"/>
      <w:pPr>
        <w:tabs>
          <w:tab w:val="num" w:pos="1440"/>
        </w:tabs>
        <w:ind w:left="1440" w:hanging="360"/>
      </w:pPr>
      <w:rPr>
        <w:rFonts w:ascii="Arial" w:hAnsi="Arial" w:hint="default"/>
      </w:rPr>
    </w:lvl>
    <w:lvl w:ilvl="2" w:tplc="0596C090" w:tentative="1">
      <w:start w:val="1"/>
      <w:numFmt w:val="bullet"/>
      <w:lvlText w:val="•"/>
      <w:lvlJc w:val="left"/>
      <w:pPr>
        <w:tabs>
          <w:tab w:val="num" w:pos="2160"/>
        </w:tabs>
        <w:ind w:left="2160" w:hanging="360"/>
      </w:pPr>
      <w:rPr>
        <w:rFonts w:ascii="Arial" w:hAnsi="Arial" w:hint="default"/>
      </w:rPr>
    </w:lvl>
    <w:lvl w:ilvl="3" w:tplc="CF5ED892" w:tentative="1">
      <w:start w:val="1"/>
      <w:numFmt w:val="bullet"/>
      <w:lvlText w:val="•"/>
      <w:lvlJc w:val="left"/>
      <w:pPr>
        <w:tabs>
          <w:tab w:val="num" w:pos="2880"/>
        </w:tabs>
        <w:ind w:left="2880" w:hanging="360"/>
      </w:pPr>
      <w:rPr>
        <w:rFonts w:ascii="Arial" w:hAnsi="Arial" w:hint="default"/>
      </w:rPr>
    </w:lvl>
    <w:lvl w:ilvl="4" w:tplc="19E6D0FE" w:tentative="1">
      <w:start w:val="1"/>
      <w:numFmt w:val="bullet"/>
      <w:lvlText w:val="•"/>
      <w:lvlJc w:val="left"/>
      <w:pPr>
        <w:tabs>
          <w:tab w:val="num" w:pos="3600"/>
        </w:tabs>
        <w:ind w:left="3600" w:hanging="360"/>
      </w:pPr>
      <w:rPr>
        <w:rFonts w:ascii="Arial" w:hAnsi="Arial" w:hint="default"/>
      </w:rPr>
    </w:lvl>
    <w:lvl w:ilvl="5" w:tplc="4A749144" w:tentative="1">
      <w:start w:val="1"/>
      <w:numFmt w:val="bullet"/>
      <w:lvlText w:val="•"/>
      <w:lvlJc w:val="left"/>
      <w:pPr>
        <w:tabs>
          <w:tab w:val="num" w:pos="4320"/>
        </w:tabs>
        <w:ind w:left="4320" w:hanging="360"/>
      </w:pPr>
      <w:rPr>
        <w:rFonts w:ascii="Arial" w:hAnsi="Arial" w:hint="default"/>
      </w:rPr>
    </w:lvl>
    <w:lvl w:ilvl="6" w:tplc="7DC8E236" w:tentative="1">
      <w:start w:val="1"/>
      <w:numFmt w:val="bullet"/>
      <w:lvlText w:val="•"/>
      <w:lvlJc w:val="left"/>
      <w:pPr>
        <w:tabs>
          <w:tab w:val="num" w:pos="5040"/>
        </w:tabs>
        <w:ind w:left="5040" w:hanging="360"/>
      </w:pPr>
      <w:rPr>
        <w:rFonts w:ascii="Arial" w:hAnsi="Arial" w:hint="default"/>
      </w:rPr>
    </w:lvl>
    <w:lvl w:ilvl="7" w:tplc="E918BE02" w:tentative="1">
      <w:start w:val="1"/>
      <w:numFmt w:val="bullet"/>
      <w:lvlText w:val="•"/>
      <w:lvlJc w:val="left"/>
      <w:pPr>
        <w:tabs>
          <w:tab w:val="num" w:pos="5760"/>
        </w:tabs>
        <w:ind w:left="5760" w:hanging="360"/>
      </w:pPr>
      <w:rPr>
        <w:rFonts w:ascii="Arial" w:hAnsi="Arial" w:hint="default"/>
      </w:rPr>
    </w:lvl>
    <w:lvl w:ilvl="8" w:tplc="DC38E16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0EB1C52"/>
    <w:multiLevelType w:val="multilevel"/>
    <w:tmpl w:val="3994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665F16"/>
    <w:multiLevelType w:val="hybridMultilevel"/>
    <w:tmpl w:val="146E346C"/>
    <w:lvl w:ilvl="0" w:tplc="98EE72E8">
      <w:start w:val="1"/>
      <w:numFmt w:val="bullet"/>
      <w:lvlText w:val=""/>
      <w:lvlJc w:val="left"/>
      <w:pPr>
        <w:ind w:left="1220" w:hanging="360"/>
      </w:pPr>
      <w:rPr>
        <w:rFonts w:ascii="Symbol" w:hAnsi="Symbol"/>
      </w:rPr>
    </w:lvl>
    <w:lvl w:ilvl="1" w:tplc="B2423366">
      <w:start w:val="1"/>
      <w:numFmt w:val="bullet"/>
      <w:lvlText w:val=""/>
      <w:lvlJc w:val="left"/>
      <w:pPr>
        <w:ind w:left="1220" w:hanging="360"/>
      </w:pPr>
      <w:rPr>
        <w:rFonts w:ascii="Symbol" w:hAnsi="Symbol"/>
      </w:rPr>
    </w:lvl>
    <w:lvl w:ilvl="2" w:tplc="53D0CE5E">
      <w:start w:val="1"/>
      <w:numFmt w:val="bullet"/>
      <w:lvlText w:val=""/>
      <w:lvlJc w:val="left"/>
      <w:pPr>
        <w:ind w:left="1220" w:hanging="360"/>
      </w:pPr>
      <w:rPr>
        <w:rFonts w:ascii="Symbol" w:hAnsi="Symbol"/>
      </w:rPr>
    </w:lvl>
    <w:lvl w:ilvl="3" w:tplc="70FCF73C">
      <w:start w:val="1"/>
      <w:numFmt w:val="bullet"/>
      <w:lvlText w:val=""/>
      <w:lvlJc w:val="left"/>
      <w:pPr>
        <w:ind w:left="1220" w:hanging="360"/>
      </w:pPr>
      <w:rPr>
        <w:rFonts w:ascii="Symbol" w:hAnsi="Symbol"/>
      </w:rPr>
    </w:lvl>
    <w:lvl w:ilvl="4" w:tplc="5B32EEC4">
      <w:start w:val="1"/>
      <w:numFmt w:val="bullet"/>
      <w:lvlText w:val=""/>
      <w:lvlJc w:val="left"/>
      <w:pPr>
        <w:ind w:left="1220" w:hanging="360"/>
      </w:pPr>
      <w:rPr>
        <w:rFonts w:ascii="Symbol" w:hAnsi="Symbol"/>
      </w:rPr>
    </w:lvl>
    <w:lvl w:ilvl="5" w:tplc="927C3382">
      <w:start w:val="1"/>
      <w:numFmt w:val="bullet"/>
      <w:lvlText w:val=""/>
      <w:lvlJc w:val="left"/>
      <w:pPr>
        <w:ind w:left="1220" w:hanging="360"/>
      </w:pPr>
      <w:rPr>
        <w:rFonts w:ascii="Symbol" w:hAnsi="Symbol"/>
      </w:rPr>
    </w:lvl>
    <w:lvl w:ilvl="6" w:tplc="491C4690">
      <w:start w:val="1"/>
      <w:numFmt w:val="bullet"/>
      <w:lvlText w:val=""/>
      <w:lvlJc w:val="left"/>
      <w:pPr>
        <w:ind w:left="1220" w:hanging="360"/>
      </w:pPr>
      <w:rPr>
        <w:rFonts w:ascii="Symbol" w:hAnsi="Symbol"/>
      </w:rPr>
    </w:lvl>
    <w:lvl w:ilvl="7" w:tplc="4EC2E832">
      <w:start w:val="1"/>
      <w:numFmt w:val="bullet"/>
      <w:lvlText w:val=""/>
      <w:lvlJc w:val="left"/>
      <w:pPr>
        <w:ind w:left="1220" w:hanging="360"/>
      </w:pPr>
      <w:rPr>
        <w:rFonts w:ascii="Symbol" w:hAnsi="Symbol"/>
      </w:rPr>
    </w:lvl>
    <w:lvl w:ilvl="8" w:tplc="6E32F6AC">
      <w:start w:val="1"/>
      <w:numFmt w:val="bullet"/>
      <w:lvlText w:val=""/>
      <w:lvlJc w:val="left"/>
      <w:pPr>
        <w:ind w:left="1220" w:hanging="360"/>
      </w:pPr>
      <w:rPr>
        <w:rFonts w:ascii="Symbol" w:hAnsi="Symbol"/>
      </w:rPr>
    </w:lvl>
  </w:abstractNum>
  <w:abstractNum w:abstractNumId="46" w15:restartNumberingAfterBreak="0">
    <w:nsid w:val="59C75E74"/>
    <w:multiLevelType w:val="hybridMultilevel"/>
    <w:tmpl w:val="24820E72"/>
    <w:lvl w:ilvl="0" w:tplc="C054F7C0">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C40449C"/>
    <w:multiLevelType w:val="hybridMultilevel"/>
    <w:tmpl w:val="999A32EE"/>
    <w:lvl w:ilvl="0" w:tplc="641039C6">
      <w:start w:val="1"/>
      <w:numFmt w:val="bullet"/>
      <w:lvlText w:val="•"/>
      <w:lvlJc w:val="left"/>
      <w:pPr>
        <w:tabs>
          <w:tab w:val="num" w:pos="720"/>
        </w:tabs>
        <w:ind w:left="720" w:hanging="360"/>
      </w:pPr>
      <w:rPr>
        <w:rFonts w:ascii="Arial" w:hAnsi="Arial" w:hint="default"/>
      </w:rPr>
    </w:lvl>
    <w:lvl w:ilvl="1" w:tplc="B978D25A" w:tentative="1">
      <w:start w:val="1"/>
      <w:numFmt w:val="bullet"/>
      <w:lvlText w:val="•"/>
      <w:lvlJc w:val="left"/>
      <w:pPr>
        <w:tabs>
          <w:tab w:val="num" w:pos="1440"/>
        </w:tabs>
        <w:ind w:left="1440" w:hanging="360"/>
      </w:pPr>
      <w:rPr>
        <w:rFonts w:ascii="Arial" w:hAnsi="Arial" w:hint="default"/>
      </w:rPr>
    </w:lvl>
    <w:lvl w:ilvl="2" w:tplc="5CF82144" w:tentative="1">
      <w:start w:val="1"/>
      <w:numFmt w:val="bullet"/>
      <w:lvlText w:val="•"/>
      <w:lvlJc w:val="left"/>
      <w:pPr>
        <w:tabs>
          <w:tab w:val="num" w:pos="2160"/>
        </w:tabs>
        <w:ind w:left="2160" w:hanging="360"/>
      </w:pPr>
      <w:rPr>
        <w:rFonts w:ascii="Arial" w:hAnsi="Arial" w:hint="default"/>
      </w:rPr>
    </w:lvl>
    <w:lvl w:ilvl="3" w:tplc="9942E2A8" w:tentative="1">
      <w:start w:val="1"/>
      <w:numFmt w:val="bullet"/>
      <w:lvlText w:val="•"/>
      <w:lvlJc w:val="left"/>
      <w:pPr>
        <w:tabs>
          <w:tab w:val="num" w:pos="2880"/>
        </w:tabs>
        <w:ind w:left="2880" w:hanging="360"/>
      </w:pPr>
      <w:rPr>
        <w:rFonts w:ascii="Arial" w:hAnsi="Arial" w:hint="default"/>
      </w:rPr>
    </w:lvl>
    <w:lvl w:ilvl="4" w:tplc="C570F698" w:tentative="1">
      <w:start w:val="1"/>
      <w:numFmt w:val="bullet"/>
      <w:lvlText w:val="•"/>
      <w:lvlJc w:val="left"/>
      <w:pPr>
        <w:tabs>
          <w:tab w:val="num" w:pos="3600"/>
        </w:tabs>
        <w:ind w:left="3600" w:hanging="360"/>
      </w:pPr>
      <w:rPr>
        <w:rFonts w:ascii="Arial" w:hAnsi="Arial" w:hint="default"/>
      </w:rPr>
    </w:lvl>
    <w:lvl w:ilvl="5" w:tplc="DECA83E8" w:tentative="1">
      <w:start w:val="1"/>
      <w:numFmt w:val="bullet"/>
      <w:lvlText w:val="•"/>
      <w:lvlJc w:val="left"/>
      <w:pPr>
        <w:tabs>
          <w:tab w:val="num" w:pos="4320"/>
        </w:tabs>
        <w:ind w:left="4320" w:hanging="360"/>
      </w:pPr>
      <w:rPr>
        <w:rFonts w:ascii="Arial" w:hAnsi="Arial" w:hint="default"/>
      </w:rPr>
    </w:lvl>
    <w:lvl w:ilvl="6" w:tplc="DC30BA70" w:tentative="1">
      <w:start w:val="1"/>
      <w:numFmt w:val="bullet"/>
      <w:lvlText w:val="•"/>
      <w:lvlJc w:val="left"/>
      <w:pPr>
        <w:tabs>
          <w:tab w:val="num" w:pos="5040"/>
        </w:tabs>
        <w:ind w:left="5040" w:hanging="360"/>
      </w:pPr>
      <w:rPr>
        <w:rFonts w:ascii="Arial" w:hAnsi="Arial" w:hint="default"/>
      </w:rPr>
    </w:lvl>
    <w:lvl w:ilvl="7" w:tplc="D548DD04" w:tentative="1">
      <w:start w:val="1"/>
      <w:numFmt w:val="bullet"/>
      <w:lvlText w:val="•"/>
      <w:lvlJc w:val="left"/>
      <w:pPr>
        <w:tabs>
          <w:tab w:val="num" w:pos="5760"/>
        </w:tabs>
        <w:ind w:left="5760" w:hanging="360"/>
      </w:pPr>
      <w:rPr>
        <w:rFonts w:ascii="Arial" w:hAnsi="Arial" w:hint="default"/>
      </w:rPr>
    </w:lvl>
    <w:lvl w:ilvl="8" w:tplc="8DC4FD0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C777D5E"/>
    <w:multiLevelType w:val="hybridMultilevel"/>
    <w:tmpl w:val="A9C453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7C206F"/>
    <w:multiLevelType w:val="hybridMultilevel"/>
    <w:tmpl w:val="CED2E550"/>
    <w:lvl w:ilvl="0" w:tplc="CBC4B114">
      <w:start w:val="1"/>
      <w:numFmt w:val="decimal"/>
      <w:lvlText w:val="%1."/>
      <w:lvlJc w:val="left"/>
      <w:pPr>
        <w:ind w:left="1020" w:hanging="360"/>
      </w:pPr>
    </w:lvl>
    <w:lvl w:ilvl="1" w:tplc="C3BEE202">
      <w:start w:val="1"/>
      <w:numFmt w:val="decimal"/>
      <w:lvlText w:val="%2."/>
      <w:lvlJc w:val="left"/>
      <w:pPr>
        <w:ind w:left="1020" w:hanging="360"/>
      </w:pPr>
    </w:lvl>
    <w:lvl w:ilvl="2" w:tplc="FFF06610">
      <w:start w:val="1"/>
      <w:numFmt w:val="decimal"/>
      <w:lvlText w:val="%3."/>
      <w:lvlJc w:val="left"/>
      <w:pPr>
        <w:ind w:left="1020" w:hanging="360"/>
      </w:pPr>
    </w:lvl>
    <w:lvl w:ilvl="3" w:tplc="EE62D00C">
      <w:start w:val="1"/>
      <w:numFmt w:val="decimal"/>
      <w:lvlText w:val="%4."/>
      <w:lvlJc w:val="left"/>
      <w:pPr>
        <w:ind w:left="1020" w:hanging="360"/>
      </w:pPr>
    </w:lvl>
    <w:lvl w:ilvl="4" w:tplc="FBC2DEF0">
      <w:start w:val="1"/>
      <w:numFmt w:val="decimal"/>
      <w:lvlText w:val="%5."/>
      <w:lvlJc w:val="left"/>
      <w:pPr>
        <w:ind w:left="1020" w:hanging="360"/>
      </w:pPr>
    </w:lvl>
    <w:lvl w:ilvl="5" w:tplc="5F20B87C">
      <w:start w:val="1"/>
      <w:numFmt w:val="decimal"/>
      <w:lvlText w:val="%6."/>
      <w:lvlJc w:val="left"/>
      <w:pPr>
        <w:ind w:left="1020" w:hanging="360"/>
      </w:pPr>
    </w:lvl>
    <w:lvl w:ilvl="6" w:tplc="E5044688">
      <w:start w:val="1"/>
      <w:numFmt w:val="decimal"/>
      <w:lvlText w:val="%7."/>
      <w:lvlJc w:val="left"/>
      <w:pPr>
        <w:ind w:left="1020" w:hanging="360"/>
      </w:pPr>
    </w:lvl>
    <w:lvl w:ilvl="7" w:tplc="1C4E4140">
      <w:start w:val="1"/>
      <w:numFmt w:val="decimal"/>
      <w:lvlText w:val="%8."/>
      <w:lvlJc w:val="left"/>
      <w:pPr>
        <w:ind w:left="1020" w:hanging="360"/>
      </w:pPr>
    </w:lvl>
    <w:lvl w:ilvl="8" w:tplc="ABF8E696">
      <w:start w:val="1"/>
      <w:numFmt w:val="decimal"/>
      <w:lvlText w:val="%9."/>
      <w:lvlJc w:val="left"/>
      <w:pPr>
        <w:ind w:left="1020" w:hanging="360"/>
      </w:pPr>
    </w:lvl>
  </w:abstractNum>
  <w:abstractNum w:abstractNumId="50" w15:restartNumberingAfterBreak="0">
    <w:nsid w:val="5E802E9F"/>
    <w:multiLevelType w:val="hybridMultilevel"/>
    <w:tmpl w:val="66E4A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8D1C8D"/>
    <w:multiLevelType w:val="hybridMultilevel"/>
    <w:tmpl w:val="1520C7A8"/>
    <w:lvl w:ilvl="0" w:tplc="FA78893C">
      <w:start w:val="1"/>
      <w:numFmt w:val="decimal"/>
      <w:lvlText w:val="%1."/>
      <w:lvlJc w:val="left"/>
      <w:pPr>
        <w:ind w:left="1020" w:hanging="360"/>
      </w:pPr>
    </w:lvl>
    <w:lvl w:ilvl="1" w:tplc="2B6C240C">
      <w:start w:val="1"/>
      <w:numFmt w:val="decimal"/>
      <w:lvlText w:val="%2."/>
      <w:lvlJc w:val="left"/>
      <w:pPr>
        <w:ind w:left="1020" w:hanging="360"/>
      </w:pPr>
    </w:lvl>
    <w:lvl w:ilvl="2" w:tplc="3436452C">
      <w:start w:val="1"/>
      <w:numFmt w:val="decimal"/>
      <w:lvlText w:val="%3."/>
      <w:lvlJc w:val="left"/>
      <w:pPr>
        <w:ind w:left="1020" w:hanging="360"/>
      </w:pPr>
    </w:lvl>
    <w:lvl w:ilvl="3" w:tplc="1F264354">
      <w:start w:val="1"/>
      <w:numFmt w:val="decimal"/>
      <w:lvlText w:val="%4."/>
      <w:lvlJc w:val="left"/>
      <w:pPr>
        <w:ind w:left="1020" w:hanging="360"/>
      </w:pPr>
    </w:lvl>
    <w:lvl w:ilvl="4" w:tplc="68CCEDD0">
      <w:start w:val="1"/>
      <w:numFmt w:val="decimal"/>
      <w:lvlText w:val="%5."/>
      <w:lvlJc w:val="left"/>
      <w:pPr>
        <w:ind w:left="1020" w:hanging="360"/>
      </w:pPr>
    </w:lvl>
    <w:lvl w:ilvl="5" w:tplc="F300D3DA">
      <w:start w:val="1"/>
      <w:numFmt w:val="decimal"/>
      <w:lvlText w:val="%6."/>
      <w:lvlJc w:val="left"/>
      <w:pPr>
        <w:ind w:left="1020" w:hanging="360"/>
      </w:pPr>
    </w:lvl>
    <w:lvl w:ilvl="6" w:tplc="07522230">
      <w:start w:val="1"/>
      <w:numFmt w:val="decimal"/>
      <w:lvlText w:val="%7."/>
      <w:lvlJc w:val="left"/>
      <w:pPr>
        <w:ind w:left="1020" w:hanging="360"/>
      </w:pPr>
    </w:lvl>
    <w:lvl w:ilvl="7" w:tplc="F1EEF25E">
      <w:start w:val="1"/>
      <w:numFmt w:val="decimal"/>
      <w:lvlText w:val="%8."/>
      <w:lvlJc w:val="left"/>
      <w:pPr>
        <w:ind w:left="1020" w:hanging="360"/>
      </w:pPr>
    </w:lvl>
    <w:lvl w:ilvl="8" w:tplc="87962BE2">
      <w:start w:val="1"/>
      <w:numFmt w:val="decimal"/>
      <w:lvlText w:val="%9."/>
      <w:lvlJc w:val="left"/>
      <w:pPr>
        <w:ind w:left="1020" w:hanging="360"/>
      </w:pPr>
    </w:lvl>
  </w:abstractNum>
  <w:abstractNum w:abstractNumId="52"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762D90"/>
    <w:multiLevelType w:val="multilevel"/>
    <w:tmpl w:val="60E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E23487"/>
    <w:multiLevelType w:val="hybridMultilevel"/>
    <w:tmpl w:val="A1002B66"/>
    <w:lvl w:ilvl="0" w:tplc="5F2CA942">
      <w:start w:val="1"/>
      <w:numFmt w:val="bullet"/>
      <w:lvlText w:val=""/>
      <w:lvlJc w:val="left"/>
      <w:pPr>
        <w:ind w:left="720" w:hanging="360"/>
      </w:pPr>
      <w:rPr>
        <w:rFonts w:ascii="Symbol" w:hAnsi="Symbol"/>
      </w:rPr>
    </w:lvl>
    <w:lvl w:ilvl="1" w:tplc="C3D673D6">
      <w:start w:val="1"/>
      <w:numFmt w:val="bullet"/>
      <w:lvlText w:val=""/>
      <w:lvlJc w:val="left"/>
      <w:pPr>
        <w:ind w:left="720" w:hanging="360"/>
      </w:pPr>
      <w:rPr>
        <w:rFonts w:ascii="Symbol" w:hAnsi="Symbol"/>
      </w:rPr>
    </w:lvl>
    <w:lvl w:ilvl="2" w:tplc="58F41C28">
      <w:start w:val="1"/>
      <w:numFmt w:val="bullet"/>
      <w:lvlText w:val=""/>
      <w:lvlJc w:val="left"/>
      <w:pPr>
        <w:ind w:left="720" w:hanging="360"/>
      </w:pPr>
      <w:rPr>
        <w:rFonts w:ascii="Symbol" w:hAnsi="Symbol"/>
      </w:rPr>
    </w:lvl>
    <w:lvl w:ilvl="3" w:tplc="7180A21C">
      <w:start w:val="1"/>
      <w:numFmt w:val="bullet"/>
      <w:lvlText w:val=""/>
      <w:lvlJc w:val="left"/>
      <w:pPr>
        <w:ind w:left="720" w:hanging="360"/>
      </w:pPr>
      <w:rPr>
        <w:rFonts w:ascii="Symbol" w:hAnsi="Symbol"/>
      </w:rPr>
    </w:lvl>
    <w:lvl w:ilvl="4" w:tplc="A9A837EC">
      <w:start w:val="1"/>
      <w:numFmt w:val="bullet"/>
      <w:lvlText w:val=""/>
      <w:lvlJc w:val="left"/>
      <w:pPr>
        <w:ind w:left="720" w:hanging="360"/>
      </w:pPr>
      <w:rPr>
        <w:rFonts w:ascii="Symbol" w:hAnsi="Symbol"/>
      </w:rPr>
    </w:lvl>
    <w:lvl w:ilvl="5" w:tplc="DBB41DC0">
      <w:start w:val="1"/>
      <w:numFmt w:val="bullet"/>
      <w:lvlText w:val=""/>
      <w:lvlJc w:val="left"/>
      <w:pPr>
        <w:ind w:left="720" w:hanging="360"/>
      </w:pPr>
      <w:rPr>
        <w:rFonts w:ascii="Symbol" w:hAnsi="Symbol"/>
      </w:rPr>
    </w:lvl>
    <w:lvl w:ilvl="6" w:tplc="90848108">
      <w:start w:val="1"/>
      <w:numFmt w:val="bullet"/>
      <w:lvlText w:val=""/>
      <w:lvlJc w:val="left"/>
      <w:pPr>
        <w:ind w:left="720" w:hanging="360"/>
      </w:pPr>
      <w:rPr>
        <w:rFonts w:ascii="Symbol" w:hAnsi="Symbol"/>
      </w:rPr>
    </w:lvl>
    <w:lvl w:ilvl="7" w:tplc="96F23534">
      <w:start w:val="1"/>
      <w:numFmt w:val="bullet"/>
      <w:lvlText w:val=""/>
      <w:lvlJc w:val="left"/>
      <w:pPr>
        <w:ind w:left="720" w:hanging="360"/>
      </w:pPr>
      <w:rPr>
        <w:rFonts w:ascii="Symbol" w:hAnsi="Symbol"/>
      </w:rPr>
    </w:lvl>
    <w:lvl w:ilvl="8" w:tplc="9C1ED164">
      <w:start w:val="1"/>
      <w:numFmt w:val="bullet"/>
      <w:lvlText w:val=""/>
      <w:lvlJc w:val="left"/>
      <w:pPr>
        <w:ind w:left="720" w:hanging="360"/>
      </w:pPr>
      <w:rPr>
        <w:rFonts w:ascii="Symbol" w:hAnsi="Symbol"/>
      </w:rPr>
    </w:lvl>
  </w:abstractNum>
  <w:abstractNum w:abstractNumId="55" w15:restartNumberingAfterBreak="0">
    <w:nsid w:val="6FCF37D7"/>
    <w:multiLevelType w:val="hybridMultilevel"/>
    <w:tmpl w:val="C23C219A"/>
    <w:lvl w:ilvl="0" w:tplc="95F6A562">
      <w:start w:val="1"/>
      <w:numFmt w:val="bullet"/>
      <w:lvlText w:val=""/>
      <w:lvlJc w:val="left"/>
      <w:pPr>
        <w:ind w:left="1220" w:hanging="360"/>
      </w:pPr>
      <w:rPr>
        <w:rFonts w:ascii="Symbol" w:hAnsi="Symbol"/>
      </w:rPr>
    </w:lvl>
    <w:lvl w:ilvl="1" w:tplc="4D2854FA">
      <w:start w:val="1"/>
      <w:numFmt w:val="bullet"/>
      <w:lvlText w:val=""/>
      <w:lvlJc w:val="left"/>
      <w:pPr>
        <w:ind w:left="1220" w:hanging="360"/>
      </w:pPr>
      <w:rPr>
        <w:rFonts w:ascii="Symbol" w:hAnsi="Symbol"/>
      </w:rPr>
    </w:lvl>
    <w:lvl w:ilvl="2" w:tplc="659C698A">
      <w:start w:val="1"/>
      <w:numFmt w:val="bullet"/>
      <w:lvlText w:val=""/>
      <w:lvlJc w:val="left"/>
      <w:pPr>
        <w:ind w:left="1220" w:hanging="360"/>
      </w:pPr>
      <w:rPr>
        <w:rFonts w:ascii="Symbol" w:hAnsi="Symbol"/>
      </w:rPr>
    </w:lvl>
    <w:lvl w:ilvl="3" w:tplc="553EB058">
      <w:start w:val="1"/>
      <w:numFmt w:val="bullet"/>
      <w:lvlText w:val=""/>
      <w:lvlJc w:val="left"/>
      <w:pPr>
        <w:ind w:left="1220" w:hanging="360"/>
      </w:pPr>
      <w:rPr>
        <w:rFonts w:ascii="Symbol" w:hAnsi="Symbol"/>
      </w:rPr>
    </w:lvl>
    <w:lvl w:ilvl="4" w:tplc="D362EFAA">
      <w:start w:val="1"/>
      <w:numFmt w:val="bullet"/>
      <w:lvlText w:val=""/>
      <w:lvlJc w:val="left"/>
      <w:pPr>
        <w:ind w:left="1220" w:hanging="360"/>
      </w:pPr>
      <w:rPr>
        <w:rFonts w:ascii="Symbol" w:hAnsi="Symbol"/>
      </w:rPr>
    </w:lvl>
    <w:lvl w:ilvl="5" w:tplc="DCBE23EC">
      <w:start w:val="1"/>
      <w:numFmt w:val="bullet"/>
      <w:lvlText w:val=""/>
      <w:lvlJc w:val="left"/>
      <w:pPr>
        <w:ind w:left="1220" w:hanging="360"/>
      </w:pPr>
      <w:rPr>
        <w:rFonts w:ascii="Symbol" w:hAnsi="Symbol"/>
      </w:rPr>
    </w:lvl>
    <w:lvl w:ilvl="6" w:tplc="6E1A42C8">
      <w:start w:val="1"/>
      <w:numFmt w:val="bullet"/>
      <w:lvlText w:val=""/>
      <w:lvlJc w:val="left"/>
      <w:pPr>
        <w:ind w:left="1220" w:hanging="360"/>
      </w:pPr>
      <w:rPr>
        <w:rFonts w:ascii="Symbol" w:hAnsi="Symbol"/>
      </w:rPr>
    </w:lvl>
    <w:lvl w:ilvl="7" w:tplc="6AEA17E8">
      <w:start w:val="1"/>
      <w:numFmt w:val="bullet"/>
      <w:lvlText w:val=""/>
      <w:lvlJc w:val="left"/>
      <w:pPr>
        <w:ind w:left="1220" w:hanging="360"/>
      </w:pPr>
      <w:rPr>
        <w:rFonts w:ascii="Symbol" w:hAnsi="Symbol"/>
      </w:rPr>
    </w:lvl>
    <w:lvl w:ilvl="8" w:tplc="7126194E">
      <w:start w:val="1"/>
      <w:numFmt w:val="bullet"/>
      <w:lvlText w:val=""/>
      <w:lvlJc w:val="left"/>
      <w:pPr>
        <w:ind w:left="1220" w:hanging="360"/>
      </w:pPr>
      <w:rPr>
        <w:rFonts w:ascii="Symbol" w:hAnsi="Symbol"/>
      </w:rPr>
    </w:lvl>
  </w:abstractNum>
  <w:abstractNum w:abstractNumId="56" w15:restartNumberingAfterBreak="0">
    <w:nsid w:val="72B010CD"/>
    <w:multiLevelType w:val="hybridMultilevel"/>
    <w:tmpl w:val="55842F6A"/>
    <w:lvl w:ilvl="0" w:tplc="68CA6BAA">
      <w:start w:val="1"/>
      <w:numFmt w:val="bullet"/>
      <w:lvlText w:val=""/>
      <w:lvlJc w:val="left"/>
      <w:pPr>
        <w:ind w:left="765" w:hanging="360"/>
      </w:pPr>
      <w:rPr>
        <w:rFonts w:ascii="Symbol" w:hAnsi="Symbol" w:hint="default"/>
        <w:color w:val="0070C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738E5543"/>
    <w:multiLevelType w:val="hybridMultilevel"/>
    <w:tmpl w:val="BF940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B4F5379"/>
    <w:multiLevelType w:val="hybridMultilevel"/>
    <w:tmpl w:val="34088742"/>
    <w:lvl w:ilvl="0" w:tplc="807697AE">
      <w:start w:val="1"/>
      <w:numFmt w:val="bullet"/>
      <w:lvlText w:val=""/>
      <w:lvlJc w:val="left"/>
      <w:pPr>
        <w:ind w:left="1220" w:hanging="360"/>
      </w:pPr>
      <w:rPr>
        <w:rFonts w:ascii="Symbol" w:hAnsi="Symbol"/>
      </w:rPr>
    </w:lvl>
    <w:lvl w:ilvl="1" w:tplc="5E38F9F2">
      <w:start w:val="1"/>
      <w:numFmt w:val="bullet"/>
      <w:lvlText w:val=""/>
      <w:lvlJc w:val="left"/>
      <w:pPr>
        <w:ind w:left="1220" w:hanging="360"/>
      </w:pPr>
      <w:rPr>
        <w:rFonts w:ascii="Symbol" w:hAnsi="Symbol"/>
      </w:rPr>
    </w:lvl>
    <w:lvl w:ilvl="2" w:tplc="4E4C2AB2">
      <w:start w:val="1"/>
      <w:numFmt w:val="bullet"/>
      <w:lvlText w:val=""/>
      <w:lvlJc w:val="left"/>
      <w:pPr>
        <w:ind w:left="1220" w:hanging="360"/>
      </w:pPr>
      <w:rPr>
        <w:rFonts w:ascii="Symbol" w:hAnsi="Symbol"/>
      </w:rPr>
    </w:lvl>
    <w:lvl w:ilvl="3" w:tplc="61EE7B54">
      <w:start w:val="1"/>
      <w:numFmt w:val="bullet"/>
      <w:lvlText w:val=""/>
      <w:lvlJc w:val="left"/>
      <w:pPr>
        <w:ind w:left="1220" w:hanging="360"/>
      </w:pPr>
      <w:rPr>
        <w:rFonts w:ascii="Symbol" w:hAnsi="Symbol"/>
      </w:rPr>
    </w:lvl>
    <w:lvl w:ilvl="4" w:tplc="A6AA5DA6">
      <w:start w:val="1"/>
      <w:numFmt w:val="bullet"/>
      <w:lvlText w:val=""/>
      <w:lvlJc w:val="left"/>
      <w:pPr>
        <w:ind w:left="1220" w:hanging="360"/>
      </w:pPr>
      <w:rPr>
        <w:rFonts w:ascii="Symbol" w:hAnsi="Symbol"/>
      </w:rPr>
    </w:lvl>
    <w:lvl w:ilvl="5" w:tplc="20860ECA">
      <w:start w:val="1"/>
      <w:numFmt w:val="bullet"/>
      <w:lvlText w:val=""/>
      <w:lvlJc w:val="left"/>
      <w:pPr>
        <w:ind w:left="1220" w:hanging="360"/>
      </w:pPr>
      <w:rPr>
        <w:rFonts w:ascii="Symbol" w:hAnsi="Symbol"/>
      </w:rPr>
    </w:lvl>
    <w:lvl w:ilvl="6" w:tplc="DEB8CFD4">
      <w:start w:val="1"/>
      <w:numFmt w:val="bullet"/>
      <w:lvlText w:val=""/>
      <w:lvlJc w:val="left"/>
      <w:pPr>
        <w:ind w:left="1220" w:hanging="360"/>
      </w:pPr>
      <w:rPr>
        <w:rFonts w:ascii="Symbol" w:hAnsi="Symbol"/>
      </w:rPr>
    </w:lvl>
    <w:lvl w:ilvl="7" w:tplc="971CB13A">
      <w:start w:val="1"/>
      <w:numFmt w:val="bullet"/>
      <w:lvlText w:val=""/>
      <w:lvlJc w:val="left"/>
      <w:pPr>
        <w:ind w:left="1220" w:hanging="360"/>
      </w:pPr>
      <w:rPr>
        <w:rFonts w:ascii="Symbol" w:hAnsi="Symbol"/>
      </w:rPr>
    </w:lvl>
    <w:lvl w:ilvl="8" w:tplc="932A43DE">
      <w:start w:val="1"/>
      <w:numFmt w:val="bullet"/>
      <w:lvlText w:val=""/>
      <w:lvlJc w:val="left"/>
      <w:pPr>
        <w:ind w:left="1220" w:hanging="360"/>
      </w:pPr>
      <w:rPr>
        <w:rFonts w:ascii="Symbol" w:hAnsi="Symbol"/>
      </w:rPr>
    </w:lvl>
  </w:abstractNum>
  <w:abstractNum w:abstractNumId="59" w15:restartNumberingAfterBreak="0">
    <w:nsid w:val="7D1278B3"/>
    <w:multiLevelType w:val="hybridMultilevel"/>
    <w:tmpl w:val="5D805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9158021">
    <w:abstractNumId w:val="3"/>
  </w:num>
  <w:num w:numId="2" w16cid:durableId="747993307">
    <w:abstractNumId w:val="33"/>
  </w:num>
  <w:num w:numId="3" w16cid:durableId="57293210">
    <w:abstractNumId w:val="19"/>
  </w:num>
  <w:num w:numId="4" w16cid:durableId="190145067">
    <w:abstractNumId w:val="52"/>
  </w:num>
  <w:num w:numId="5" w16cid:durableId="1495996557">
    <w:abstractNumId w:val="2"/>
  </w:num>
  <w:num w:numId="6" w16cid:durableId="1195381823">
    <w:abstractNumId w:val="30"/>
  </w:num>
  <w:num w:numId="7" w16cid:durableId="1816995234">
    <w:abstractNumId w:val="31"/>
  </w:num>
  <w:num w:numId="8" w16cid:durableId="1456292736">
    <w:abstractNumId w:val="13"/>
  </w:num>
  <w:num w:numId="9" w16cid:durableId="352151252">
    <w:abstractNumId w:val="55"/>
  </w:num>
  <w:num w:numId="10" w16cid:durableId="254948887">
    <w:abstractNumId w:val="50"/>
  </w:num>
  <w:num w:numId="11" w16cid:durableId="1336569091">
    <w:abstractNumId w:val="43"/>
  </w:num>
  <w:num w:numId="12" w16cid:durableId="755786889">
    <w:abstractNumId w:val="37"/>
  </w:num>
  <w:num w:numId="13" w16cid:durableId="709838145">
    <w:abstractNumId w:val="28"/>
  </w:num>
  <w:num w:numId="14" w16cid:durableId="122313808">
    <w:abstractNumId w:val="20"/>
  </w:num>
  <w:num w:numId="15" w16cid:durableId="280691931">
    <w:abstractNumId w:val="47"/>
  </w:num>
  <w:num w:numId="16" w16cid:durableId="801847312">
    <w:abstractNumId w:val="12"/>
  </w:num>
  <w:num w:numId="17" w16cid:durableId="83383221">
    <w:abstractNumId w:val="24"/>
  </w:num>
  <w:num w:numId="18" w16cid:durableId="1093278556">
    <w:abstractNumId w:val="46"/>
  </w:num>
  <w:num w:numId="19" w16cid:durableId="1671326472">
    <w:abstractNumId w:val="14"/>
  </w:num>
  <w:num w:numId="20" w16cid:durableId="1648124551">
    <w:abstractNumId w:val="0"/>
  </w:num>
  <w:num w:numId="21" w16cid:durableId="872228387">
    <w:abstractNumId w:val="27"/>
  </w:num>
  <w:num w:numId="22" w16cid:durableId="89663177">
    <w:abstractNumId w:val="22"/>
  </w:num>
  <w:num w:numId="23" w16cid:durableId="430668312">
    <w:abstractNumId w:val="21"/>
  </w:num>
  <w:num w:numId="24" w16cid:durableId="1285887465">
    <w:abstractNumId w:val="39"/>
  </w:num>
  <w:num w:numId="25" w16cid:durableId="1183472586">
    <w:abstractNumId w:val="15"/>
  </w:num>
  <w:num w:numId="26" w16cid:durableId="389691307">
    <w:abstractNumId w:val="9"/>
  </w:num>
  <w:num w:numId="27" w16cid:durableId="2139102592">
    <w:abstractNumId w:val="1"/>
  </w:num>
  <w:num w:numId="28" w16cid:durableId="1543444959">
    <w:abstractNumId w:val="25"/>
  </w:num>
  <w:num w:numId="29" w16cid:durableId="990332105">
    <w:abstractNumId w:val="40"/>
  </w:num>
  <w:num w:numId="30" w16cid:durableId="159345761">
    <w:abstractNumId w:val="10"/>
  </w:num>
  <w:num w:numId="31" w16cid:durableId="1029601422">
    <w:abstractNumId w:val="26"/>
  </w:num>
  <w:num w:numId="32" w16cid:durableId="327756890">
    <w:abstractNumId w:val="42"/>
  </w:num>
  <w:num w:numId="33" w16cid:durableId="393771286">
    <w:abstractNumId w:val="16"/>
  </w:num>
  <w:num w:numId="34" w16cid:durableId="1589845465">
    <w:abstractNumId w:val="4"/>
  </w:num>
  <w:num w:numId="35" w16cid:durableId="1225943818">
    <w:abstractNumId w:val="23"/>
  </w:num>
  <w:num w:numId="36" w16cid:durableId="546263461">
    <w:abstractNumId w:val="59"/>
  </w:num>
  <w:num w:numId="37" w16cid:durableId="658191658">
    <w:abstractNumId w:val="48"/>
  </w:num>
  <w:num w:numId="38" w16cid:durableId="661082104">
    <w:abstractNumId w:val="7"/>
  </w:num>
  <w:num w:numId="39" w16cid:durableId="47851024">
    <w:abstractNumId w:val="58"/>
  </w:num>
  <w:num w:numId="40" w16cid:durableId="1615675845">
    <w:abstractNumId w:val="45"/>
  </w:num>
  <w:num w:numId="41" w16cid:durableId="1804031413">
    <w:abstractNumId w:val="23"/>
  </w:num>
  <w:num w:numId="42" w16cid:durableId="221795413">
    <w:abstractNumId w:val="6"/>
  </w:num>
  <w:num w:numId="43" w16cid:durableId="1920753368">
    <w:abstractNumId w:val="53"/>
  </w:num>
  <w:num w:numId="44" w16cid:durableId="1535851707">
    <w:abstractNumId w:val="29"/>
  </w:num>
  <w:num w:numId="45" w16cid:durableId="173691156">
    <w:abstractNumId w:val="44"/>
  </w:num>
  <w:num w:numId="46" w16cid:durableId="2051107841">
    <w:abstractNumId w:val="17"/>
  </w:num>
  <w:num w:numId="47" w16cid:durableId="1223297211">
    <w:abstractNumId w:val="11"/>
  </w:num>
  <w:num w:numId="48" w16cid:durableId="2017685340">
    <w:abstractNumId w:val="56"/>
  </w:num>
  <w:num w:numId="49" w16cid:durableId="2064517469">
    <w:abstractNumId w:val="36"/>
  </w:num>
  <w:num w:numId="50" w16cid:durableId="1387030641">
    <w:abstractNumId w:val="8"/>
  </w:num>
  <w:num w:numId="51" w16cid:durableId="21060693">
    <w:abstractNumId w:val="57"/>
  </w:num>
  <w:num w:numId="52" w16cid:durableId="1985811091">
    <w:abstractNumId w:val="51"/>
  </w:num>
  <w:num w:numId="53" w16cid:durableId="266079827">
    <w:abstractNumId w:val="5"/>
  </w:num>
  <w:num w:numId="54" w16cid:durableId="1266615745">
    <w:abstractNumId w:val="49"/>
  </w:num>
  <w:num w:numId="55" w16cid:durableId="512841073">
    <w:abstractNumId w:val="38"/>
  </w:num>
  <w:num w:numId="56" w16cid:durableId="1540243577">
    <w:abstractNumId w:val="5"/>
  </w:num>
  <w:num w:numId="57" w16cid:durableId="908811785">
    <w:abstractNumId w:val="54"/>
  </w:num>
  <w:num w:numId="58" w16cid:durableId="1703360506">
    <w:abstractNumId w:val="41"/>
  </w:num>
  <w:num w:numId="59" w16cid:durableId="376053452">
    <w:abstractNumId w:val="18"/>
  </w:num>
  <w:num w:numId="60" w16cid:durableId="302660661">
    <w:abstractNumId w:val="32"/>
  </w:num>
  <w:num w:numId="61" w16cid:durableId="1176652699">
    <w:abstractNumId w:val="5"/>
  </w:num>
  <w:num w:numId="62" w16cid:durableId="339280149">
    <w:abstractNumId w:val="34"/>
  </w:num>
  <w:num w:numId="63" w16cid:durableId="1702052509">
    <w:abstractNumId w:val="35"/>
  </w:num>
  <w:num w:numId="64" w16cid:durableId="1925802344">
    <w:abstractNumId w:val="5"/>
  </w:num>
  <w:num w:numId="65" w16cid:durableId="1991905706">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11"/>
    <w:rsid w:val="00000A78"/>
    <w:rsid w:val="00001E17"/>
    <w:rsid w:val="000034AD"/>
    <w:rsid w:val="0001060B"/>
    <w:rsid w:val="00010A72"/>
    <w:rsid w:val="00010DBA"/>
    <w:rsid w:val="00011BAD"/>
    <w:rsid w:val="000129A2"/>
    <w:rsid w:val="000135EF"/>
    <w:rsid w:val="00015165"/>
    <w:rsid w:val="0002069A"/>
    <w:rsid w:val="0002198F"/>
    <w:rsid w:val="00021C60"/>
    <w:rsid w:val="00022D17"/>
    <w:rsid w:val="000236EE"/>
    <w:rsid w:val="00023795"/>
    <w:rsid w:val="00023D8C"/>
    <w:rsid w:val="00024205"/>
    <w:rsid w:val="0002458C"/>
    <w:rsid w:val="0002544C"/>
    <w:rsid w:val="00025484"/>
    <w:rsid w:val="00025BD0"/>
    <w:rsid w:val="00026665"/>
    <w:rsid w:val="000270C4"/>
    <w:rsid w:val="00027951"/>
    <w:rsid w:val="00030456"/>
    <w:rsid w:val="000307D1"/>
    <w:rsid w:val="00031B30"/>
    <w:rsid w:val="00032852"/>
    <w:rsid w:val="00032AC5"/>
    <w:rsid w:val="00032C63"/>
    <w:rsid w:val="00032D7B"/>
    <w:rsid w:val="000348CE"/>
    <w:rsid w:val="00034CEB"/>
    <w:rsid w:val="00035286"/>
    <w:rsid w:val="00035F1C"/>
    <w:rsid w:val="00037522"/>
    <w:rsid w:val="00037F34"/>
    <w:rsid w:val="00043548"/>
    <w:rsid w:val="000438C8"/>
    <w:rsid w:val="000438D3"/>
    <w:rsid w:val="00043B6B"/>
    <w:rsid w:val="00043B95"/>
    <w:rsid w:val="00044075"/>
    <w:rsid w:val="0004521D"/>
    <w:rsid w:val="0004691D"/>
    <w:rsid w:val="000472CC"/>
    <w:rsid w:val="000478E3"/>
    <w:rsid w:val="00050DA3"/>
    <w:rsid w:val="00054226"/>
    <w:rsid w:val="0005449E"/>
    <w:rsid w:val="00055A7E"/>
    <w:rsid w:val="00055B19"/>
    <w:rsid w:val="0005641D"/>
    <w:rsid w:val="00056477"/>
    <w:rsid w:val="00056EC1"/>
    <w:rsid w:val="00057B39"/>
    <w:rsid w:val="00057FE0"/>
    <w:rsid w:val="0006169E"/>
    <w:rsid w:val="000620BC"/>
    <w:rsid w:val="000621C8"/>
    <w:rsid w:val="000633D0"/>
    <w:rsid w:val="00063AC9"/>
    <w:rsid w:val="00063D0E"/>
    <w:rsid w:val="00064338"/>
    <w:rsid w:val="000668B2"/>
    <w:rsid w:val="0006763E"/>
    <w:rsid w:val="00070537"/>
    <w:rsid w:val="00071723"/>
    <w:rsid w:val="00071FA6"/>
    <w:rsid w:val="00073D10"/>
    <w:rsid w:val="00074077"/>
    <w:rsid w:val="00075038"/>
    <w:rsid w:val="00076973"/>
    <w:rsid w:val="00077799"/>
    <w:rsid w:val="00077CBB"/>
    <w:rsid w:val="0008116D"/>
    <w:rsid w:val="00081853"/>
    <w:rsid w:val="00082757"/>
    <w:rsid w:val="00083559"/>
    <w:rsid w:val="00083DE0"/>
    <w:rsid w:val="00084001"/>
    <w:rsid w:val="0008439E"/>
    <w:rsid w:val="000851AE"/>
    <w:rsid w:val="00090438"/>
    <w:rsid w:val="000904CC"/>
    <w:rsid w:val="000913B4"/>
    <w:rsid w:val="0009237B"/>
    <w:rsid w:val="00092431"/>
    <w:rsid w:val="00093725"/>
    <w:rsid w:val="00093A24"/>
    <w:rsid w:val="00093C09"/>
    <w:rsid w:val="000940FF"/>
    <w:rsid w:val="0009452F"/>
    <w:rsid w:val="0009720E"/>
    <w:rsid w:val="00097C4F"/>
    <w:rsid w:val="000A0DC5"/>
    <w:rsid w:val="000A192E"/>
    <w:rsid w:val="000A26A6"/>
    <w:rsid w:val="000A2AC3"/>
    <w:rsid w:val="000A2E1C"/>
    <w:rsid w:val="000A3D4B"/>
    <w:rsid w:val="000A5403"/>
    <w:rsid w:val="000A5DB2"/>
    <w:rsid w:val="000A627B"/>
    <w:rsid w:val="000A7E19"/>
    <w:rsid w:val="000B1BAE"/>
    <w:rsid w:val="000B354C"/>
    <w:rsid w:val="000B4A10"/>
    <w:rsid w:val="000B50BA"/>
    <w:rsid w:val="000B53A0"/>
    <w:rsid w:val="000B76FD"/>
    <w:rsid w:val="000C0336"/>
    <w:rsid w:val="000C09E0"/>
    <w:rsid w:val="000C112C"/>
    <w:rsid w:val="000C22B5"/>
    <w:rsid w:val="000C3373"/>
    <w:rsid w:val="000C3C1C"/>
    <w:rsid w:val="000C443B"/>
    <w:rsid w:val="000C639F"/>
    <w:rsid w:val="000C6B0A"/>
    <w:rsid w:val="000C6F4E"/>
    <w:rsid w:val="000C74A6"/>
    <w:rsid w:val="000C7A90"/>
    <w:rsid w:val="000D03A8"/>
    <w:rsid w:val="000D07B5"/>
    <w:rsid w:val="000D0B17"/>
    <w:rsid w:val="000D0B77"/>
    <w:rsid w:val="000D10E9"/>
    <w:rsid w:val="000D1FC7"/>
    <w:rsid w:val="000D21CA"/>
    <w:rsid w:val="000D2C30"/>
    <w:rsid w:val="000D3588"/>
    <w:rsid w:val="000D3AB7"/>
    <w:rsid w:val="000D5268"/>
    <w:rsid w:val="000D54EF"/>
    <w:rsid w:val="000D5710"/>
    <w:rsid w:val="000D72FB"/>
    <w:rsid w:val="000E09F7"/>
    <w:rsid w:val="000E0C35"/>
    <w:rsid w:val="000E2EAD"/>
    <w:rsid w:val="000E2F7C"/>
    <w:rsid w:val="000E3D53"/>
    <w:rsid w:val="000E504E"/>
    <w:rsid w:val="000E57B6"/>
    <w:rsid w:val="000E58C3"/>
    <w:rsid w:val="000E5E5D"/>
    <w:rsid w:val="000E7B3C"/>
    <w:rsid w:val="000F07D4"/>
    <w:rsid w:val="000F29A1"/>
    <w:rsid w:val="000F2E2C"/>
    <w:rsid w:val="000F2E71"/>
    <w:rsid w:val="000F3542"/>
    <w:rsid w:val="000F41F5"/>
    <w:rsid w:val="000F6819"/>
    <w:rsid w:val="000F719E"/>
    <w:rsid w:val="0010029F"/>
    <w:rsid w:val="00100B60"/>
    <w:rsid w:val="0010109C"/>
    <w:rsid w:val="001022A6"/>
    <w:rsid w:val="00102825"/>
    <w:rsid w:val="00102B64"/>
    <w:rsid w:val="00103E1C"/>
    <w:rsid w:val="001044F8"/>
    <w:rsid w:val="00104AD4"/>
    <w:rsid w:val="001051BD"/>
    <w:rsid w:val="001052E7"/>
    <w:rsid w:val="0010544A"/>
    <w:rsid w:val="001056C2"/>
    <w:rsid w:val="00105E4C"/>
    <w:rsid w:val="001064C6"/>
    <w:rsid w:val="00106BED"/>
    <w:rsid w:val="00106DFF"/>
    <w:rsid w:val="00107048"/>
    <w:rsid w:val="00107AA0"/>
    <w:rsid w:val="001103A6"/>
    <w:rsid w:val="00110D78"/>
    <w:rsid w:val="001118BE"/>
    <w:rsid w:val="00112F10"/>
    <w:rsid w:val="001136EA"/>
    <w:rsid w:val="00113975"/>
    <w:rsid w:val="00113B3F"/>
    <w:rsid w:val="001141EB"/>
    <w:rsid w:val="001161B7"/>
    <w:rsid w:val="00116B3A"/>
    <w:rsid w:val="00116CC6"/>
    <w:rsid w:val="001171FC"/>
    <w:rsid w:val="00117CDC"/>
    <w:rsid w:val="001202AA"/>
    <w:rsid w:val="00120900"/>
    <w:rsid w:val="00121DDD"/>
    <w:rsid w:val="00121F94"/>
    <w:rsid w:val="00122570"/>
    <w:rsid w:val="00123383"/>
    <w:rsid w:val="00124894"/>
    <w:rsid w:val="001249BF"/>
    <w:rsid w:val="00125AFB"/>
    <w:rsid w:val="00125FBD"/>
    <w:rsid w:val="00127758"/>
    <w:rsid w:val="00131B2C"/>
    <w:rsid w:val="001322B1"/>
    <w:rsid w:val="00132FD3"/>
    <w:rsid w:val="00133050"/>
    <w:rsid w:val="00133072"/>
    <w:rsid w:val="001331AC"/>
    <w:rsid w:val="001339AA"/>
    <w:rsid w:val="00134AF2"/>
    <w:rsid w:val="00134DB5"/>
    <w:rsid w:val="00134FE2"/>
    <w:rsid w:val="001350DD"/>
    <w:rsid w:val="0013522A"/>
    <w:rsid w:val="001359C2"/>
    <w:rsid w:val="00136AF6"/>
    <w:rsid w:val="00137405"/>
    <w:rsid w:val="00137ACE"/>
    <w:rsid w:val="00137E10"/>
    <w:rsid w:val="00137FA9"/>
    <w:rsid w:val="001401DF"/>
    <w:rsid w:val="00140583"/>
    <w:rsid w:val="001407B9"/>
    <w:rsid w:val="00140E6D"/>
    <w:rsid w:val="001411B9"/>
    <w:rsid w:val="00141F0B"/>
    <w:rsid w:val="001436E7"/>
    <w:rsid w:val="0014422F"/>
    <w:rsid w:val="001446EC"/>
    <w:rsid w:val="00144C3F"/>
    <w:rsid w:val="001457AB"/>
    <w:rsid w:val="00146618"/>
    <w:rsid w:val="00146620"/>
    <w:rsid w:val="00146F1F"/>
    <w:rsid w:val="00147504"/>
    <w:rsid w:val="001475E4"/>
    <w:rsid w:val="0014781C"/>
    <w:rsid w:val="00147F4E"/>
    <w:rsid w:val="001500AD"/>
    <w:rsid w:val="00150CF1"/>
    <w:rsid w:val="00151814"/>
    <w:rsid w:val="00151FFE"/>
    <w:rsid w:val="00153AF7"/>
    <w:rsid w:val="001552E7"/>
    <w:rsid w:val="00155FEB"/>
    <w:rsid w:val="0015625A"/>
    <w:rsid w:val="001577DC"/>
    <w:rsid w:val="001607EC"/>
    <w:rsid w:val="00160E63"/>
    <w:rsid w:val="00161876"/>
    <w:rsid w:val="00161DCF"/>
    <w:rsid w:val="001625CB"/>
    <w:rsid w:val="00162694"/>
    <w:rsid w:val="00162807"/>
    <w:rsid w:val="00164520"/>
    <w:rsid w:val="001646BD"/>
    <w:rsid w:val="00165433"/>
    <w:rsid w:val="0016639D"/>
    <w:rsid w:val="00166575"/>
    <w:rsid w:val="001669E1"/>
    <w:rsid w:val="00166E99"/>
    <w:rsid w:val="0016719D"/>
    <w:rsid w:val="0016727D"/>
    <w:rsid w:val="0016747B"/>
    <w:rsid w:val="0016781C"/>
    <w:rsid w:val="001725A0"/>
    <w:rsid w:val="0017351F"/>
    <w:rsid w:val="0017383D"/>
    <w:rsid w:val="001738E9"/>
    <w:rsid w:val="00175CBE"/>
    <w:rsid w:val="001762B5"/>
    <w:rsid w:val="0018093C"/>
    <w:rsid w:val="00180DFD"/>
    <w:rsid w:val="0018198F"/>
    <w:rsid w:val="00181CED"/>
    <w:rsid w:val="001822CF"/>
    <w:rsid w:val="001835F6"/>
    <w:rsid w:val="0018475E"/>
    <w:rsid w:val="00185367"/>
    <w:rsid w:val="0018561F"/>
    <w:rsid w:val="00185FD4"/>
    <w:rsid w:val="001870B6"/>
    <w:rsid w:val="00187392"/>
    <w:rsid w:val="00191E93"/>
    <w:rsid w:val="0019504D"/>
    <w:rsid w:val="00195EDA"/>
    <w:rsid w:val="001961A7"/>
    <w:rsid w:val="0019626B"/>
    <w:rsid w:val="00196E7E"/>
    <w:rsid w:val="001971B5"/>
    <w:rsid w:val="001971E8"/>
    <w:rsid w:val="00197396"/>
    <w:rsid w:val="001A103F"/>
    <w:rsid w:val="001A1441"/>
    <w:rsid w:val="001A192A"/>
    <w:rsid w:val="001A1C05"/>
    <w:rsid w:val="001A2882"/>
    <w:rsid w:val="001A2F90"/>
    <w:rsid w:val="001A38AD"/>
    <w:rsid w:val="001A3CC5"/>
    <w:rsid w:val="001A3D89"/>
    <w:rsid w:val="001A4C51"/>
    <w:rsid w:val="001A63CB"/>
    <w:rsid w:val="001A663C"/>
    <w:rsid w:val="001A6C24"/>
    <w:rsid w:val="001A7BFF"/>
    <w:rsid w:val="001B0546"/>
    <w:rsid w:val="001B0997"/>
    <w:rsid w:val="001B0EAE"/>
    <w:rsid w:val="001B1E6C"/>
    <w:rsid w:val="001B1FE6"/>
    <w:rsid w:val="001B28AA"/>
    <w:rsid w:val="001B3D38"/>
    <w:rsid w:val="001B4BEB"/>
    <w:rsid w:val="001B4F69"/>
    <w:rsid w:val="001B5AE9"/>
    <w:rsid w:val="001B7880"/>
    <w:rsid w:val="001C281C"/>
    <w:rsid w:val="001C58C5"/>
    <w:rsid w:val="001C5A76"/>
    <w:rsid w:val="001C61D5"/>
    <w:rsid w:val="001C64C8"/>
    <w:rsid w:val="001C6C7A"/>
    <w:rsid w:val="001C72EC"/>
    <w:rsid w:val="001C7A55"/>
    <w:rsid w:val="001D0807"/>
    <w:rsid w:val="001D1643"/>
    <w:rsid w:val="001D1C8B"/>
    <w:rsid w:val="001D1DF4"/>
    <w:rsid w:val="001D2C33"/>
    <w:rsid w:val="001D2E6E"/>
    <w:rsid w:val="001D31BE"/>
    <w:rsid w:val="001D43FA"/>
    <w:rsid w:val="001D5121"/>
    <w:rsid w:val="001D5643"/>
    <w:rsid w:val="001D59AF"/>
    <w:rsid w:val="001E0861"/>
    <w:rsid w:val="001E17DE"/>
    <w:rsid w:val="001E1A1E"/>
    <w:rsid w:val="001E208A"/>
    <w:rsid w:val="001E30EF"/>
    <w:rsid w:val="001E3CE5"/>
    <w:rsid w:val="001E4821"/>
    <w:rsid w:val="001E4D7D"/>
    <w:rsid w:val="001E695D"/>
    <w:rsid w:val="001F015F"/>
    <w:rsid w:val="001F09E0"/>
    <w:rsid w:val="001F17C7"/>
    <w:rsid w:val="001F2121"/>
    <w:rsid w:val="001F33C9"/>
    <w:rsid w:val="001F3552"/>
    <w:rsid w:val="001F3717"/>
    <w:rsid w:val="001F472A"/>
    <w:rsid w:val="001F4AF1"/>
    <w:rsid w:val="001F5891"/>
    <w:rsid w:val="001F7961"/>
    <w:rsid w:val="00201921"/>
    <w:rsid w:val="00201AA9"/>
    <w:rsid w:val="00206962"/>
    <w:rsid w:val="0021138B"/>
    <w:rsid w:val="002115FA"/>
    <w:rsid w:val="00212A25"/>
    <w:rsid w:val="00213686"/>
    <w:rsid w:val="002148D7"/>
    <w:rsid w:val="002160B4"/>
    <w:rsid w:val="002164A1"/>
    <w:rsid w:val="0021738D"/>
    <w:rsid w:val="00217DA7"/>
    <w:rsid w:val="00220BDC"/>
    <w:rsid w:val="00221279"/>
    <w:rsid w:val="00221F48"/>
    <w:rsid w:val="00222783"/>
    <w:rsid w:val="00222B9A"/>
    <w:rsid w:val="00223A20"/>
    <w:rsid w:val="00223A3B"/>
    <w:rsid w:val="00224A40"/>
    <w:rsid w:val="00225538"/>
    <w:rsid w:val="002258EE"/>
    <w:rsid w:val="00225F8D"/>
    <w:rsid w:val="00227FA0"/>
    <w:rsid w:val="002303AB"/>
    <w:rsid w:val="0023136D"/>
    <w:rsid w:val="00231FF3"/>
    <w:rsid w:val="00232307"/>
    <w:rsid w:val="00232C3B"/>
    <w:rsid w:val="00232FE1"/>
    <w:rsid w:val="002336EF"/>
    <w:rsid w:val="0023453B"/>
    <w:rsid w:val="002346CE"/>
    <w:rsid w:val="002348BE"/>
    <w:rsid w:val="00235471"/>
    <w:rsid w:val="002356DF"/>
    <w:rsid w:val="00235867"/>
    <w:rsid w:val="00235F89"/>
    <w:rsid w:val="002362E1"/>
    <w:rsid w:val="00236407"/>
    <w:rsid w:val="00242352"/>
    <w:rsid w:val="00242F04"/>
    <w:rsid w:val="002438FB"/>
    <w:rsid w:val="00244A97"/>
    <w:rsid w:val="002451AC"/>
    <w:rsid w:val="00245208"/>
    <w:rsid w:val="00245BD8"/>
    <w:rsid w:val="00245F28"/>
    <w:rsid w:val="0024777E"/>
    <w:rsid w:val="00250528"/>
    <w:rsid w:val="00250734"/>
    <w:rsid w:val="00250C1A"/>
    <w:rsid w:val="00250FE8"/>
    <w:rsid w:val="0025269D"/>
    <w:rsid w:val="00252CFD"/>
    <w:rsid w:val="002533BC"/>
    <w:rsid w:val="0025364D"/>
    <w:rsid w:val="00253B21"/>
    <w:rsid w:val="002547D3"/>
    <w:rsid w:val="00255CDA"/>
    <w:rsid w:val="0025654B"/>
    <w:rsid w:val="002565A5"/>
    <w:rsid w:val="0026063C"/>
    <w:rsid w:val="00261634"/>
    <w:rsid w:val="00262407"/>
    <w:rsid w:val="0026294F"/>
    <w:rsid w:val="00262BFD"/>
    <w:rsid w:val="00263E16"/>
    <w:rsid w:val="00263F69"/>
    <w:rsid w:val="0026517E"/>
    <w:rsid w:val="0026637F"/>
    <w:rsid w:val="0026760C"/>
    <w:rsid w:val="00267769"/>
    <w:rsid w:val="0027143C"/>
    <w:rsid w:val="002716A7"/>
    <w:rsid w:val="00271DAD"/>
    <w:rsid w:val="002723DF"/>
    <w:rsid w:val="002733A3"/>
    <w:rsid w:val="00273500"/>
    <w:rsid w:val="002748CB"/>
    <w:rsid w:val="00275E5E"/>
    <w:rsid w:val="00277691"/>
    <w:rsid w:val="0028057D"/>
    <w:rsid w:val="00280D67"/>
    <w:rsid w:val="00281934"/>
    <w:rsid w:val="00281CF4"/>
    <w:rsid w:val="00281F9F"/>
    <w:rsid w:val="00283612"/>
    <w:rsid w:val="00283D45"/>
    <w:rsid w:val="002852BE"/>
    <w:rsid w:val="002854C9"/>
    <w:rsid w:val="00285A24"/>
    <w:rsid w:val="00285B9D"/>
    <w:rsid w:val="00285C4C"/>
    <w:rsid w:val="00286491"/>
    <w:rsid w:val="0028657C"/>
    <w:rsid w:val="00287608"/>
    <w:rsid w:val="002878EB"/>
    <w:rsid w:val="00290251"/>
    <w:rsid w:val="0029094C"/>
    <w:rsid w:val="00290D6B"/>
    <w:rsid w:val="00291041"/>
    <w:rsid w:val="00291164"/>
    <w:rsid w:val="00291724"/>
    <w:rsid w:val="00292770"/>
    <w:rsid w:val="00293895"/>
    <w:rsid w:val="0029523E"/>
    <w:rsid w:val="0029570F"/>
    <w:rsid w:val="00296C3C"/>
    <w:rsid w:val="00296E91"/>
    <w:rsid w:val="00297465"/>
    <w:rsid w:val="00297686"/>
    <w:rsid w:val="00297766"/>
    <w:rsid w:val="00297EFB"/>
    <w:rsid w:val="002A08D2"/>
    <w:rsid w:val="002A2C68"/>
    <w:rsid w:val="002A465B"/>
    <w:rsid w:val="002A53AB"/>
    <w:rsid w:val="002A5893"/>
    <w:rsid w:val="002A5A7C"/>
    <w:rsid w:val="002A6B29"/>
    <w:rsid w:val="002A7F36"/>
    <w:rsid w:val="002B0327"/>
    <w:rsid w:val="002B0F2E"/>
    <w:rsid w:val="002B2D01"/>
    <w:rsid w:val="002B4AB2"/>
    <w:rsid w:val="002B6DAC"/>
    <w:rsid w:val="002C0024"/>
    <w:rsid w:val="002C0190"/>
    <w:rsid w:val="002C09A8"/>
    <w:rsid w:val="002C0A89"/>
    <w:rsid w:val="002C0B39"/>
    <w:rsid w:val="002C0D01"/>
    <w:rsid w:val="002C16F8"/>
    <w:rsid w:val="002C2373"/>
    <w:rsid w:val="002C3FCE"/>
    <w:rsid w:val="002C4D2C"/>
    <w:rsid w:val="002C6AA3"/>
    <w:rsid w:val="002C7474"/>
    <w:rsid w:val="002D0552"/>
    <w:rsid w:val="002D16C4"/>
    <w:rsid w:val="002D1A6F"/>
    <w:rsid w:val="002D2BF6"/>
    <w:rsid w:val="002D2EB2"/>
    <w:rsid w:val="002D355A"/>
    <w:rsid w:val="002D41A6"/>
    <w:rsid w:val="002D454F"/>
    <w:rsid w:val="002D7620"/>
    <w:rsid w:val="002D78D3"/>
    <w:rsid w:val="002E08AE"/>
    <w:rsid w:val="002E1F67"/>
    <w:rsid w:val="002E22E2"/>
    <w:rsid w:val="002E2C4F"/>
    <w:rsid w:val="002E30D7"/>
    <w:rsid w:val="002E47D1"/>
    <w:rsid w:val="002E4A90"/>
    <w:rsid w:val="002E51DD"/>
    <w:rsid w:val="002E55CD"/>
    <w:rsid w:val="002E5DE1"/>
    <w:rsid w:val="002F0C60"/>
    <w:rsid w:val="002F1E58"/>
    <w:rsid w:val="002F24B6"/>
    <w:rsid w:val="002F2EF7"/>
    <w:rsid w:val="002F3250"/>
    <w:rsid w:val="002F45BA"/>
    <w:rsid w:val="002F4899"/>
    <w:rsid w:val="002F4A38"/>
    <w:rsid w:val="002F661F"/>
    <w:rsid w:val="002F6838"/>
    <w:rsid w:val="002F6A1B"/>
    <w:rsid w:val="002F7830"/>
    <w:rsid w:val="0030159B"/>
    <w:rsid w:val="003019EB"/>
    <w:rsid w:val="0030250E"/>
    <w:rsid w:val="0030329A"/>
    <w:rsid w:val="00303314"/>
    <w:rsid w:val="0030369E"/>
    <w:rsid w:val="00303988"/>
    <w:rsid w:val="003054AF"/>
    <w:rsid w:val="00305E7D"/>
    <w:rsid w:val="00307383"/>
    <w:rsid w:val="0031000B"/>
    <w:rsid w:val="00310138"/>
    <w:rsid w:val="00310268"/>
    <w:rsid w:val="003106BF"/>
    <w:rsid w:val="0031104E"/>
    <w:rsid w:val="00311E1B"/>
    <w:rsid w:val="00312345"/>
    <w:rsid w:val="00312FA2"/>
    <w:rsid w:val="00314190"/>
    <w:rsid w:val="0031440F"/>
    <w:rsid w:val="00315977"/>
    <w:rsid w:val="00317281"/>
    <w:rsid w:val="00321D8A"/>
    <w:rsid w:val="00321FE8"/>
    <w:rsid w:val="00324314"/>
    <w:rsid w:val="003251AF"/>
    <w:rsid w:val="003256E6"/>
    <w:rsid w:val="003258BD"/>
    <w:rsid w:val="00325DEE"/>
    <w:rsid w:val="00327A35"/>
    <w:rsid w:val="0033165A"/>
    <w:rsid w:val="00331812"/>
    <w:rsid w:val="00331F2E"/>
    <w:rsid w:val="003326E7"/>
    <w:rsid w:val="00332C04"/>
    <w:rsid w:val="00332F52"/>
    <w:rsid w:val="0033308A"/>
    <w:rsid w:val="00334022"/>
    <w:rsid w:val="00334587"/>
    <w:rsid w:val="0033494A"/>
    <w:rsid w:val="00335037"/>
    <w:rsid w:val="00335E67"/>
    <w:rsid w:val="00337A38"/>
    <w:rsid w:val="00340125"/>
    <w:rsid w:val="00340A11"/>
    <w:rsid w:val="00341A99"/>
    <w:rsid w:val="00342A71"/>
    <w:rsid w:val="003436DB"/>
    <w:rsid w:val="00343A1C"/>
    <w:rsid w:val="003443FE"/>
    <w:rsid w:val="00345181"/>
    <w:rsid w:val="00345855"/>
    <w:rsid w:val="0034746E"/>
    <w:rsid w:val="00347814"/>
    <w:rsid w:val="00347A0F"/>
    <w:rsid w:val="00350588"/>
    <w:rsid w:val="0035342C"/>
    <w:rsid w:val="0035346A"/>
    <w:rsid w:val="003536EA"/>
    <w:rsid w:val="00353EA0"/>
    <w:rsid w:val="00354013"/>
    <w:rsid w:val="003549C8"/>
    <w:rsid w:val="00355663"/>
    <w:rsid w:val="00355884"/>
    <w:rsid w:val="003565AD"/>
    <w:rsid w:val="003569C6"/>
    <w:rsid w:val="00356B0D"/>
    <w:rsid w:val="00357D07"/>
    <w:rsid w:val="00360045"/>
    <w:rsid w:val="003618FA"/>
    <w:rsid w:val="00361B46"/>
    <w:rsid w:val="00361F95"/>
    <w:rsid w:val="00362159"/>
    <w:rsid w:val="0036248B"/>
    <w:rsid w:val="00362FF3"/>
    <w:rsid w:val="003634F2"/>
    <w:rsid w:val="0036426A"/>
    <w:rsid w:val="0036484D"/>
    <w:rsid w:val="00364A1F"/>
    <w:rsid w:val="00364FBC"/>
    <w:rsid w:val="003651EE"/>
    <w:rsid w:val="00365FF1"/>
    <w:rsid w:val="0036715A"/>
    <w:rsid w:val="00370E94"/>
    <w:rsid w:val="00371C64"/>
    <w:rsid w:val="00372F77"/>
    <w:rsid w:val="003736CF"/>
    <w:rsid w:val="00373DF2"/>
    <w:rsid w:val="00374218"/>
    <w:rsid w:val="003745D0"/>
    <w:rsid w:val="00374E14"/>
    <w:rsid w:val="00375AAD"/>
    <w:rsid w:val="00376E20"/>
    <w:rsid w:val="00377074"/>
    <w:rsid w:val="00377A52"/>
    <w:rsid w:val="00377A72"/>
    <w:rsid w:val="0038060C"/>
    <w:rsid w:val="00380D3A"/>
    <w:rsid w:val="003812D1"/>
    <w:rsid w:val="003818ED"/>
    <w:rsid w:val="00381DDD"/>
    <w:rsid w:val="003830D8"/>
    <w:rsid w:val="00383CE7"/>
    <w:rsid w:val="0038458D"/>
    <w:rsid w:val="00384A65"/>
    <w:rsid w:val="00385978"/>
    <w:rsid w:val="003867F3"/>
    <w:rsid w:val="00386B92"/>
    <w:rsid w:val="00390180"/>
    <w:rsid w:val="003901CA"/>
    <w:rsid w:val="00390DF1"/>
    <w:rsid w:val="00391F11"/>
    <w:rsid w:val="00393270"/>
    <w:rsid w:val="003937CD"/>
    <w:rsid w:val="003940C9"/>
    <w:rsid w:val="003955F1"/>
    <w:rsid w:val="00397D34"/>
    <w:rsid w:val="00397EFB"/>
    <w:rsid w:val="003A0583"/>
    <w:rsid w:val="003A0602"/>
    <w:rsid w:val="003A0A1F"/>
    <w:rsid w:val="003A0AAF"/>
    <w:rsid w:val="003A19CF"/>
    <w:rsid w:val="003A1E83"/>
    <w:rsid w:val="003A2A20"/>
    <w:rsid w:val="003A3BE3"/>
    <w:rsid w:val="003A4A19"/>
    <w:rsid w:val="003A4B1D"/>
    <w:rsid w:val="003A4FAD"/>
    <w:rsid w:val="003A58A4"/>
    <w:rsid w:val="003A5AF9"/>
    <w:rsid w:val="003A6006"/>
    <w:rsid w:val="003A604C"/>
    <w:rsid w:val="003A61F1"/>
    <w:rsid w:val="003A6489"/>
    <w:rsid w:val="003A7FA0"/>
    <w:rsid w:val="003B0919"/>
    <w:rsid w:val="003B0DE8"/>
    <w:rsid w:val="003B1BD1"/>
    <w:rsid w:val="003B272C"/>
    <w:rsid w:val="003B2CB8"/>
    <w:rsid w:val="003B2EDF"/>
    <w:rsid w:val="003B3335"/>
    <w:rsid w:val="003B3910"/>
    <w:rsid w:val="003B4AC9"/>
    <w:rsid w:val="003B6691"/>
    <w:rsid w:val="003C13A0"/>
    <w:rsid w:val="003C1B62"/>
    <w:rsid w:val="003C2589"/>
    <w:rsid w:val="003C2764"/>
    <w:rsid w:val="003C2CCD"/>
    <w:rsid w:val="003C330B"/>
    <w:rsid w:val="003C4692"/>
    <w:rsid w:val="003C4DDE"/>
    <w:rsid w:val="003C5473"/>
    <w:rsid w:val="003C5717"/>
    <w:rsid w:val="003C5A22"/>
    <w:rsid w:val="003C69EA"/>
    <w:rsid w:val="003C7B32"/>
    <w:rsid w:val="003D11F9"/>
    <w:rsid w:val="003D1753"/>
    <w:rsid w:val="003D29D6"/>
    <w:rsid w:val="003D2BD2"/>
    <w:rsid w:val="003D2EBF"/>
    <w:rsid w:val="003D3C7A"/>
    <w:rsid w:val="003D41B6"/>
    <w:rsid w:val="003D61CD"/>
    <w:rsid w:val="003D683D"/>
    <w:rsid w:val="003E093F"/>
    <w:rsid w:val="003E141D"/>
    <w:rsid w:val="003E1805"/>
    <w:rsid w:val="003E2195"/>
    <w:rsid w:val="003E2CC2"/>
    <w:rsid w:val="003E2E6E"/>
    <w:rsid w:val="003E31D8"/>
    <w:rsid w:val="003E4827"/>
    <w:rsid w:val="003E5561"/>
    <w:rsid w:val="003F1DEF"/>
    <w:rsid w:val="003F29BD"/>
    <w:rsid w:val="003F3984"/>
    <w:rsid w:val="003F3DF0"/>
    <w:rsid w:val="003F3F78"/>
    <w:rsid w:val="003F400D"/>
    <w:rsid w:val="003F4357"/>
    <w:rsid w:val="003F460B"/>
    <w:rsid w:val="003F54CA"/>
    <w:rsid w:val="003F6867"/>
    <w:rsid w:val="003F7951"/>
    <w:rsid w:val="003F7C86"/>
    <w:rsid w:val="003F7EAF"/>
    <w:rsid w:val="003F7F71"/>
    <w:rsid w:val="0040068E"/>
    <w:rsid w:val="00400AC6"/>
    <w:rsid w:val="00404459"/>
    <w:rsid w:val="00407957"/>
    <w:rsid w:val="004079CD"/>
    <w:rsid w:val="004100C8"/>
    <w:rsid w:val="00411412"/>
    <w:rsid w:val="00411663"/>
    <w:rsid w:val="0041189B"/>
    <w:rsid w:val="0041227D"/>
    <w:rsid w:val="00413F01"/>
    <w:rsid w:val="00413FD0"/>
    <w:rsid w:val="00416744"/>
    <w:rsid w:val="00420E3E"/>
    <w:rsid w:val="004210E8"/>
    <w:rsid w:val="00421EDB"/>
    <w:rsid w:val="004233E5"/>
    <w:rsid w:val="00424176"/>
    <w:rsid w:val="00424CA7"/>
    <w:rsid w:val="00424E66"/>
    <w:rsid w:val="00425775"/>
    <w:rsid w:val="004274B3"/>
    <w:rsid w:val="00427815"/>
    <w:rsid w:val="00430687"/>
    <w:rsid w:val="00431528"/>
    <w:rsid w:val="004316CA"/>
    <w:rsid w:val="00432AEA"/>
    <w:rsid w:val="00433C22"/>
    <w:rsid w:val="00435CEA"/>
    <w:rsid w:val="004379AD"/>
    <w:rsid w:val="004420EC"/>
    <w:rsid w:val="00442AF8"/>
    <w:rsid w:val="00444308"/>
    <w:rsid w:val="00444397"/>
    <w:rsid w:val="00444631"/>
    <w:rsid w:val="00445636"/>
    <w:rsid w:val="0044710A"/>
    <w:rsid w:val="00447430"/>
    <w:rsid w:val="00447ACC"/>
    <w:rsid w:val="004504BA"/>
    <w:rsid w:val="00451ED3"/>
    <w:rsid w:val="0045371C"/>
    <w:rsid w:val="00456836"/>
    <w:rsid w:val="0045690F"/>
    <w:rsid w:val="0046044A"/>
    <w:rsid w:val="004604AB"/>
    <w:rsid w:val="004610EA"/>
    <w:rsid w:val="00461EFF"/>
    <w:rsid w:val="00463CF6"/>
    <w:rsid w:val="00464FAA"/>
    <w:rsid w:val="004655DD"/>
    <w:rsid w:val="00465CF3"/>
    <w:rsid w:val="00471258"/>
    <w:rsid w:val="00471D54"/>
    <w:rsid w:val="00471F1B"/>
    <w:rsid w:val="00471FC6"/>
    <w:rsid w:val="0047252F"/>
    <w:rsid w:val="004732AC"/>
    <w:rsid w:val="004733FA"/>
    <w:rsid w:val="00473DEF"/>
    <w:rsid w:val="00473ECD"/>
    <w:rsid w:val="0047705C"/>
    <w:rsid w:val="004801D8"/>
    <w:rsid w:val="004802AC"/>
    <w:rsid w:val="0048045D"/>
    <w:rsid w:val="00480BCF"/>
    <w:rsid w:val="004815C4"/>
    <w:rsid w:val="0048314E"/>
    <w:rsid w:val="00483203"/>
    <w:rsid w:val="00484FCE"/>
    <w:rsid w:val="0048734B"/>
    <w:rsid w:val="00487F3F"/>
    <w:rsid w:val="004905A3"/>
    <w:rsid w:val="004905EA"/>
    <w:rsid w:val="0049201F"/>
    <w:rsid w:val="004928D2"/>
    <w:rsid w:val="004936FF"/>
    <w:rsid w:val="00493A41"/>
    <w:rsid w:val="00494CCD"/>
    <w:rsid w:val="004950E8"/>
    <w:rsid w:val="004A0750"/>
    <w:rsid w:val="004A0950"/>
    <w:rsid w:val="004A0F3D"/>
    <w:rsid w:val="004A0F5D"/>
    <w:rsid w:val="004A14B7"/>
    <w:rsid w:val="004A23A1"/>
    <w:rsid w:val="004A2DFF"/>
    <w:rsid w:val="004A44E5"/>
    <w:rsid w:val="004A45FE"/>
    <w:rsid w:val="004A4F2A"/>
    <w:rsid w:val="004A52D0"/>
    <w:rsid w:val="004A69AF"/>
    <w:rsid w:val="004A69FC"/>
    <w:rsid w:val="004A6A86"/>
    <w:rsid w:val="004A764B"/>
    <w:rsid w:val="004A77A3"/>
    <w:rsid w:val="004A7B14"/>
    <w:rsid w:val="004A7E89"/>
    <w:rsid w:val="004B0292"/>
    <w:rsid w:val="004B2ED2"/>
    <w:rsid w:val="004B3A48"/>
    <w:rsid w:val="004B5CA3"/>
    <w:rsid w:val="004B64FA"/>
    <w:rsid w:val="004C078E"/>
    <w:rsid w:val="004C2D4C"/>
    <w:rsid w:val="004C2F3B"/>
    <w:rsid w:val="004C3454"/>
    <w:rsid w:val="004C3DC9"/>
    <w:rsid w:val="004C4898"/>
    <w:rsid w:val="004C5625"/>
    <w:rsid w:val="004C6249"/>
    <w:rsid w:val="004D0394"/>
    <w:rsid w:val="004D16A2"/>
    <w:rsid w:val="004D2653"/>
    <w:rsid w:val="004D28EE"/>
    <w:rsid w:val="004D2F2F"/>
    <w:rsid w:val="004D3B57"/>
    <w:rsid w:val="004D53DD"/>
    <w:rsid w:val="004D575A"/>
    <w:rsid w:val="004D5CB8"/>
    <w:rsid w:val="004D654E"/>
    <w:rsid w:val="004D6A67"/>
    <w:rsid w:val="004D781A"/>
    <w:rsid w:val="004D7CB2"/>
    <w:rsid w:val="004E0CC1"/>
    <w:rsid w:val="004E1429"/>
    <w:rsid w:val="004E14DD"/>
    <w:rsid w:val="004E218C"/>
    <w:rsid w:val="004E2E25"/>
    <w:rsid w:val="004E3BEE"/>
    <w:rsid w:val="004E3F38"/>
    <w:rsid w:val="004E5B55"/>
    <w:rsid w:val="004E5E28"/>
    <w:rsid w:val="004E6769"/>
    <w:rsid w:val="004E6E3A"/>
    <w:rsid w:val="004E7250"/>
    <w:rsid w:val="004F124F"/>
    <w:rsid w:val="004F14F7"/>
    <w:rsid w:val="004F1B3F"/>
    <w:rsid w:val="004F1FC1"/>
    <w:rsid w:val="004F25FC"/>
    <w:rsid w:val="004F2816"/>
    <w:rsid w:val="004F2EE2"/>
    <w:rsid w:val="004F40EA"/>
    <w:rsid w:val="004F4DC3"/>
    <w:rsid w:val="004F700D"/>
    <w:rsid w:val="004F70A4"/>
    <w:rsid w:val="004F7F4B"/>
    <w:rsid w:val="0050049A"/>
    <w:rsid w:val="00500806"/>
    <w:rsid w:val="005022AE"/>
    <w:rsid w:val="00502C0E"/>
    <w:rsid w:val="00502D93"/>
    <w:rsid w:val="005050DC"/>
    <w:rsid w:val="00506857"/>
    <w:rsid w:val="00507881"/>
    <w:rsid w:val="00507CEE"/>
    <w:rsid w:val="00507D92"/>
    <w:rsid w:val="0051026B"/>
    <w:rsid w:val="005104A2"/>
    <w:rsid w:val="005116C6"/>
    <w:rsid w:val="00511791"/>
    <w:rsid w:val="00511FF7"/>
    <w:rsid w:val="00512B99"/>
    <w:rsid w:val="00512E9C"/>
    <w:rsid w:val="00515339"/>
    <w:rsid w:val="00515391"/>
    <w:rsid w:val="005163A5"/>
    <w:rsid w:val="00516D76"/>
    <w:rsid w:val="00517412"/>
    <w:rsid w:val="005175F7"/>
    <w:rsid w:val="00517B6B"/>
    <w:rsid w:val="005206C6"/>
    <w:rsid w:val="00520A2E"/>
    <w:rsid w:val="00520D64"/>
    <w:rsid w:val="00521414"/>
    <w:rsid w:val="00521F76"/>
    <w:rsid w:val="0052212C"/>
    <w:rsid w:val="0052322B"/>
    <w:rsid w:val="005242EF"/>
    <w:rsid w:val="0052437D"/>
    <w:rsid w:val="005244D6"/>
    <w:rsid w:val="00524C00"/>
    <w:rsid w:val="00525E64"/>
    <w:rsid w:val="00526FE8"/>
    <w:rsid w:val="00527352"/>
    <w:rsid w:val="00530F2B"/>
    <w:rsid w:val="00531B8E"/>
    <w:rsid w:val="00532791"/>
    <w:rsid w:val="0053296E"/>
    <w:rsid w:val="0053363A"/>
    <w:rsid w:val="0053441E"/>
    <w:rsid w:val="00534AE7"/>
    <w:rsid w:val="00534BD4"/>
    <w:rsid w:val="00536C0D"/>
    <w:rsid w:val="00542267"/>
    <w:rsid w:val="00543142"/>
    <w:rsid w:val="005459B8"/>
    <w:rsid w:val="0054661F"/>
    <w:rsid w:val="00546F04"/>
    <w:rsid w:val="00546F24"/>
    <w:rsid w:val="0054792E"/>
    <w:rsid w:val="00547994"/>
    <w:rsid w:val="00550019"/>
    <w:rsid w:val="00551A91"/>
    <w:rsid w:val="0055319E"/>
    <w:rsid w:val="005538F3"/>
    <w:rsid w:val="00554A5E"/>
    <w:rsid w:val="00554C0C"/>
    <w:rsid w:val="00554C8F"/>
    <w:rsid w:val="005553C8"/>
    <w:rsid w:val="005553DE"/>
    <w:rsid w:val="00555564"/>
    <w:rsid w:val="00556F75"/>
    <w:rsid w:val="005603D3"/>
    <w:rsid w:val="00560B10"/>
    <w:rsid w:val="0056152A"/>
    <w:rsid w:val="00561BD7"/>
    <w:rsid w:val="00562029"/>
    <w:rsid w:val="005626FC"/>
    <w:rsid w:val="00562E98"/>
    <w:rsid w:val="005630B3"/>
    <w:rsid w:val="00563F1F"/>
    <w:rsid w:val="005650D5"/>
    <w:rsid w:val="005666BA"/>
    <w:rsid w:val="00566BBC"/>
    <w:rsid w:val="00567681"/>
    <w:rsid w:val="00567B5A"/>
    <w:rsid w:val="0057039B"/>
    <w:rsid w:val="005704D6"/>
    <w:rsid w:val="00571454"/>
    <w:rsid w:val="00571CB7"/>
    <w:rsid w:val="00572680"/>
    <w:rsid w:val="005733DD"/>
    <w:rsid w:val="005734EA"/>
    <w:rsid w:val="0057351B"/>
    <w:rsid w:val="00573A71"/>
    <w:rsid w:val="0057482D"/>
    <w:rsid w:val="005749B3"/>
    <w:rsid w:val="00575F6C"/>
    <w:rsid w:val="00576BD2"/>
    <w:rsid w:val="005778CF"/>
    <w:rsid w:val="00577E54"/>
    <w:rsid w:val="00580174"/>
    <w:rsid w:val="0058040E"/>
    <w:rsid w:val="00580D59"/>
    <w:rsid w:val="00581AC5"/>
    <w:rsid w:val="00581D36"/>
    <w:rsid w:val="005825B0"/>
    <w:rsid w:val="0058273E"/>
    <w:rsid w:val="00582B4A"/>
    <w:rsid w:val="00583268"/>
    <w:rsid w:val="0058437A"/>
    <w:rsid w:val="00584540"/>
    <w:rsid w:val="00585650"/>
    <w:rsid w:val="00585651"/>
    <w:rsid w:val="0058578A"/>
    <w:rsid w:val="005858EB"/>
    <w:rsid w:val="00585A73"/>
    <w:rsid w:val="00585BA2"/>
    <w:rsid w:val="00587163"/>
    <w:rsid w:val="00587BCA"/>
    <w:rsid w:val="00587FD0"/>
    <w:rsid w:val="00590963"/>
    <w:rsid w:val="00590C56"/>
    <w:rsid w:val="00592274"/>
    <w:rsid w:val="00592B88"/>
    <w:rsid w:val="005932BF"/>
    <w:rsid w:val="00593689"/>
    <w:rsid w:val="005944AC"/>
    <w:rsid w:val="005958C2"/>
    <w:rsid w:val="00595F4E"/>
    <w:rsid w:val="00596374"/>
    <w:rsid w:val="0059674E"/>
    <w:rsid w:val="00596F5B"/>
    <w:rsid w:val="00597E46"/>
    <w:rsid w:val="00597EF8"/>
    <w:rsid w:val="005A021D"/>
    <w:rsid w:val="005A1351"/>
    <w:rsid w:val="005A1433"/>
    <w:rsid w:val="005A2384"/>
    <w:rsid w:val="005A4017"/>
    <w:rsid w:val="005A4F99"/>
    <w:rsid w:val="005A64E8"/>
    <w:rsid w:val="005A682B"/>
    <w:rsid w:val="005A6E5A"/>
    <w:rsid w:val="005A7B6D"/>
    <w:rsid w:val="005B04DF"/>
    <w:rsid w:val="005B267C"/>
    <w:rsid w:val="005B2D36"/>
    <w:rsid w:val="005B34B6"/>
    <w:rsid w:val="005B3FC1"/>
    <w:rsid w:val="005B4FB8"/>
    <w:rsid w:val="005B5D5D"/>
    <w:rsid w:val="005B7121"/>
    <w:rsid w:val="005B74CD"/>
    <w:rsid w:val="005B7735"/>
    <w:rsid w:val="005C051B"/>
    <w:rsid w:val="005C082E"/>
    <w:rsid w:val="005C3557"/>
    <w:rsid w:val="005C3AF5"/>
    <w:rsid w:val="005C4C17"/>
    <w:rsid w:val="005C631E"/>
    <w:rsid w:val="005C718E"/>
    <w:rsid w:val="005D0CA2"/>
    <w:rsid w:val="005D1A75"/>
    <w:rsid w:val="005D1AA9"/>
    <w:rsid w:val="005D1C6E"/>
    <w:rsid w:val="005D1CAC"/>
    <w:rsid w:val="005D2A72"/>
    <w:rsid w:val="005D36A2"/>
    <w:rsid w:val="005D3D47"/>
    <w:rsid w:val="005D523E"/>
    <w:rsid w:val="005D5D8C"/>
    <w:rsid w:val="005D620E"/>
    <w:rsid w:val="005E0704"/>
    <w:rsid w:val="005E0C12"/>
    <w:rsid w:val="005E2609"/>
    <w:rsid w:val="005E2F9D"/>
    <w:rsid w:val="005E33CA"/>
    <w:rsid w:val="005E386B"/>
    <w:rsid w:val="005E7015"/>
    <w:rsid w:val="005F0B98"/>
    <w:rsid w:val="005F14F4"/>
    <w:rsid w:val="005F1A2E"/>
    <w:rsid w:val="005F1DFA"/>
    <w:rsid w:val="005F2153"/>
    <w:rsid w:val="005F22FF"/>
    <w:rsid w:val="005F2C01"/>
    <w:rsid w:val="005F2C23"/>
    <w:rsid w:val="005F36BE"/>
    <w:rsid w:val="005F3822"/>
    <w:rsid w:val="005F402E"/>
    <w:rsid w:val="005F45CC"/>
    <w:rsid w:val="005F48C5"/>
    <w:rsid w:val="005F49BE"/>
    <w:rsid w:val="005F5503"/>
    <w:rsid w:val="005F5750"/>
    <w:rsid w:val="005F5D98"/>
    <w:rsid w:val="005F5FFD"/>
    <w:rsid w:val="005F6BE0"/>
    <w:rsid w:val="00600458"/>
    <w:rsid w:val="00600DDA"/>
    <w:rsid w:val="0060169F"/>
    <w:rsid w:val="00601FBC"/>
    <w:rsid w:val="006024C7"/>
    <w:rsid w:val="006041DF"/>
    <w:rsid w:val="00605F62"/>
    <w:rsid w:val="00607A77"/>
    <w:rsid w:val="00610515"/>
    <w:rsid w:val="006115BE"/>
    <w:rsid w:val="00612603"/>
    <w:rsid w:val="00612823"/>
    <w:rsid w:val="00613B6F"/>
    <w:rsid w:val="00613C38"/>
    <w:rsid w:val="00616816"/>
    <w:rsid w:val="00616D1C"/>
    <w:rsid w:val="00621EAE"/>
    <w:rsid w:val="006221D9"/>
    <w:rsid w:val="00622877"/>
    <w:rsid w:val="006237A6"/>
    <w:rsid w:val="006252EF"/>
    <w:rsid w:val="00625802"/>
    <w:rsid w:val="00625F94"/>
    <w:rsid w:val="006268B0"/>
    <w:rsid w:val="00626AC4"/>
    <w:rsid w:val="006274CD"/>
    <w:rsid w:val="00627642"/>
    <w:rsid w:val="006277A9"/>
    <w:rsid w:val="0062795D"/>
    <w:rsid w:val="0063101C"/>
    <w:rsid w:val="00631250"/>
    <w:rsid w:val="006313B9"/>
    <w:rsid w:val="006318C3"/>
    <w:rsid w:val="00631CF1"/>
    <w:rsid w:val="00632C65"/>
    <w:rsid w:val="00632D92"/>
    <w:rsid w:val="00633D1C"/>
    <w:rsid w:val="00634492"/>
    <w:rsid w:val="00634511"/>
    <w:rsid w:val="00634D91"/>
    <w:rsid w:val="00635242"/>
    <w:rsid w:val="00635A40"/>
    <w:rsid w:val="006364B1"/>
    <w:rsid w:val="00636D1C"/>
    <w:rsid w:val="006401DF"/>
    <w:rsid w:val="0064067B"/>
    <w:rsid w:val="00640BE4"/>
    <w:rsid w:val="00640C80"/>
    <w:rsid w:val="00641983"/>
    <w:rsid w:val="006421B9"/>
    <w:rsid w:val="00643384"/>
    <w:rsid w:val="00643AA9"/>
    <w:rsid w:val="00647E51"/>
    <w:rsid w:val="0065102D"/>
    <w:rsid w:val="00651F63"/>
    <w:rsid w:val="00652C7A"/>
    <w:rsid w:val="00653781"/>
    <w:rsid w:val="00653CA5"/>
    <w:rsid w:val="00656706"/>
    <w:rsid w:val="00656B9E"/>
    <w:rsid w:val="00657390"/>
    <w:rsid w:val="00657441"/>
    <w:rsid w:val="00657597"/>
    <w:rsid w:val="00657F07"/>
    <w:rsid w:val="0066173E"/>
    <w:rsid w:val="00661C1F"/>
    <w:rsid w:val="00662B06"/>
    <w:rsid w:val="0066347E"/>
    <w:rsid w:val="0066431D"/>
    <w:rsid w:val="00665AD2"/>
    <w:rsid w:val="0067145C"/>
    <w:rsid w:val="0067167B"/>
    <w:rsid w:val="006727FB"/>
    <w:rsid w:val="00673062"/>
    <w:rsid w:val="00673399"/>
    <w:rsid w:val="00673E44"/>
    <w:rsid w:val="0067553A"/>
    <w:rsid w:val="006762F0"/>
    <w:rsid w:val="0067775D"/>
    <w:rsid w:val="00681CE9"/>
    <w:rsid w:val="00681E7B"/>
    <w:rsid w:val="006827CE"/>
    <w:rsid w:val="006837EF"/>
    <w:rsid w:val="0068426F"/>
    <w:rsid w:val="006842B8"/>
    <w:rsid w:val="00685764"/>
    <w:rsid w:val="00685CA5"/>
    <w:rsid w:val="006872B7"/>
    <w:rsid w:val="00687C5F"/>
    <w:rsid w:val="00691DDC"/>
    <w:rsid w:val="006928D8"/>
    <w:rsid w:val="006937AE"/>
    <w:rsid w:val="006950FD"/>
    <w:rsid w:val="0069588A"/>
    <w:rsid w:val="0069641F"/>
    <w:rsid w:val="006968EF"/>
    <w:rsid w:val="006969A7"/>
    <w:rsid w:val="00696C99"/>
    <w:rsid w:val="00696FF4"/>
    <w:rsid w:val="00697300"/>
    <w:rsid w:val="00697F3B"/>
    <w:rsid w:val="006A012F"/>
    <w:rsid w:val="006A21F6"/>
    <w:rsid w:val="006A3818"/>
    <w:rsid w:val="006A3C60"/>
    <w:rsid w:val="006A7A54"/>
    <w:rsid w:val="006A7F7C"/>
    <w:rsid w:val="006B14AF"/>
    <w:rsid w:val="006B1CF0"/>
    <w:rsid w:val="006B1F2E"/>
    <w:rsid w:val="006B28DB"/>
    <w:rsid w:val="006B2FBD"/>
    <w:rsid w:val="006B31D9"/>
    <w:rsid w:val="006B3DEC"/>
    <w:rsid w:val="006B47E4"/>
    <w:rsid w:val="006B4FDB"/>
    <w:rsid w:val="006B543B"/>
    <w:rsid w:val="006B58D9"/>
    <w:rsid w:val="006B6049"/>
    <w:rsid w:val="006B760D"/>
    <w:rsid w:val="006B77F7"/>
    <w:rsid w:val="006B7808"/>
    <w:rsid w:val="006C0060"/>
    <w:rsid w:val="006C04E6"/>
    <w:rsid w:val="006C098A"/>
    <w:rsid w:val="006C36E3"/>
    <w:rsid w:val="006C3C1F"/>
    <w:rsid w:val="006C57A7"/>
    <w:rsid w:val="006C5BC4"/>
    <w:rsid w:val="006C65A0"/>
    <w:rsid w:val="006C6944"/>
    <w:rsid w:val="006C6A98"/>
    <w:rsid w:val="006C7984"/>
    <w:rsid w:val="006D01BD"/>
    <w:rsid w:val="006D05DF"/>
    <w:rsid w:val="006D1676"/>
    <w:rsid w:val="006D237E"/>
    <w:rsid w:val="006D327D"/>
    <w:rsid w:val="006D4253"/>
    <w:rsid w:val="006D570B"/>
    <w:rsid w:val="006D5D3B"/>
    <w:rsid w:val="006D6943"/>
    <w:rsid w:val="006D79DC"/>
    <w:rsid w:val="006E06D6"/>
    <w:rsid w:val="006E0987"/>
    <w:rsid w:val="006E254B"/>
    <w:rsid w:val="006E264A"/>
    <w:rsid w:val="006E2716"/>
    <w:rsid w:val="006E32C2"/>
    <w:rsid w:val="006E3A4A"/>
    <w:rsid w:val="006E4AF8"/>
    <w:rsid w:val="006E4AFB"/>
    <w:rsid w:val="006E4F8A"/>
    <w:rsid w:val="006E566A"/>
    <w:rsid w:val="006E5DE4"/>
    <w:rsid w:val="006E6912"/>
    <w:rsid w:val="006E6C6F"/>
    <w:rsid w:val="006E7D9B"/>
    <w:rsid w:val="006F238C"/>
    <w:rsid w:val="006F242D"/>
    <w:rsid w:val="006F2467"/>
    <w:rsid w:val="006F3272"/>
    <w:rsid w:val="006F59F7"/>
    <w:rsid w:val="006F7CC0"/>
    <w:rsid w:val="006F7E3A"/>
    <w:rsid w:val="00701BBD"/>
    <w:rsid w:val="00701C5B"/>
    <w:rsid w:val="00703690"/>
    <w:rsid w:val="00703D43"/>
    <w:rsid w:val="00703E56"/>
    <w:rsid w:val="00704612"/>
    <w:rsid w:val="00705B37"/>
    <w:rsid w:val="007068D4"/>
    <w:rsid w:val="007069E5"/>
    <w:rsid w:val="00706E57"/>
    <w:rsid w:val="00707374"/>
    <w:rsid w:val="00707887"/>
    <w:rsid w:val="00710064"/>
    <w:rsid w:val="00711BEA"/>
    <w:rsid w:val="00712A49"/>
    <w:rsid w:val="00712C7C"/>
    <w:rsid w:val="00712EF4"/>
    <w:rsid w:val="0071367D"/>
    <w:rsid w:val="00713888"/>
    <w:rsid w:val="00713AF8"/>
    <w:rsid w:val="007147A2"/>
    <w:rsid w:val="00714EC8"/>
    <w:rsid w:val="0071587F"/>
    <w:rsid w:val="00715A4B"/>
    <w:rsid w:val="00715AD1"/>
    <w:rsid w:val="00716127"/>
    <w:rsid w:val="007161E1"/>
    <w:rsid w:val="00717D89"/>
    <w:rsid w:val="0072028A"/>
    <w:rsid w:val="0072068F"/>
    <w:rsid w:val="007224A5"/>
    <w:rsid w:val="00722A7E"/>
    <w:rsid w:val="0072310D"/>
    <w:rsid w:val="00723BB8"/>
    <w:rsid w:val="007242CF"/>
    <w:rsid w:val="00724EB4"/>
    <w:rsid w:val="00725481"/>
    <w:rsid w:val="007259CC"/>
    <w:rsid w:val="00726363"/>
    <w:rsid w:val="00727383"/>
    <w:rsid w:val="007306F9"/>
    <w:rsid w:val="007307AD"/>
    <w:rsid w:val="00730BA3"/>
    <w:rsid w:val="00730C5F"/>
    <w:rsid w:val="007313C9"/>
    <w:rsid w:val="0073159E"/>
    <w:rsid w:val="007317BA"/>
    <w:rsid w:val="00731A33"/>
    <w:rsid w:val="00731CD7"/>
    <w:rsid w:val="00731FCE"/>
    <w:rsid w:val="00732876"/>
    <w:rsid w:val="00734817"/>
    <w:rsid w:val="007352D9"/>
    <w:rsid w:val="007358DE"/>
    <w:rsid w:val="00737E6E"/>
    <w:rsid w:val="0074023F"/>
    <w:rsid w:val="00742F19"/>
    <w:rsid w:val="00742FFF"/>
    <w:rsid w:val="0074371D"/>
    <w:rsid w:val="007437D7"/>
    <w:rsid w:val="0074402B"/>
    <w:rsid w:val="007445B5"/>
    <w:rsid w:val="0074596A"/>
    <w:rsid w:val="00745B46"/>
    <w:rsid w:val="00746226"/>
    <w:rsid w:val="0074736E"/>
    <w:rsid w:val="00747406"/>
    <w:rsid w:val="00747A01"/>
    <w:rsid w:val="00747D36"/>
    <w:rsid w:val="0075060C"/>
    <w:rsid w:val="00750D08"/>
    <w:rsid w:val="0075109C"/>
    <w:rsid w:val="00751243"/>
    <w:rsid w:val="00751D0B"/>
    <w:rsid w:val="00753C8E"/>
    <w:rsid w:val="0075450D"/>
    <w:rsid w:val="0075631B"/>
    <w:rsid w:val="00756414"/>
    <w:rsid w:val="007605ED"/>
    <w:rsid w:val="007606F5"/>
    <w:rsid w:val="00760A5E"/>
    <w:rsid w:val="00762532"/>
    <w:rsid w:val="00763034"/>
    <w:rsid w:val="007644DF"/>
    <w:rsid w:val="0076466C"/>
    <w:rsid w:val="00767A3E"/>
    <w:rsid w:val="00767D66"/>
    <w:rsid w:val="0077033B"/>
    <w:rsid w:val="007703C7"/>
    <w:rsid w:val="00770592"/>
    <w:rsid w:val="007712AE"/>
    <w:rsid w:val="007721D6"/>
    <w:rsid w:val="00773D1F"/>
    <w:rsid w:val="00774FE7"/>
    <w:rsid w:val="007753AB"/>
    <w:rsid w:val="0077611E"/>
    <w:rsid w:val="0077633C"/>
    <w:rsid w:val="00776F6C"/>
    <w:rsid w:val="00780400"/>
    <w:rsid w:val="007808AF"/>
    <w:rsid w:val="0078198F"/>
    <w:rsid w:val="00782991"/>
    <w:rsid w:val="00782F91"/>
    <w:rsid w:val="007837F8"/>
    <w:rsid w:val="0078467E"/>
    <w:rsid w:val="007865D0"/>
    <w:rsid w:val="007875F3"/>
    <w:rsid w:val="00787C3C"/>
    <w:rsid w:val="007908BB"/>
    <w:rsid w:val="00790E4D"/>
    <w:rsid w:val="00791A1D"/>
    <w:rsid w:val="007939B8"/>
    <w:rsid w:val="00794096"/>
    <w:rsid w:val="0079420F"/>
    <w:rsid w:val="00794234"/>
    <w:rsid w:val="00794DF9"/>
    <w:rsid w:val="00794E01"/>
    <w:rsid w:val="00795149"/>
    <w:rsid w:val="00795AAC"/>
    <w:rsid w:val="00795F37"/>
    <w:rsid w:val="00797A00"/>
    <w:rsid w:val="007A0098"/>
    <w:rsid w:val="007A25EA"/>
    <w:rsid w:val="007A30A5"/>
    <w:rsid w:val="007A3A61"/>
    <w:rsid w:val="007A51C1"/>
    <w:rsid w:val="007A57AB"/>
    <w:rsid w:val="007A60E3"/>
    <w:rsid w:val="007A63A8"/>
    <w:rsid w:val="007A71F2"/>
    <w:rsid w:val="007A784A"/>
    <w:rsid w:val="007B0A2D"/>
    <w:rsid w:val="007B112A"/>
    <w:rsid w:val="007B1328"/>
    <w:rsid w:val="007B16E6"/>
    <w:rsid w:val="007B2528"/>
    <w:rsid w:val="007B28C7"/>
    <w:rsid w:val="007B3246"/>
    <w:rsid w:val="007B471D"/>
    <w:rsid w:val="007B4788"/>
    <w:rsid w:val="007B532D"/>
    <w:rsid w:val="007B689C"/>
    <w:rsid w:val="007B6B52"/>
    <w:rsid w:val="007B6F15"/>
    <w:rsid w:val="007B70A2"/>
    <w:rsid w:val="007B71A4"/>
    <w:rsid w:val="007B7874"/>
    <w:rsid w:val="007B7B15"/>
    <w:rsid w:val="007C00BE"/>
    <w:rsid w:val="007C17B8"/>
    <w:rsid w:val="007C39FC"/>
    <w:rsid w:val="007C4067"/>
    <w:rsid w:val="007C58F2"/>
    <w:rsid w:val="007C6A34"/>
    <w:rsid w:val="007C6E5B"/>
    <w:rsid w:val="007D009E"/>
    <w:rsid w:val="007D16DB"/>
    <w:rsid w:val="007D3B85"/>
    <w:rsid w:val="007D406F"/>
    <w:rsid w:val="007D445D"/>
    <w:rsid w:val="007D4B63"/>
    <w:rsid w:val="007D5841"/>
    <w:rsid w:val="007D589D"/>
    <w:rsid w:val="007D677C"/>
    <w:rsid w:val="007D6D8C"/>
    <w:rsid w:val="007D70F4"/>
    <w:rsid w:val="007D7ADC"/>
    <w:rsid w:val="007D7ECC"/>
    <w:rsid w:val="007E09D0"/>
    <w:rsid w:val="007E103F"/>
    <w:rsid w:val="007E2164"/>
    <w:rsid w:val="007E21BB"/>
    <w:rsid w:val="007E21C6"/>
    <w:rsid w:val="007E30A8"/>
    <w:rsid w:val="007E42B5"/>
    <w:rsid w:val="007E4E69"/>
    <w:rsid w:val="007E6359"/>
    <w:rsid w:val="007E757A"/>
    <w:rsid w:val="007F1554"/>
    <w:rsid w:val="007F205D"/>
    <w:rsid w:val="007F2416"/>
    <w:rsid w:val="007F2426"/>
    <w:rsid w:val="007F247C"/>
    <w:rsid w:val="007F24C5"/>
    <w:rsid w:val="007F4178"/>
    <w:rsid w:val="007F427B"/>
    <w:rsid w:val="007F5AE6"/>
    <w:rsid w:val="007F5FFB"/>
    <w:rsid w:val="007F627C"/>
    <w:rsid w:val="007F6803"/>
    <w:rsid w:val="00800A3C"/>
    <w:rsid w:val="008021CB"/>
    <w:rsid w:val="008025F8"/>
    <w:rsid w:val="0080453D"/>
    <w:rsid w:val="008050D1"/>
    <w:rsid w:val="00806CCC"/>
    <w:rsid w:val="00807BF8"/>
    <w:rsid w:val="00810B07"/>
    <w:rsid w:val="00810D3B"/>
    <w:rsid w:val="00810F05"/>
    <w:rsid w:val="0081102E"/>
    <w:rsid w:val="00811D34"/>
    <w:rsid w:val="008124BE"/>
    <w:rsid w:val="00812BD1"/>
    <w:rsid w:val="008168C4"/>
    <w:rsid w:val="00816BF6"/>
    <w:rsid w:val="00817C5C"/>
    <w:rsid w:val="00817F61"/>
    <w:rsid w:val="00821C15"/>
    <w:rsid w:val="00821DC1"/>
    <w:rsid w:val="00823250"/>
    <w:rsid w:val="0082340A"/>
    <w:rsid w:val="008238CF"/>
    <w:rsid w:val="00824D5E"/>
    <w:rsid w:val="00825248"/>
    <w:rsid w:val="00826BEC"/>
    <w:rsid w:val="008270AA"/>
    <w:rsid w:val="00827DD3"/>
    <w:rsid w:val="00830895"/>
    <w:rsid w:val="00831152"/>
    <w:rsid w:val="008329E4"/>
    <w:rsid w:val="00832AEF"/>
    <w:rsid w:val="00832BA1"/>
    <w:rsid w:val="00833B4D"/>
    <w:rsid w:val="0083567E"/>
    <w:rsid w:val="00835E82"/>
    <w:rsid w:val="0083636E"/>
    <w:rsid w:val="00840311"/>
    <w:rsid w:val="0084075E"/>
    <w:rsid w:val="00841D93"/>
    <w:rsid w:val="008428DF"/>
    <w:rsid w:val="00845CF5"/>
    <w:rsid w:val="0084604F"/>
    <w:rsid w:val="008466F2"/>
    <w:rsid w:val="008469DE"/>
    <w:rsid w:val="00847CE0"/>
    <w:rsid w:val="0085014B"/>
    <w:rsid w:val="008509E6"/>
    <w:rsid w:val="00851121"/>
    <w:rsid w:val="00851146"/>
    <w:rsid w:val="00852418"/>
    <w:rsid w:val="008542F9"/>
    <w:rsid w:val="00855BC0"/>
    <w:rsid w:val="00856A53"/>
    <w:rsid w:val="00857290"/>
    <w:rsid w:val="008575A5"/>
    <w:rsid w:val="00857CA7"/>
    <w:rsid w:val="0086031C"/>
    <w:rsid w:val="00860712"/>
    <w:rsid w:val="00862470"/>
    <w:rsid w:val="008625BA"/>
    <w:rsid w:val="008633CD"/>
    <w:rsid w:val="00863515"/>
    <w:rsid w:val="00867373"/>
    <w:rsid w:val="00867AD3"/>
    <w:rsid w:val="00870B33"/>
    <w:rsid w:val="008721EF"/>
    <w:rsid w:val="00872BF0"/>
    <w:rsid w:val="00872F80"/>
    <w:rsid w:val="0087448D"/>
    <w:rsid w:val="0087520C"/>
    <w:rsid w:val="00877B74"/>
    <w:rsid w:val="00881D3D"/>
    <w:rsid w:val="0088219E"/>
    <w:rsid w:val="008858C1"/>
    <w:rsid w:val="0088681F"/>
    <w:rsid w:val="00887AC3"/>
    <w:rsid w:val="008911ED"/>
    <w:rsid w:val="008924AE"/>
    <w:rsid w:val="0089270F"/>
    <w:rsid w:val="0089420D"/>
    <w:rsid w:val="00895D57"/>
    <w:rsid w:val="00896175"/>
    <w:rsid w:val="0089700F"/>
    <w:rsid w:val="00897234"/>
    <w:rsid w:val="008979C1"/>
    <w:rsid w:val="008A16A6"/>
    <w:rsid w:val="008A1AF1"/>
    <w:rsid w:val="008A4498"/>
    <w:rsid w:val="008A470B"/>
    <w:rsid w:val="008A4761"/>
    <w:rsid w:val="008A4878"/>
    <w:rsid w:val="008A565F"/>
    <w:rsid w:val="008A5AE7"/>
    <w:rsid w:val="008A7222"/>
    <w:rsid w:val="008B07C5"/>
    <w:rsid w:val="008B194C"/>
    <w:rsid w:val="008B1C0C"/>
    <w:rsid w:val="008B2754"/>
    <w:rsid w:val="008B30AF"/>
    <w:rsid w:val="008B32E7"/>
    <w:rsid w:val="008B4602"/>
    <w:rsid w:val="008B6C29"/>
    <w:rsid w:val="008B6C9D"/>
    <w:rsid w:val="008C02D3"/>
    <w:rsid w:val="008C0454"/>
    <w:rsid w:val="008C0F62"/>
    <w:rsid w:val="008C1885"/>
    <w:rsid w:val="008C1A97"/>
    <w:rsid w:val="008C22AF"/>
    <w:rsid w:val="008C2580"/>
    <w:rsid w:val="008C2D83"/>
    <w:rsid w:val="008C3A51"/>
    <w:rsid w:val="008C3D5C"/>
    <w:rsid w:val="008C42A1"/>
    <w:rsid w:val="008C44AE"/>
    <w:rsid w:val="008C4959"/>
    <w:rsid w:val="008C727D"/>
    <w:rsid w:val="008C7424"/>
    <w:rsid w:val="008C7933"/>
    <w:rsid w:val="008D0FB3"/>
    <w:rsid w:val="008D1068"/>
    <w:rsid w:val="008D117B"/>
    <w:rsid w:val="008D1A63"/>
    <w:rsid w:val="008D221B"/>
    <w:rsid w:val="008D38EE"/>
    <w:rsid w:val="008D40D9"/>
    <w:rsid w:val="008D56C4"/>
    <w:rsid w:val="008D5DBD"/>
    <w:rsid w:val="008D721F"/>
    <w:rsid w:val="008D7351"/>
    <w:rsid w:val="008D7CA3"/>
    <w:rsid w:val="008E1260"/>
    <w:rsid w:val="008E1D6A"/>
    <w:rsid w:val="008E204A"/>
    <w:rsid w:val="008E4195"/>
    <w:rsid w:val="008E4480"/>
    <w:rsid w:val="008E5AD5"/>
    <w:rsid w:val="008E5C21"/>
    <w:rsid w:val="008E5D93"/>
    <w:rsid w:val="008E6AE2"/>
    <w:rsid w:val="008E6CB9"/>
    <w:rsid w:val="008E6F61"/>
    <w:rsid w:val="008E7DEE"/>
    <w:rsid w:val="008F0088"/>
    <w:rsid w:val="008F0706"/>
    <w:rsid w:val="008F093E"/>
    <w:rsid w:val="008F0AC8"/>
    <w:rsid w:val="008F0E20"/>
    <w:rsid w:val="008F272A"/>
    <w:rsid w:val="008F33E3"/>
    <w:rsid w:val="008F413A"/>
    <w:rsid w:val="008F5473"/>
    <w:rsid w:val="008F56E5"/>
    <w:rsid w:val="008F5B46"/>
    <w:rsid w:val="008F68DB"/>
    <w:rsid w:val="00900127"/>
    <w:rsid w:val="009003DF"/>
    <w:rsid w:val="00900763"/>
    <w:rsid w:val="009012FF"/>
    <w:rsid w:val="0090132A"/>
    <w:rsid w:val="00901568"/>
    <w:rsid w:val="00902CCA"/>
    <w:rsid w:val="00904319"/>
    <w:rsid w:val="0090466D"/>
    <w:rsid w:val="009054E6"/>
    <w:rsid w:val="0090561E"/>
    <w:rsid w:val="0090669B"/>
    <w:rsid w:val="009068CB"/>
    <w:rsid w:val="00906BB7"/>
    <w:rsid w:val="009078C5"/>
    <w:rsid w:val="00910070"/>
    <w:rsid w:val="00910371"/>
    <w:rsid w:val="0091133D"/>
    <w:rsid w:val="00912A6A"/>
    <w:rsid w:val="00914784"/>
    <w:rsid w:val="009147E3"/>
    <w:rsid w:val="009149AE"/>
    <w:rsid w:val="00916D95"/>
    <w:rsid w:val="009205A3"/>
    <w:rsid w:val="00920C51"/>
    <w:rsid w:val="00920DC3"/>
    <w:rsid w:val="00921D8F"/>
    <w:rsid w:val="00922A6A"/>
    <w:rsid w:val="00922B1C"/>
    <w:rsid w:val="0092426E"/>
    <w:rsid w:val="00924B9D"/>
    <w:rsid w:val="00925702"/>
    <w:rsid w:val="00925C18"/>
    <w:rsid w:val="00925FDE"/>
    <w:rsid w:val="00930F8F"/>
    <w:rsid w:val="0093216A"/>
    <w:rsid w:val="009334AF"/>
    <w:rsid w:val="0093388C"/>
    <w:rsid w:val="00933A97"/>
    <w:rsid w:val="00933DDD"/>
    <w:rsid w:val="00935597"/>
    <w:rsid w:val="00935E8D"/>
    <w:rsid w:val="00936235"/>
    <w:rsid w:val="00936BA3"/>
    <w:rsid w:val="00937F85"/>
    <w:rsid w:val="00940611"/>
    <w:rsid w:val="009416BF"/>
    <w:rsid w:val="009426BD"/>
    <w:rsid w:val="009439E9"/>
    <w:rsid w:val="00944689"/>
    <w:rsid w:val="00945897"/>
    <w:rsid w:val="009470B2"/>
    <w:rsid w:val="009471DE"/>
    <w:rsid w:val="00947573"/>
    <w:rsid w:val="009500FA"/>
    <w:rsid w:val="00950877"/>
    <w:rsid w:val="00950C8B"/>
    <w:rsid w:val="00951216"/>
    <w:rsid w:val="00951A70"/>
    <w:rsid w:val="00953A35"/>
    <w:rsid w:val="0095441A"/>
    <w:rsid w:val="00954694"/>
    <w:rsid w:val="00955AD6"/>
    <w:rsid w:val="00955B0F"/>
    <w:rsid w:val="00955BC1"/>
    <w:rsid w:val="00955DCA"/>
    <w:rsid w:val="00956137"/>
    <w:rsid w:val="009561B1"/>
    <w:rsid w:val="0095666B"/>
    <w:rsid w:val="0096052C"/>
    <w:rsid w:val="0096085D"/>
    <w:rsid w:val="00960F56"/>
    <w:rsid w:val="00961317"/>
    <w:rsid w:val="009623E9"/>
    <w:rsid w:val="00962B75"/>
    <w:rsid w:val="00962F1E"/>
    <w:rsid w:val="0096328B"/>
    <w:rsid w:val="00964AFD"/>
    <w:rsid w:val="00964B8D"/>
    <w:rsid w:val="009665BE"/>
    <w:rsid w:val="00971385"/>
    <w:rsid w:val="00972152"/>
    <w:rsid w:val="0097267C"/>
    <w:rsid w:val="00973377"/>
    <w:rsid w:val="00974B6F"/>
    <w:rsid w:val="00976B23"/>
    <w:rsid w:val="009773FE"/>
    <w:rsid w:val="00980822"/>
    <w:rsid w:val="0098100C"/>
    <w:rsid w:val="00981223"/>
    <w:rsid w:val="00981477"/>
    <w:rsid w:val="009818BB"/>
    <w:rsid w:val="0098218F"/>
    <w:rsid w:val="0098235C"/>
    <w:rsid w:val="00982EFE"/>
    <w:rsid w:val="009832F2"/>
    <w:rsid w:val="009838CE"/>
    <w:rsid w:val="00983AD8"/>
    <w:rsid w:val="00984354"/>
    <w:rsid w:val="00986979"/>
    <w:rsid w:val="00987098"/>
    <w:rsid w:val="00987242"/>
    <w:rsid w:val="00990037"/>
    <w:rsid w:val="00991AC5"/>
    <w:rsid w:val="00991B4A"/>
    <w:rsid w:val="00991FA9"/>
    <w:rsid w:val="009929A4"/>
    <w:rsid w:val="00994313"/>
    <w:rsid w:val="0099586D"/>
    <w:rsid w:val="009959FD"/>
    <w:rsid w:val="009960A8"/>
    <w:rsid w:val="00997BD6"/>
    <w:rsid w:val="009A000A"/>
    <w:rsid w:val="009A0090"/>
    <w:rsid w:val="009A0C03"/>
    <w:rsid w:val="009A1B0A"/>
    <w:rsid w:val="009A1CA3"/>
    <w:rsid w:val="009A1E33"/>
    <w:rsid w:val="009A2264"/>
    <w:rsid w:val="009A26D8"/>
    <w:rsid w:val="009A52A7"/>
    <w:rsid w:val="009A53BC"/>
    <w:rsid w:val="009A6A62"/>
    <w:rsid w:val="009A7BCA"/>
    <w:rsid w:val="009B0B68"/>
    <w:rsid w:val="009B17C2"/>
    <w:rsid w:val="009B18FE"/>
    <w:rsid w:val="009B1D8E"/>
    <w:rsid w:val="009B2652"/>
    <w:rsid w:val="009B284B"/>
    <w:rsid w:val="009B51B9"/>
    <w:rsid w:val="009B53AA"/>
    <w:rsid w:val="009B5679"/>
    <w:rsid w:val="009B61FD"/>
    <w:rsid w:val="009C06CD"/>
    <w:rsid w:val="009C1F79"/>
    <w:rsid w:val="009C2911"/>
    <w:rsid w:val="009C370C"/>
    <w:rsid w:val="009C3A10"/>
    <w:rsid w:val="009C4884"/>
    <w:rsid w:val="009C4DB3"/>
    <w:rsid w:val="009C5257"/>
    <w:rsid w:val="009C5BB2"/>
    <w:rsid w:val="009C61EE"/>
    <w:rsid w:val="009C663C"/>
    <w:rsid w:val="009D062E"/>
    <w:rsid w:val="009D237D"/>
    <w:rsid w:val="009D2EA5"/>
    <w:rsid w:val="009D3769"/>
    <w:rsid w:val="009D3943"/>
    <w:rsid w:val="009D3D96"/>
    <w:rsid w:val="009D5277"/>
    <w:rsid w:val="009D5621"/>
    <w:rsid w:val="009D7A76"/>
    <w:rsid w:val="009E012E"/>
    <w:rsid w:val="009E06F1"/>
    <w:rsid w:val="009E0A40"/>
    <w:rsid w:val="009E155D"/>
    <w:rsid w:val="009E1A72"/>
    <w:rsid w:val="009E2B83"/>
    <w:rsid w:val="009E4015"/>
    <w:rsid w:val="009E4510"/>
    <w:rsid w:val="009E5199"/>
    <w:rsid w:val="009E7070"/>
    <w:rsid w:val="009F0121"/>
    <w:rsid w:val="009F0AF0"/>
    <w:rsid w:val="009F2899"/>
    <w:rsid w:val="009F45B3"/>
    <w:rsid w:val="009F4752"/>
    <w:rsid w:val="009F5220"/>
    <w:rsid w:val="009F53E9"/>
    <w:rsid w:val="009F7483"/>
    <w:rsid w:val="00A000AF"/>
    <w:rsid w:val="00A00202"/>
    <w:rsid w:val="00A00341"/>
    <w:rsid w:val="00A011A2"/>
    <w:rsid w:val="00A0198C"/>
    <w:rsid w:val="00A02B55"/>
    <w:rsid w:val="00A02DC6"/>
    <w:rsid w:val="00A02E53"/>
    <w:rsid w:val="00A02F9A"/>
    <w:rsid w:val="00A03234"/>
    <w:rsid w:val="00A037A4"/>
    <w:rsid w:val="00A03900"/>
    <w:rsid w:val="00A03994"/>
    <w:rsid w:val="00A03ECA"/>
    <w:rsid w:val="00A04C0D"/>
    <w:rsid w:val="00A04CCF"/>
    <w:rsid w:val="00A04DA5"/>
    <w:rsid w:val="00A04F52"/>
    <w:rsid w:val="00A0537A"/>
    <w:rsid w:val="00A064A7"/>
    <w:rsid w:val="00A06BE3"/>
    <w:rsid w:val="00A06E8E"/>
    <w:rsid w:val="00A07141"/>
    <w:rsid w:val="00A07CCB"/>
    <w:rsid w:val="00A1054F"/>
    <w:rsid w:val="00A10565"/>
    <w:rsid w:val="00A109E5"/>
    <w:rsid w:val="00A1123C"/>
    <w:rsid w:val="00A1149E"/>
    <w:rsid w:val="00A123DD"/>
    <w:rsid w:val="00A133C3"/>
    <w:rsid w:val="00A13817"/>
    <w:rsid w:val="00A138BE"/>
    <w:rsid w:val="00A14FC1"/>
    <w:rsid w:val="00A1558C"/>
    <w:rsid w:val="00A16DA2"/>
    <w:rsid w:val="00A20667"/>
    <w:rsid w:val="00A20A5D"/>
    <w:rsid w:val="00A21924"/>
    <w:rsid w:val="00A21F52"/>
    <w:rsid w:val="00A2246B"/>
    <w:rsid w:val="00A22492"/>
    <w:rsid w:val="00A22AE5"/>
    <w:rsid w:val="00A26C9E"/>
    <w:rsid w:val="00A275FA"/>
    <w:rsid w:val="00A304CD"/>
    <w:rsid w:val="00A3176E"/>
    <w:rsid w:val="00A31DF1"/>
    <w:rsid w:val="00A322D5"/>
    <w:rsid w:val="00A32616"/>
    <w:rsid w:val="00A32A88"/>
    <w:rsid w:val="00A32FEF"/>
    <w:rsid w:val="00A32FF3"/>
    <w:rsid w:val="00A330ED"/>
    <w:rsid w:val="00A33A9D"/>
    <w:rsid w:val="00A35FB2"/>
    <w:rsid w:val="00A36574"/>
    <w:rsid w:val="00A369C2"/>
    <w:rsid w:val="00A36A9A"/>
    <w:rsid w:val="00A36B11"/>
    <w:rsid w:val="00A37D41"/>
    <w:rsid w:val="00A4015F"/>
    <w:rsid w:val="00A406C4"/>
    <w:rsid w:val="00A40724"/>
    <w:rsid w:val="00A409EA"/>
    <w:rsid w:val="00A40A7E"/>
    <w:rsid w:val="00A41838"/>
    <w:rsid w:val="00A4210C"/>
    <w:rsid w:val="00A426D2"/>
    <w:rsid w:val="00A42DC7"/>
    <w:rsid w:val="00A43842"/>
    <w:rsid w:val="00A43B38"/>
    <w:rsid w:val="00A43E69"/>
    <w:rsid w:val="00A43F67"/>
    <w:rsid w:val="00A4410B"/>
    <w:rsid w:val="00A44669"/>
    <w:rsid w:val="00A45097"/>
    <w:rsid w:val="00A457FD"/>
    <w:rsid w:val="00A4604F"/>
    <w:rsid w:val="00A46CD3"/>
    <w:rsid w:val="00A47417"/>
    <w:rsid w:val="00A479FF"/>
    <w:rsid w:val="00A507C3"/>
    <w:rsid w:val="00A50ADF"/>
    <w:rsid w:val="00A518FA"/>
    <w:rsid w:val="00A52B4F"/>
    <w:rsid w:val="00A54CBA"/>
    <w:rsid w:val="00A557EC"/>
    <w:rsid w:val="00A607A9"/>
    <w:rsid w:val="00A60A7E"/>
    <w:rsid w:val="00A616DB"/>
    <w:rsid w:val="00A6240F"/>
    <w:rsid w:val="00A63B30"/>
    <w:rsid w:val="00A64134"/>
    <w:rsid w:val="00A66CFA"/>
    <w:rsid w:val="00A66D93"/>
    <w:rsid w:val="00A6705D"/>
    <w:rsid w:val="00A70DAA"/>
    <w:rsid w:val="00A72457"/>
    <w:rsid w:val="00A72531"/>
    <w:rsid w:val="00A72613"/>
    <w:rsid w:val="00A73799"/>
    <w:rsid w:val="00A751C6"/>
    <w:rsid w:val="00A75885"/>
    <w:rsid w:val="00A7665A"/>
    <w:rsid w:val="00A7743E"/>
    <w:rsid w:val="00A77B50"/>
    <w:rsid w:val="00A80435"/>
    <w:rsid w:val="00A80AFE"/>
    <w:rsid w:val="00A82E6D"/>
    <w:rsid w:val="00A83366"/>
    <w:rsid w:val="00A83469"/>
    <w:rsid w:val="00A839DA"/>
    <w:rsid w:val="00A83EE9"/>
    <w:rsid w:val="00A83F66"/>
    <w:rsid w:val="00A8443A"/>
    <w:rsid w:val="00A84986"/>
    <w:rsid w:val="00A858FA"/>
    <w:rsid w:val="00A867E8"/>
    <w:rsid w:val="00A86CFE"/>
    <w:rsid w:val="00A87CA2"/>
    <w:rsid w:val="00A9151F"/>
    <w:rsid w:val="00A924FC"/>
    <w:rsid w:val="00A92977"/>
    <w:rsid w:val="00A94582"/>
    <w:rsid w:val="00A94B63"/>
    <w:rsid w:val="00A9537C"/>
    <w:rsid w:val="00A9579F"/>
    <w:rsid w:val="00A962B6"/>
    <w:rsid w:val="00A96695"/>
    <w:rsid w:val="00A969FD"/>
    <w:rsid w:val="00A97188"/>
    <w:rsid w:val="00A97DB3"/>
    <w:rsid w:val="00A97EE2"/>
    <w:rsid w:val="00AA268C"/>
    <w:rsid w:val="00AA26A6"/>
    <w:rsid w:val="00AA28B8"/>
    <w:rsid w:val="00AA34D6"/>
    <w:rsid w:val="00AA4248"/>
    <w:rsid w:val="00AA49AB"/>
    <w:rsid w:val="00AA582E"/>
    <w:rsid w:val="00AA597D"/>
    <w:rsid w:val="00AB0C8E"/>
    <w:rsid w:val="00AB1EAC"/>
    <w:rsid w:val="00AB3618"/>
    <w:rsid w:val="00AB3CB6"/>
    <w:rsid w:val="00AB4219"/>
    <w:rsid w:val="00AB479E"/>
    <w:rsid w:val="00AB5BE1"/>
    <w:rsid w:val="00AB5FBC"/>
    <w:rsid w:val="00AB7A82"/>
    <w:rsid w:val="00AC1097"/>
    <w:rsid w:val="00AC10B6"/>
    <w:rsid w:val="00AC18CB"/>
    <w:rsid w:val="00AC19AC"/>
    <w:rsid w:val="00AC1F1F"/>
    <w:rsid w:val="00AC2830"/>
    <w:rsid w:val="00AC2A8C"/>
    <w:rsid w:val="00AC36C6"/>
    <w:rsid w:val="00AC3866"/>
    <w:rsid w:val="00AC420D"/>
    <w:rsid w:val="00AC4416"/>
    <w:rsid w:val="00AC459F"/>
    <w:rsid w:val="00AC55FC"/>
    <w:rsid w:val="00AC6D1F"/>
    <w:rsid w:val="00AC7276"/>
    <w:rsid w:val="00AD01BE"/>
    <w:rsid w:val="00AD0D10"/>
    <w:rsid w:val="00AD1282"/>
    <w:rsid w:val="00AD1FC0"/>
    <w:rsid w:val="00AD354A"/>
    <w:rsid w:val="00AD5021"/>
    <w:rsid w:val="00AD6A71"/>
    <w:rsid w:val="00AE0C1A"/>
    <w:rsid w:val="00AE0CC2"/>
    <w:rsid w:val="00AE3232"/>
    <w:rsid w:val="00AE51FE"/>
    <w:rsid w:val="00AE5952"/>
    <w:rsid w:val="00AE60C4"/>
    <w:rsid w:val="00AE6C48"/>
    <w:rsid w:val="00AE7136"/>
    <w:rsid w:val="00AF05A7"/>
    <w:rsid w:val="00AF1435"/>
    <w:rsid w:val="00AF1C28"/>
    <w:rsid w:val="00AF1FCB"/>
    <w:rsid w:val="00AF30F3"/>
    <w:rsid w:val="00AF3B8A"/>
    <w:rsid w:val="00AF3EAF"/>
    <w:rsid w:val="00AF4A86"/>
    <w:rsid w:val="00AF4E8D"/>
    <w:rsid w:val="00AF5145"/>
    <w:rsid w:val="00AF5E0A"/>
    <w:rsid w:val="00AF7595"/>
    <w:rsid w:val="00B002AF"/>
    <w:rsid w:val="00B00607"/>
    <w:rsid w:val="00B006F3"/>
    <w:rsid w:val="00B00DE8"/>
    <w:rsid w:val="00B016FC"/>
    <w:rsid w:val="00B01D0A"/>
    <w:rsid w:val="00B049DC"/>
    <w:rsid w:val="00B05EBE"/>
    <w:rsid w:val="00B07B19"/>
    <w:rsid w:val="00B102F0"/>
    <w:rsid w:val="00B105E8"/>
    <w:rsid w:val="00B117ED"/>
    <w:rsid w:val="00B1267C"/>
    <w:rsid w:val="00B12AE6"/>
    <w:rsid w:val="00B13D09"/>
    <w:rsid w:val="00B14662"/>
    <w:rsid w:val="00B1506A"/>
    <w:rsid w:val="00B151EA"/>
    <w:rsid w:val="00B152BB"/>
    <w:rsid w:val="00B15AC6"/>
    <w:rsid w:val="00B21329"/>
    <w:rsid w:val="00B213D1"/>
    <w:rsid w:val="00B21450"/>
    <w:rsid w:val="00B216D8"/>
    <w:rsid w:val="00B22089"/>
    <w:rsid w:val="00B22A76"/>
    <w:rsid w:val="00B23A4C"/>
    <w:rsid w:val="00B25409"/>
    <w:rsid w:val="00B25F60"/>
    <w:rsid w:val="00B30228"/>
    <w:rsid w:val="00B30263"/>
    <w:rsid w:val="00B31351"/>
    <w:rsid w:val="00B31813"/>
    <w:rsid w:val="00B3218E"/>
    <w:rsid w:val="00B32223"/>
    <w:rsid w:val="00B32820"/>
    <w:rsid w:val="00B32E6B"/>
    <w:rsid w:val="00B32F6C"/>
    <w:rsid w:val="00B332CD"/>
    <w:rsid w:val="00B34358"/>
    <w:rsid w:val="00B3571F"/>
    <w:rsid w:val="00B3615A"/>
    <w:rsid w:val="00B36C22"/>
    <w:rsid w:val="00B37D26"/>
    <w:rsid w:val="00B400BC"/>
    <w:rsid w:val="00B401F7"/>
    <w:rsid w:val="00B40B74"/>
    <w:rsid w:val="00B40CCE"/>
    <w:rsid w:val="00B41FBC"/>
    <w:rsid w:val="00B423D1"/>
    <w:rsid w:val="00B42E3E"/>
    <w:rsid w:val="00B436BE"/>
    <w:rsid w:val="00B43989"/>
    <w:rsid w:val="00B43A2E"/>
    <w:rsid w:val="00B440FB"/>
    <w:rsid w:val="00B447D4"/>
    <w:rsid w:val="00B45903"/>
    <w:rsid w:val="00B4666E"/>
    <w:rsid w:val="00B4798B"/>
    <w:rsid w:val="00B512B8"/>
    <w:rsid w:val="00B5233D"/>
    <w:rsid w:val="00B52E5C"/>
    <w:rsid w:val="00B53810"/>
    <w:rsid w:val="00B53D23"/>
    <w:rsid w:val="00B55963"/>
    <w:rsid w:val="00B60353"/>
    <w:rsid w:val="00B60450"/>
    <w:rsid w:val="00B60BD1"/>
    <w:rsid w:val="00B615C9"/>
    <w:rsid w:val="00B62359"/>
    <w:rsid w:val="00B63CB3"/>
    <w:rsid w:val="00B63E44"/>
    <w:rsid w:val="00B64384"/>
    <w:rsid w:val="00B64619"/>
    <w:rsid w:val="00B65C96"/>
    <w:rsid w:val="00B6752D"/>
    <w:rsid w:val="00B6754F"/>
    <w:rsid w:val="00B67FAD"/>
    <w:rsid w:val="00B7188C"/>
    <w:rsid w:val="00B72382"/>
    <w:rsid w:val="00B72680"/>
    <w:rsid w:val="00B73F64"/>
    <w:rsid w:val="00B7482A"/>
    <w:rsid w:val="00B74863"/>
    <w:rsid w:val="00B76809"/>
    <w:rsid w:val="00B76B97"/>
    <w:rsid w:val="00B80FCB"/>
    <w:rsid w:val="00B81DBA"/>
    <w:rsid w:val="00B82172"/>
    <w:rsid w:val="00B82DDF"/>
    <w:rsid w:val="00B85DB1"/>
    <w:rsid w:val="00B86A6C"/>
    <w:rsid w:val="00B872CA"/>
    <w:rsid w:val="00B90FA1"/>
    <w:rsid w:val="00B91BB6"/>
    <w:rsid w:val="00B91E89"/>
    <w:rsid w:val="00B91EE1"/>
    <w:rsid w:val="00B942CB"/>
    <w:rsid w:val="00B94A49"/>
    <w:rsid w:val="00B96370"/>
    <w:rsid w:val="00B9658E"/>
    <w:rsid w:val="00B96659"/>
    <w:rsid w:val="00B96A37"/>
    <w:rsid w:val="00BA06C4"/>
    <w:rsid w:val="00BA1171"/>
    <w:rsid w:val="00BA16DB"/>
    <w:rsid w:val="00BA32B0"/>
    <w:rsid w:val="00BA3F5A"/>
    <w:rsid w:val="00BA49CD"/>
    <w:rsid w:val="00BA4DF6"/>
    <w:rsid w:val="00BA72E7"/>
    <w:rsid w:val="00BA77AC"/>
    <w:rsid w:val="00BA7AC9"/>
    <w:rsid w:val="00BB17D0"/>
    <w:rsid w:val="00BB1BAB"/>
    <w:rsid w:val="00BB1E0C"/>
    <w:rsid w:val="00BB2D5E"/>
    <w:rsid w:val="00BB3D2A"/>
    <w:rsid w:val="00BB3D6E"/>
    <w:rsid w:val="00BB4C89"/>
    <w:rsid w:val="00BB56A7"/>
    <w:rsid w:val="00BB7ADB"/>
    <w:rsid w:val="00BC0847"/>
    <w:rsid w:val="00BC15C3"/>
    <w:rsid w:val="00BC2E25"/>
    <w:rsid w:val="00BC3251"/>
    <w:rsid w:val="00BC3B46"/>
    <w:rsid w:val="00BC3FF7"/>
    <w:rsid w:val="00BC4BEF"/>
    <w:rsid w:val="00BC4C21"/>
    <w:rsid w:val="00BC5473"/>
    <w:rsid w:val="00BC5D3C"/>
    <w:rsid w:val="00BC679F"/>
    <w:rsid w:val="00BC6957"/>
    <w:rsid w:val="00BC7D61"/>
    <w:rsid w:val="00BD0BD0"/>
    <w:rsid w:val="00BD0CF9"/>
    <w:rsid w:val="00BD0D13"/>
    <w:rsid w:val="00BD0E1B"/>
    <w:rsid w:val="00BD0F96"/>
    <w:rsid w:val="00BD21D5"/>
    <w:rsid w:val="00BD2250"/>
    <w:rsid w:val="00BD2457"/>
    <w:rsid w:val="00BD2868"/>
    <w:rsid w:val="00BD3944"/>
    <w:rsid w:val="00BD3EC0"/>
    <w:rsid w:val="00BD5371"/>
    <w:rsid w:val="00BD544F"/>
    <w:rsid w:val="00BD6CF8"/>
    <w:rsid w:val="00BD6DB3"/>
    <w:rsid w:val="00BE1995"/>
    <w:rsid w:val="00BE2AA6"/>
    <w:rsid w:val="00BE2D17"/>
    <w:rsid w:val="00BE6960"/>
    <w:rsid w:val="00BE6F33"/>
    <w:rsid w:val="00BE728D"/>
    <w:rsid w:val="00BE7DC3"/>
    <w:rsid w:val="00BF0433"/>
    <w:rsid w:val="00BF0C1F"/>
    <w:rsid w:val="00BF2926"/>
    <w:rsid w:val="00BF4C04"/>
    <w:rsid w:val="00BF545F"/>
    <w:rsid w:val="00BF5F8E"/>
    <w:rsid w:val="00C00907"/>
    <w:rsid w:val="00C0092E"/>
    <w:rsid w:val="00C01656"/>
    <w:rsid w:val="00C0168F"/>
    <w:rsid w:val="00C019AA"/>
    <w:rsid w:val="00C01E54"/>
    <w:rsid w:val="00C0219A"/>
    <w:rsid w:val="00C0243A"/>
    <w:rsid w:val="00C03355"/>
    <w:rsid w:val="00C044E4"/>
    <w:rsid w:val="00C04704"/>
    <w:rsid w:val="00C05AC0"/>
    <w:rsid w:val="00C0752D"/>
    <w:rsid w:val="00C077F2"/>
    <w:rsid w:val="00C117E7"/>
    <w:rsid w:val="00C14DB9"/>
    <w:rsid w:val="00C154DC"/>
    <w:rsid w:val="00C157EB"/>
    <w:rsid w:val="00C15973"/>
    <w:rsid w:val="00C16107"/>
    <w:rsid w:val="00C165FF"/>
    <w:rsid w:val="00C1686F"/>
    <w:rsid w:val="00C17607"/>
    <w:rsid w:val="00C211E1"/>
    <w:rsid w:val="00C22DB4"/>
    <w:rsid w:val="00C23B8C"/>
    <w:rsid w:val="00C24092"/>
    <w:rsid w:val="00C240B1"/>
    <w:rsid w:val="00C24A3C"/>
    <w:rsid w:val="00C265B5"/>
    <w:rsid w:val="00C27E39"/>
    <w:rsid w:val="00C33F56"/>
    <w:rsid w:val="00C341BD"/>
    <w:rsid w:val="00C346FD"/>
    <w:rsid w:val="00C34F01"/>
    <w:rsid w:val="00C35494"/>
    <w:rsid w:val="00C3682D"/>
    <w:rsid w:val="00C36D5B"/>
    <w:rsid w:val="00C37691"/>
    <w:rsid w:val="00C3776D"/>
    <w:rsid w:val="00C40520"/>
    <w:rsid w:val="00C41519"/>
    <w:rsid w:val="00C439D4"/>
    <w:rsid w:val="00C445FE"/>
    <w:rsid w:val="00C453F4"/>
    <w:rsid w:val="00C4563A"/>
    <w:rsid w:val="00C45F36"/>
    <w:rsid w:val="00C46D06"/>
    <w:rsid w:val="00C506CA"/>
    <w:rsid w:val="00C516B8"/>
    <w:rsid w:val="00C52471"/>
    <w:rsid w:val="00C526E1"/>
    <w:rsid w:val="00C52B96"/>
    <w:rsid w:val="00C52EF9"/>
    <w:rsid w:val="00C52F5B"/>
    <w:rsid w:val="00C5309B"/>
    <w:rsid w:val="00C543F1"/>
    <w:rsid w:val="00C55457"/>
    <w:rsid w:val="00C554F3"/>
    <w:rsid w:val="00C55CAB"/>
    <w:rsid w:val="00C563E1"/>
    <w:rsid w:val="00C57D34"/>
    <w:rsid w:val="00C61AFC"/>
    <w:rsid w:val="00C62D03"/>
    <w:rsid w:val="00C62E18"/>
    <w:rsid w:val="00C6344F"/>
    <w:rsid w:val="00C63589"/>
    <w:rsid w:val="00C638A6"/>
    <w:rsid w:val="00C64E29"/>
    <w:rsid w:val="00C65C26"/>
    <w:rsid w:val="00C66593"/>
    <w:rsid w:val="00C667B1"/>
    <w:rsid w:val="00C6725E"/>
    <w:rsid w:val="00C7128D"/>
    <w:rsid w:val="00C71825"/>
    <w:rsid w:val="00C728C8"/>
    <w:rsid w:val="00C732BA"/>
    <w:rsid w:val="00C739F6"/>
    <w:rsid w:val="00C73D56"/>
    <w:rsid w:val="00C74934"/>
    <w:rsid w:val="00C75717"/>
    <w:rsid w:val="00C758D7"/>
    <w:rsid w:val="00C76D2A"/>
    <w:rsid w:val="00C776CB"/>
    <w:rsid w:val="00C80781"/>
    <w:rsid w:val="00C81191"/>
    <w:rsid w:val="00C8179D"/>
    <w:rsid w:val="00C82733"/>
    <w:rsid w:val="00C831C0"/>
    <w:rsid w:val="00C839E1"/>
    <w:rsid w:val="00C83DB2"/>
    <w:rsid w:val="00C83E54"/>
    <w:rsid w:val="00C84F88"/>
    <w:rsid w:val="00C855CF"/>
    <w:rsid w:val="00C85DBA"/>
    <w:rsid w:val="00C87266"/>
    <w:rsid w:val="00C906BF"/>
    <w:rsid w:val="00C91DC4"/>
    <w:rsid w:val="00C91E61"/>
    <w:rsid w:val="00C945EE"/>
    <w:rsid w:val="00C94A08"/>
    <w:rsid w:val="00C94F1B"/>
    <w:rsid w:val="00C955A6"/>
    <w:rsid w:val="00C95FF2"/>
    <w:rsid w:val="00C96795"/>
    <w:rsid w:val="00C97140"/>
    <w:rsid w:val="00C9733C"/>
    <w:rsid w:val="00C97420"/>
    <w:rsid w:val="00C975EA"/>
    <w:rsid w:val="00CA246F"/>
    <w:rsid w:val="00CA3382"/>
    <w:rsid w:val="00CA4264"/>
    <w:rsid w:val="00CA434D"/>
    <w:rsid w:val="00CA4473"/>
    <w:rsid w:val="00CA4B4F"/>
    <w:rsid w:val="00CA5761"/>
    <w:rsid w:val="00CA78D4"/>
    <w:rsid w:val="00CA7C36"/>
    <w:rsid w:val="00CA7C7E"/>
    <w:rsid w:val="00CB0C4E"/>
    <w:rsid w:val="00CB0CF2"/>
    <w:rsid w:val="00CB1A8C"/>
    <w:rsid w:val="00CB29DB"/>
    <w:rsid w:val="00CB3C38"/>
    <w:rsid w:val="00CB4071"/>
    <w:rsid w:val="00CB5708"/>
    <w:rsid w:val="00CB5DA3"/>
    <w:rsid w:val="00CB6919"/>
    <w:rsid w:val="00CB7116"/>
    <w:rsid w:val="00CC0161"/>
    <w:rsid w:val="00CC0190"/>
    <w:rsid w:val="00CC4D2A"/>
    <w:rsid w:val="00CC58A8"/>
    <w:rsid w:val="00CC7AC0"/>
    <w:rsid w:val="00CD0B25"/>
    <w:rsid w:val="00CD0D9E"/>
    <w:rsid w:val="00CD3180"/>
    <w:rsid w:val="00CD4E2F"/>
    <w:rsid w:val="00CD519F"/>
    <w:rsid w:val="00CD5403"/>
    <w:rsid w:val="00CD7898"/>
    <w:rsid w:val="00CD7B81"/>
    <w:rsid w:val="00CE118A"/>
    <w:rsid w:val="00CE1D1C"/>
    <w:rsid w:val="00CE2223"/>
    <w:rsid w:val="00CE3076"/>
    <w:rsid w:val="00CE3382"/>
    <w:rsid w:val="00CE4695"/>
    <w:rsid w:val="00CE49B2"/>
    <w:rsid w:val="00CE4FE8"/>
    <w:rsid w:val="00CE6451"/>
    <w:rsid w:val="00CE64FE"/>
    <w:rsid w:val="00CE75B6"/>
    <w:rsid w:val="00CE768B"/>
    <w:rsid w:val="00CE795C"/>
    <w:rsid w:val="00CF053C"/>
    <w:rsid w:val="00CF0A8B"/>
    <w:rsid w:val="00CF3FF6"/>
    <w:rsid w:val="00CF476C"/>
    <w:rsid w:val="00CF4F70"/>
    <w:rsid w:val="00CF5CB8"/>
    <w:rsid w:val="00CF7A32"/>
    <w:rsid w:val="00D00464"/>
    <w:rsid w:val="00D0112A"/>
    <w:rsid w:val="00D012B3"/>
    <w:rsid w:val="00D023DD"/>
    <w:rsid w:val="00D029E1"/>
    <w:rsid w:val="00D03E70"/>
    <w:rsid w:val="00D04572"/>
    <w:rsid w:val="00D053A9"/>
    <w:rsid w:val="00D05A16"/>
    <w:rsid w:val="00D05EB7"/>
    <w:rsid w:val="00D0624B"/>
    <w:rsid w:val="00D06F31"/>
    <w:rsid w:val="00D06F40"/>
    <w:rsid w:val="00D116E2"/>
    <w:rsid w:val="00D123C6"/>
    <w:rsid w:val="00D12419"/>
    <w:rsid w:val="00D143C8"/>
    <w:rsid w:val="00D1465A"/>
    <w:rsid w:val="00D1483C"/>
    <w:rsid w:val="00D157CD"/>
    <w:rsid w:val="00D16934"/>
    <w:rsid w:val="00D171AF"/>
    <w:rsid w:val="00D172A8"/>
    <w:rsid w:val="00D1777B"/>
    <w:rsid w:val="00D17C55"/>
    <w:rsid w:val="00D219E9"/>
    <w:rsid w:val="00D21B38"/>
    <w:rsid w:val="00D22008"/>
    <w:rsid w:val="00D22917"/>
    <w:rsid w:val="00D22A69"/>
    <w:rsid w:val="00D22F65"/>
    <w:rsid w:val="00D2582E"/>
    <w:rsid w:val="00D25853"/>
    <w:rsid w:val="00D258AF"/>
    <w:rsid w:val="00D258D3"/>
    <w:rsid w:val="00D26561"/>
    <w:rsid w:val="00D267C3"/>
    <w:rsid w:val="00D27600"/>
    <w:rsid w:val="00D32391"/>
    <w:rsid w:val="00D329FD"/>
    <w:rsid w:val="00D342F8"/>
    <w:rsid w:val="00D351F4"/>
    <w:rsid w:val="00D35445"/>
    <w:rsid w:val="00D35B36"/>
    <w:rsid w:val="00D367A8"/>
    <w:rsid w:val="00D369EB"/>
    <w:rsid w:val="00D4072C"/>
    <w:rsid w:val="00D40C76"/>
    <w:rsid w:val="00D40F16"/>
    <w:rsid w:val="00D411A0"/>
    <w:rsid w:val="00D41636"/>
    <w:rsid w:val="00D41B8D"/>
    <w:rsid w:val="00D43533"/>
    <w:rsid w:val="00D47020"/>
    <w:rsid w:val="00D47AB2"/>
    <w:rsid w:val="00D514D2"/>
    <w:rsid w:val="00D515A4"/>
    <w:rsid w:val="00D51D2F"/>
    <w:rsid w:val="00D52974"/>
    <w:rsid w:val="00D52E4F"/>
    <w:rsid w:val="00D54DA0"/>
    <w:rsid w:val="00D54F13"/>
    <w:rsid w:val="00D55ED2"/>
    <w:rsid w:val="00D604AB"/>
    <w:rsid w:val="00D60870"/>
    <w:rsid w:val="00D6096D"/>
    <w:rsid w:val="00D645E8"/>
    <w:rsid w:val="00D64ADF"/>
    <w:rsid w:val="00D64BEE"/>
    <w:rsid w:val="00D64CFA"/>
    <w:rsid w:val="00D6618F"/>
    <w:rsid w:val="00D66F86"/>
    <w:rsid w:val="00D67304"/>
    <w:rsid w:val="00D67998"/>
    <w:rsid w:val="00D67B9B"/>
    <w:rsid w:val="00D7066F"/>
    <w:rsid w:val="00D70BE2"/>
    <w:rsid w:val="00D71FC4"/>
    <w:rsid w:val="00D7224A"/>
    <w:rsid w:val="00D72E89"/>
    <w:rsid w:val="00D734C6"/>
    <w:rsid w:val="00D7390C"/>
    <w:rsid w:val="00D74470"/>
    <w:rsid w:val="00D7569D"/>
    <w:rsid w:val="00D75D1C"/>
    <w:rsid w:val="00D772C9"/>
    <w:rsid w:val="00D772ED"/>
    <w:rsid w:val="00D77D7C"/>
    <w:rsid w:val="00D77F8F"/>
    <w:rsid w:val="00D800C5"/>
    <w:rsid w:val="00D801ED"/>
    <w:rsid w:val="00D805E8"/>
    <w:rsid w:val="00D81FAA"/>
    <w:rsid w:val="00D84D30"/>
    <w:rsid w:val="00D84F06"/>
    <w:rsid w:val="00D85002"/>
    <w:rsid w:val="00D85CE6"/>
    <w:rsid w:val="00D8602D"/>
    <w:rsid w:val="00D86EEA"/>
    <w:rsid w:val="00D86F73"/>
    <w:rsid w:val="00D86F8F"/>
    <w:rsid w:val="00D90435"/>
    <w:rsid w:val="00D90499"/>
    <w:rsid w:val="00D90BE8"/>
    <w:rsid w:val="00D91653"/>
    <w:rsid w:val="00D91992"/>
    <w:rsid w:val="00D92235"/>
    <w:rsid w:val="00D92529"/>
    <w:rsid w:val="00D9254A"/>
    <w:rsid w:val="00D937B8"/>
    <w:rsid w:val="00D956EB"/>
    <w:rsid w:val="00D95941"/>
    <w:rsid w:val="00D973BA"/>
    <w:rsid w:val="00D97CFE"/>
    <w:rsid w:val="00DA06F0"/>
    <w:rsid w:val="00DA1BCD"/>
    <w:rsid w:val="00DA20AD"/>
    <w:rsid w:val="00DA22F3"/>
    <w:rsid w:val="00DA2EDF"/>
    <w:rsid w:val="00DA3541"/>
    <w:rsid w:val="00DA3EAD"/>
    <w:rsid w:val="00DA4CB5"/>
    <w:rsid w:val="00DA752B"/>
    <w:rsid w:val="00DB0455"/>
    <w:rsid w:val="00DB066C"/>
    <w:rsid w:val="00DB1ADD"/>
    <w:rsid w:val="00DB3421"/>
    <w:rsid w:val="00DB4F56"/>
    <w:rsid w:val="00DB59EA"/>
    <w:rsid w:val="00DB60B2"/>
    <w:rsid w:val="00DB67AB"/>
    <w:rsid w:val="00DB6C1C"/>
    <w:rsid w:val="00DB7EB0"/>
    <w:rsid w:val="00DC1DCE"/>
    <w:rsid w:val="00DC2F25"/>
    <w:rsid w:val="00DC40BE"/>
    <w:rsid w:val="00DC4D7D"/>
    <w:rsid w:val="00DC506F"/>
    <w:rsid w:val="00DC543F"/>
    <w:rsid w:val="00DC57CA"/>
    <w:rsid w:val="00DC5D9D"/>
    <w:rsid w:val="00DC6FF7"/>
    <w:rsid w:val="00DD0AB7"/>
    <w:rsid w:val="00DD0D76"/>
    <w:rsid w:val="00DD1D58"/>
    <w:rsid w:val="00DD1FC6"/>
    <w:rsid w:val="00DD2596"/>
    <w:rsid w:val="00DD32C5"/>
    <w:rsid w:val="00DD5599"/>
    <w:rsid w:val="00DD6BE4"/>
    <w:rsid w:val="00DD72CE"/>
    <w:rsid w:val="00DD7AD6"/>
    <w:rsid w:val="00DD7FBF"/>
    <w:rsid w:val="00DE0539"/>
    <w:rsid w:val="00DE1F17"/>
    <w:rsid w:val="00DE26E6"/>
    <w:rsid w:val="00DE28DD"/>
    <w:rsid w:val="00DE2E01"/>
    <w:rsid w:val="00DE2E16"/>
    <w:rsid w:val="00DE31B4"/>
    <w:rsid w:val="00DE3D6D"/>
    <w:rsid w:val="00DE42A1"/>
    <w:rsid w:val="00DE4DCB"/>
    <w:rsid w:val="00DE5825"/>
    <w:rsid w:val="00DE5F5D"/>
    <w:rsid w:val="00DE6C47"/>
    <w:rsid w:val="00DE6FA0"/>
    <w:rsid w:val="00DF0CAC"/>
    <w:rsid w:val="00DF11FC"/>
    <w:rsid w:val="00DF19BE"/>
    <w:rsid w:val="00DF2921"/>
    <w:rsid w:val="00DF3387"/>
    <w:rsid w:val="00DF375C"/>
    <w:rsid w:val="00DF3DCF"/>
    <w:rsid w:val="00DF41E5"/>
    <w:rsid w:val="00DF4E4D"/>
    <w:rsid w:val="00DF524A"/>
    <w:rsid w:val="00DF6982"/>
    <w:rsid w:val="00DF74E5"/>
    <w:rsid w:val="00DF74E7"/>
    <w:rsid w:val="00DF770F"/>
    <w:rsid w:val="00E0018D"/>
    <w:rsid w:val="00E00ADD"/>
    <w:rsid w:val="00E03D4D"/>
    <w:rsid w:val="00E03EA6"/>
    <w:rsid w:val="00E03FE7"/>
    <w:rsid w:val="00E04026"/>
    <w:rsid w:val="00E04B6F"/>
    <w:rsid w:val="00E04C06"/>
    <w:rsid w:val="00E04D91"/>
    <w:rsid w:val="00E05CB2"/>
    <w:rsid w:val="00E05E1F"/>
    <w:rsid w:val="00E06130"/>
    <w:rsid w:val="00E061FD"/>
    <w:rsid w:val="00E06343"/>
    <w:rsid w:val="00E066D7"/>
    <w:rsid w:val="00E075E5"/>
    <w:rsid w:val="00E07C82"/>
    <w:rsid w:val="00E11FBB"/>
    <w:rsid w:val="00E13035"/>
    <w:rsid w:val="00E15B3F"/>
    <w:rsid w:val="00E16F37"/>
    <w:rsid w:val="00E173A1"/>
    <w:rsid w:val="00E17B7B"/>
    <w:rsid w:val="00E17F5F"/>
    <w:rsid w:val="00E20443"/>
    <w:rsid w:val="00E20A13"/>
    <w:rsid w:val="00E21C9E"/>
    <w:rsid w:val="00E2398D"/>
    <w:rsid w:val="00E274F2"/>
    <w:rsid w:val="00E2750A"/>
    <w:rsid w:val="00E300BB"/>
    <w:rsid w:val="00E30236"/>
    <w:rsid w:val="00E316CE"/>
    <w:rsid w:val="00E32B75"/>
    <w:rsid w:val="00E32D7E"/>
    <w:rsid w:val="00E33367"/>
    <w:rsid w:val="00E333DC"/>
    <w:rsid w:val="00E3347D"/>
    <w:rsid w:val="00E351BA"/>
    <w:rsid w:val="00E353DC"/>
    <w:rsid w:val="00E3555D"/>
    <w:rsid w:val="00E35872"/>
    <w:rsid w:val="00E35E79"/>
    <w:rsid w:val="00E36035"/>
    <w:rsid w:val="00E36893"/>
    <w:rsid w:val="00E375FB"/>
    <w:rsid w:val="00E375FD"/>
    <w:rsid w:val="00E37D01"/>
    <w:rsid w:val="00E40191"/>
    <w:rsid w:val="00E401B5"/>
    <w:rsid w:val="00E40C50"/>
    <w:rsid w:val="00E413DA"/>
    <w:rsid w:val="00E418B0"/>
    <w:rsid w:val="00E41E1E"/>
    <w:rsid w:val="00E44324"/>
    <w:rsid w:val="00E44EF6"/>
    <w:rsid w:val="00E4587C"/>
    <w:rsid w:val="00E47255"/>
    <w:rsid w:val="00E478B2"/>
    <w:rsid w:val="00E47B6F"/>
    <w:rsid w:val="00E52690"/>
    <w:rsid w:val="00E52FBD"/>
    <w:rsid w:val="00E54896"/>
    <w:rsid w:val="00E54CF0"/>
    <w:rsid w:val="00E55E47"/>
    <w:rsid w:val="00E5615F"/>
    <w:rsid w:val="00E570C4"/>
    <w:rsid w:val="00E60111"/>
    <w:rsid w:val="00E60B8B"/>
    <w:rsid w:val="00E62110"/>
    <w:rsid w:val="00E624CB"/>
    <w:rsid w:val="00E625F4"/>
    <w:rsid w:val="00E635F7"/>
    <w:rsid w:val="00E63DCB"/>
    <w:rsid w:val="00E6437B"/>
    <w:rsid w:val="00E646C8"/>
    <w:rsid w:val="00E64906"/>
    <w:rsid w:val="00E64A35"/>
    <w:rsid w:val="00E65344"/>
    <w:rsid w:val="00E65EB8"/>
    <w:rsid w:val="00E66100"/>
    <w:rsid w:val="00E66860"/>
    <w:rsid w:val="00E66AFB"/>
    <w:rsid w:val="00E702AA"/>
    <w:rsid w:val="00E708A1"/>
    <w:rsid w:val="00E71EEB"/>
    <w:rsid w:val="00E72166"/>
    <w:rsid w:val="00E72A6C"/>
    <w:rsid w:val="00E7371C"/>
    <w:rsid w:val="00E73A66"/>
    <w:rsid w:val="00E73CD3"/>
    <w:rsid w:val="00E7504A"/>
    <w:rsid w:val="00E770A1"/>
    <w:rsid w:val="00E77387"/>
    <w:rsid w:val="00E80CD9"/>
    <w:rsid w:val="00E82EA1"/>
    <w:rsid w:val="00E83110"/>
    <w:rsid w:val="00E8370A"/>
    <w:rsid w:val="00E837FF"/>
    <w:rsid w:val="00E845DE"/>
    <w:rsid w:val="00E84FA6"/>
    <w:rsid w:val="00E85425"/>
    <w:rsid w:val="00E85CB5"/>
    <w:rsid w:val="00E93424"/>
    <w:rsid w:val="00E94227"/>
    <w:rsid w:val="00E95997"/>
    <w:rsid w:val="00E9618C"/>
    <w:rsid w:val="00E9658F"/>
    <w:rsid w:val="00EA1A8A"/>
    <w:rsid w:val="00EA215A"/>
    <w:rsid w:val="00EA3B6E"/>
    <w:rsid w:val="00EA4AF0"/>
    <w:rsid w:val="00EA5571"/>
    <w:rsid w:val="00EA600C"/>
    <w:rsid w:val="00EA7056"/>
    <w:rsid w:val="00EA74A5"/>
    <w:rsid w:val="00EB0134"/>
    <w:rsid w:val="00EB0ADC"/>
    <w:rsid w:val="00EB126D"/>
    <w:rsid w:val="00EB16EB"/>
    <w:rsid w:val="00EB186A"/>
    <w:rsid w:val="00EB1D44"/>
    <w:rsid w:val="00EB1EB1"/>
    <w:rsid w:val="00EB25EC"/>
    <w:rsid w:val="00EB2CA4"/>
    <w:rsid w:val="00EB37BD"/>
    <w:rsid w:val="00EB391A"/>
    <w:rsid w:val="00EB55F3"/>
    <w:rsid w:val="00EB57AA"/>
    <w:rsid w:val="00EB5D71"/>
    <w:rsid w:val="00EB62ED"/>
    <w:rsid w:val="00EC0AB9"/>
    <w:rsid w:val="00EC1436"/>
    <w:rsid w:val="00EC149E"/>
    <w:rsid w:val="00EC1627"/>
    <w:rsid w:val="00EC1EA0"/>
    <w:rsid w:val="00EC1ECB"/>
    <w:rsid w:val="00EC2348"/>
    <w:rsid w:val="00EC2979"/>
    <w:rsid w:val="00EC3277"/>
    <w:rsid w:val="00EC36CA"/>
    <w:rsid w:val="00EC464A"/>
    <w:rsid w:val="00EC4FBF"/>
    <w:rsid w:val="00EC5698"/>
    <w:rsid w:val="00EC57B5"/>
    <w:rsid w:val="00EC590A"/>
    <w:rsid w:val="00EC6074"/>
    <w:rsid w:val="00ED171A"/>
    <w:rsid w:val="00ED1DD6"/>
    <w:rsid w:val="00ED2065"/>
    <w:rsid w:val="00ED3897"/>
    <w:rsid w:val="00ED6A44"/>
    <w:rsid w:val="00ED7493"/>
    <w:rsid w:val="00EE1673"/>
    <w:rsid w:val="00EE2287"/>
    <w:rsid w:val="00EE257C"/>
    <w:rsid w:val="00EE392F"/>
    <w:rsid w:val="00EE3B79"/>
    <w:rsid w:val="00EE407F"/>
    <w:rsid w:val="00EE4E20"/>
    <w:rsid w:val="00EE56B0"/>
    <w:rsid w:val="00EF034E"/>
    <w:rsid w:val="00EF0CC6"/>
    <w:rsid w:val="00EF1658"/>
    <w:rsid w:val="00EF1E08"/>
    <w:rsid w:val="00EF2B99"/>
    <w:rsid w:val="00EF2CCF"/>
    <w:rsid w:val="00EF38EB"/>
    <w:rsid w:val="00EF466E"/>
    <w:rsid w:val="00EF47AA"/>
    <w:rsid w:val="00EF48A5"/>
    <w:rsid w:val="00EF5C99"/>
    <w:rsid w:val="00EF68D2"/>
    <w:rsid w:val="00EF6BCC"/>
    <w:rsid w:val="00EF7BD4"/>
    <w:rsid w:val="00F002BA"/>
    <w:rsid w:val="00F004D0"/>
    <w:rsid w:val="00F00C7F"/>
    <w:rsid w:val="00F01D96"/>
    <w:rsid w:val="00F041F1"/>
    <w:rsid w:val="00F04AFC"/>
    <w:rsid w:val="00F04D59"/>
    <w:rsid w:val="00F061E9"/>
    <w:rsid w:val="00F06527"/>
    <w:rsid w:val="00F06C8E"/>
    <w:rsid w:val="00F1008B"/>
    <w:rsid w:val="00F10182"/>
    <w:rsid w:val="00F1022D"/>
    <w:rsid w:val="00F11AC9"/>
    <w:rsid w:val="00F1280A"/>
    <w:rsid w:val="00F12881"/>
    <w:rsid w:val="00F138F9"/>
    <w:rsid w:val="00F14E42"/>
    <w:rsid w:val="00F16DF0"/>
    <w:rsid w:val="00F17C6F"/>
    <w:rsid w:val="00F21460"/>
    <w:rsid w:val="00F22DAB"/>
    <w:rsid w:val="00F2369E"/>
    <w:rsid w:val="00F24138"/>
    <w:rsid w:val="00F24B86"/>
    <w:rsid w:val="00F25180"/>
    <w:rsid w:val="00F25316"/>
    <w:rsid w:val="00F2544C"/>
    <w:rsid w:val="00F264A6"/>
    <w:rsid w:val="00F274D7"/>
    <w:rsid w:val="00F30504"/>
    <w:rsid w:val="00F3278F"/>
    <w:rsid w:val="00F32BE0"/>
    <w:rsid w:val="00F32D06"/>
    <w:rsid w:val="00F339FC"/>
    <w:rsid w:val="00F3407D"/>
    <w:rsid w:val="00F3433D"/>
    <w:rsid w:val="00F3636F"/>
    <w:rsid w:val="00F36B6B"/>
    <w:rsid w:val="00F37A19"/>
    <w:rsid w:val="00F40372"/>
    <w:rsid w:val="00F40889"/>
    <w:rsid w:val="00F411E9"/>
    <w:rsid w:val="00F417C1"/>
    <w:rsid w:val="00F41A35"/>
    <w:rsid w:val="00F41BAE"/>
    <w:rsid w:val="00F441E7"/>
    <w:rsid w:val="00F44A78"/>
    <w:rsid w:val="00F44CD6"/>
    <w:rsid w:val="00F44E2D"/>
    <w:rsid w:val="00F455E8"/>
    <w:rsid w:val="00F4663D"/>
    <w:rsid w:val="00F468F9"/>
    <w:rsid w:val="00F519D7"/>
    <w:rsid w:val="00F5294F"/>
    <w:rsid w:val="00F535DA"/>
    <w:rsid w:val="00F53737"/>
    <w:rsid w:val="00F55D7F"/>
    <w:rsid w:val="00F55E30"/>
    <w:rsid w:val="00F564B6"/>
    <w:rsid w:val="00F570B0"/>
    <w:rsid w:val="00F60197"/>
    <w:rsid w:val="00F60333"/>
    <w:rsid w:val="00F61D89"/>
    <w:rsid w:val="00F6244A"/>
    <w:rsid w:val="00F62FCA"/>
    <w:rsid w:val="00F63126"/>
    <w:rsid w:val="00F654EF"/>
    <w:rsid w:val="00F65F94"/>
    <w:rsid w:val="00F6654F"/>
    <w:rsid w:val="00F7026D"/>
    <w:rsid w:val="00F70571"/>
    <w:rsid w:val="00F709EE"/>
    <w:rsid w:val="00F70BD9"/>
    <w:rsid w:val="00F71BC9"/>
    <w:rsid w:val="00F74A27"/>
    <w:rsid w:val="00F7566C"/>
    <w:rsid w:val="00F75EF3"/>
    <w:rsid w:val="00F76014"/>
    <w:rsid w:val="00F77EA5"/>
    <w:rsid w:val="00F80770"/>
    <w:rsid w:val="00F8166E"/>
    <w:rsid w:val="00F829A4"/>
    <w:rsid w:val="00F83BC9"/>
    <w:rsid w:val="00F8598F"/>
    <w:rsid w:val="00F87229"/>
    <w:rsid w:val="00F87A91"/>
    <w:rsid w:val="00F87EC0"/>
    <w:rsid w:val="00F91198"/>
    <w:rsid w:val="00F9145C"/>
    <w:rsid w:val="00F91847"/>
    <w:rsid w:val="00F92E27"/>
    <w:rsid w:val="00F92E6C"/>
    <w:rsid w:val="00F93223"/>
    <w:rsid w:val="00F93AB6"/>
    <w:rsid w:val="00F94989"/>
    <w:rsid w:val="00F95DE7"/>
    <w:rsid w:val="00F96BFF"/>
    <w:rsid w:val="00F96E95"/>
    <w:rsid w:val="00F979DF"/>
    <w:rsid w:val="00FA0BCE"/>
    <w:rsid w:val="00FA17E0"/>
    <w:rsid w:val="00FA2467"/>
    <w:rsid w:val="00FA575D"/>
    <w:rsid w:val="00FA5CAD"/>
    <w:rsid w:val="00FA7219"/>
    <w:rsid w:val="00FA77D5"/>
    <w:rsid w:val="00FB087A"/>
    <w:rsid w:val="00FB08D4"/>
    <w:rsid w:val="00FB10CA"/>
    <w:rsid w:val="00FB117B"/>
    <w:rsid w:val="00FB24F7"/>
    <w:rsid w:val="00FB2D41"/>
    <w:rsid w:val="00FB2EEE"/>
    <w:rsid w:val="00FB4424"/>
    <w:rsid w:val="00FB521D"/>
    <w:rsid w:val="00FB58D5"/>
    <w:rsid w:val="00FB6DDC"/>
    <w:rsid w:val="00FB6E11"/>
    <w:rsid w:val="00FC0708"/>
    <w:rsid w:val="00FC2BD7"/>
    <w:rsid w:val="00FC2CD0"/>
    <w:rsid w:val="00FC39DE"/>
    <w:rsid w:val="00FC3A35"/>
    <w:rsid w:val="00FC44AD"/>
    <w:rsid w:val="00FC5ED5"/>
    <w:rsid w:val="00FC6402"/>
    <w:rsid w:val="00FC682E"/>
    <w:rsid w:val="00FD4102"/>
    <w:rsid w:val="00FD568D"/>
    <w:rsid w:val="00FD61E5"/>
    <w:rsid w:val="00FD6AC8"/>
    <w:rsid w:val="00FD70E4"/>
    <w:rsid w:val="00FD7156"/>
    <w:rsid w:val="00FE0043"/>
    <w:rsid w:val="00FE0660"/>
    <w:rsid w:val="00FE072B"/>
    <w:rsid w:val="00FE089B"/>
    <w:rsid w:val="00FE0F56"/>
    <w:rsid w:val="00FE12BF"/>
    <w:rsid w:val="00FE18CF"/>
    <w:rsid w:val="00FE255F"/>
    <w:rsid w:val="00FE2BEF"/>
    <w:rsid w:val="00FE367A"/>
    <w:rsid w:val="00FE6D4C"/>
    <w:rsid w:val="00FE6EB0"/>
    <w:rsid w:val="00FE7214"/>
    <w:rsid w:val="00FF1B37"/>
    <w:rsid w:val="00FF23DE"/>
    <w:rsid w:val="00FF2647"/>
    <w:rsid w:val="00FF35DE"/>
    <w:rsid w:val="00FF40C6"/>
    <w:rsid w:val="00FF42EC"/>
    <w:rsid w:val="00FF4489"/>
    <w:rsid w:val="00FF487F"/>
    <w:rsid w:val="00FF5F0B"/>
    <w:rsid w:val="00FF5FAB"/>
    <w:rsid w:val="00FF6870"/>
    <w:rsid w:val="00FF6B60"/>
    <w:rsid w:val="00FF6E55"/>
    <w:rsid w:val="00FF6EF0"/>
    <w:rsid w:val="00FF725F"/>
    <w:rsid w:val="00FF7266"/>
    <w:rsid w:val="021AD5F0"/>
    <w:rsid w:val="024C8D43"/>
    <w:rsid w:val="02B6EF0D"/>
    <w:rsid w:val="0348AB3B"/>
    <w:rsid w:val="03B11A5C"/>
    <w:rsid w:val="03E2D86E"/>
    <w:rsid w:val="04AB25A2"/>
    <w:rsid w:val="0619035A"/>
    <w:rsid w:val="067A9309"/>
    <w:rsid w:val="0744265F"/>
    <w:rsid w:val="07808254"/>
    <w:rsid w:val="08352599"/>
    <w:rsid w:val="08FF98C1"/>
    <w:rsid w:val="09530D39"/>
    <w:rsid w:val="0BA3E980"/>
    <w:rsid w:val="0DEFC250"/>
    <w:rsid w:val="0EE4F6AD"/>
    <w:rsid w:val="1059FDA1"/>
    <w:rsid w:val="107ED1C6"/>
    <w:rsid w:val="1110901D"/>
    <w:rsid w:val="1349858F"/>
    <w:rsid w:val="13D9625D"/>
    <w:rsid w:val="141A54B0"/>
    <w:rsid w:val="1560EFC1"/>
    <w:rsid w:val="170D2582"/>
    <w:rsid w:val="172743AB"/>
    <w:rsid w:val="1781AE56"/>
    <w:rsid w:val="178C3CA7"/>
    <w:rsid w:val="17D34349"/>
    <w:rsid w:val="18B85BFE"/>
    <w:rsid w:val="1957945F"/>
    <w:rsid w:val="1AEF4F7B"/>
    <w:rsid w:val="1B559BCF"/>
    <w:rsid w:val="1D0A938A"/>
    <w:rsid w:val="1DD06AC5"/>
    <w:rsid w:val="1EEF5B18"/>
    <w:rsid w:val="1FD28577"/>
    <w:rsid w:val="1FDF1B8B"/>
    <w:rsid w:val="20AB472D"/>
    <w:rsid w:val="20DC9CB1"/>
    <w:rsid w:val="2110866B"/>
    <w:rsid w:val="22746C2C"/>
    <w:rsid w:val="238A1381"/>
    <w:rsid w:val="23E0C3B2"/>
    <w:rsid w:val="2410479C"/>
    <w:rsid w:val="242A75A1"/>
    <w:rsid w:val="250F1DB9"/>
    <w:rsid w:val="2559FA33"/>
    <w:rsid w:val="26EE57B7"/>
    <w:rsid w:val="271B1B9D"/>
    <w:rsid w:val="28F616B7"/>
    <w:rsid w:val="290D760F"/>
    <w:rsid w:val="2A23BDA5"/>
    <w:rsid w:val="2A618B1C"/>
    <w:rsid w:val="2AB4A6AD"/>
    <w:rsid w:val="2AE51937"/>
    <w:rsid w:val="2DB1FA2F"/>
    <w:rsid w:val="343BE97D"/>
    <w:rsid w:val="362D6859"/>
    <w:rsid w:val="373CED2D"/>
    <w:rsid w:val="37E66F41"/>
    <w:rsid w:val="38F340C6"/>
    <w:rsid w:val="395368D8"/>
    <w:rsid w:val="3AA628DA"/>
    <w:rsid w:val="3AD497B4"/>
    <w:rsid w:val="3AF90611"/>
    <w:rsid w:val="3B93A77C"/>
    <w:rsid w:val="3BE7874A"/>
    <w:rsid w:val="3C7FA9F7"/>
    <w:rsid w:val="3CC514E3"/>
    <w:rsid w:val="3D2C2799"/>
    <w:rsid w:val="3D9F9E7B"/>
    <w:rsid w:val="3E644F96"/>
    <w:rsid w:val="3E82EC1A"/>
    <w:rsid w:val="3E92E876"/>
    <w:rsid w:val="3EA13EAC"/>
    <w:rsid w:val="3F1DF1F3"/>
    <w:rsid w:val="3F41E310"/>
    <w:rsid w:val="3F4A2B47"/>
    <w:rsid w:val="40E1D25F"/>
    <w:rsid w:val="41294AAB"/>
    <w:rsid w:val="4221DD7B"/>
    <w:rsid w:val="449A2528"/>
    <w:rsid w:val="44B8F05D"/>
    <w:rsid w:val="4B78E732"/>
    <w:rsid w:val="4B7EA74F"/>
    <w:rsid w:val="4BE89CE8"/>
    <w:rsid w:val="4D68DA1B"/>
    <w:rsid w:val="4DB53DA6"/>
    <w:rsid w:val="4DC42E88"/>
    <w:rsid w:val="4E7CDFE4"/>
    <w:rsid w:val="518182F5"/>
    <w:rsid w:val="51B61186"/>
    <w:rsid w:val="523C04B5"/>
    <w:rsid w:val="52837D8A"/>
    <w:rsid w:val="53187A83"/>
    <w:rsid w:val="555646FF"/>
    <w:rsid w:val="56BB3646"/>
    <w:rsid w:val="5742E09B"/>
    <w:rsid w:val="58358F6F"/>
    <w:rsid w:val="5835BAD5"/>
    <w:rsid w:val="5A769EEC"/>
    <w:rsid w:val="5C4DCA1A"/>
    <w:rsid w:val="5C945699"/>
    <w:rsid w:val="5DF6AEE6"/>
    <w:rsid w:val="5E4DD0B3"/>
    <w:rsid w:val="5EA77351"/>
    <w:rsid w:val="5ED874E0"/>
    <w:rsid w:val="60079979"/>
    <w:rsid w:val="602CBBB2"/>
    <w:rsid w:val="6208F432"/>
    <w:rsid w:val="6285A98C"/>
    <w:rsid w:val="6459D416"/>
    <w:rsid w:val="64B2AC88"/>
    <w:rsid w:val="64F3047E"/>
    <w:rsid w:val="669AA762"/>
    <w:rsid w:val="68528212"/>
    <w:rsid w:val="686DA326"/>
    <w:rsid w:val="6872FE1B"/>
    <w:rsid w:val="6AFF6F87"/>
    <w:rsid w:val="6CE761E1"/>
    <w:rsid w:val="6D802AF6"/>
    <w:rsid w:val="6D8395AF"/>
    <w:rsid w:val="6F813439"/>
    <w:rsid w:val="709643A2"/>
    <w:rsid w:val="711CA5BA"/>
    <w:rsid w:val="71ACBD45"/>
    <w:rsid w:val="71C2C18F"/>
    <w:rsid w:val="72B9C810"/>
    <w:rsid w:val="76FFC930"/>
    <w:rsid w:val="77D173DA"/>
    <w:rsid w:val="77DA8D58"/>
    <w:rsid w:val="78178C5B"/>
    <w:rsid w:val="79E64234"/>
    <w:rsid w:val="7A7E71CF"/>
    <w:rsid w:val="7BDFBC3C"/>
    <w:rsid w:val="7C40740C"/>
    <w:rsid w:val="7DA8F3C4"/>
    <w:rsid w:val="7E1E8D53"/>
    <w:rsid w:val="7EC7D362"/>
    <w:rsid w:val="7F2B8F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2E236B8"/>
  <w15:chartTrackingRefBased/>
  <w15:docId w15:val="{B84F0FF8-A4AA-4F1A-9A26-F91E6932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11"/>
    <w:rPr>
      <w:rFonts w:eastAsiaTheme="minorEastAsia"/>
      <w:lang w:eastAsia="ja-JP"/>
    </w:rPr>
  </w:style>
  <w:style w:type="paragraph" w:styleId="Heading1">
    <w:name w:val="heading 1"/>
    <w:aliases w:val="Heading 1 Cab,Schedule Heading"/>
    <w:basedOn w:val="Normal"/>
    <w:next w:val="Normal"/>
    <w:link w:val="Heading1Char"/>
    <w:uiPriority w:val="9"/>
    <w:qFormat/>
    <w:rsid w:val="009C291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4">
    <w:name w:val="heading 4"/>
    <w:basedOn w:val="Normal"/>
    <w:next w:val="Normal"/>
    <w:link w:val="Heading4Char"/>
    <w:uiPriority w:val="9"/>
    <w:semiHidden/>
    <w:unhideWhenUsed/>
    <w:qFormat/>
    <w:rsid w:val="007C00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Schedule Heading Char"/>
    <w:basedOn w:val="DefaultParagraphFont"/>
    <w:link w:val="Heading1"/>
    <w:uiPriority w:val="9"/>
    <w:rsid w:val="009C2911"/>
    <w:rPr>
      <w:rFonts w:asciiTheme="majorHAnsi" w:eastAsiaTheme="majorEastAsia" w:hAnsiTheme="majorHAnsi" w:cstheme="majorBidi"/>
      <w:color w:val="2F5496" w:themeColor="accent1" w:themeShade="BF"/>
      <w:sz w:val="32"/>
      <w:szCs w:val="32"/>
    </w:rPr>
  </w:style>
  <w:style w:type="paragraph" w:customStyle="1" w:styleId="ScheduleA">
    <w:name w:val="ScheduleA"/>
    <w:basedOn w:val="Normal"/>
    <w:next w:val="Normal"/>
    <w:qFormat/>
    <w:rsid w:val="009C2911"/>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9C2911"/>
    <w:rPr>
      <w:color w:val="0563C1" w:themeColor="hyperlink"/>
      <w:u w:val="single"/>
    </w:rPr>
  </w:style>
  <w:style w:type="paragraph" w:customStyle="1" w:styleId="ImplementationPlan1">
    <w:name w:val="Implementation Plan 1"/>
    <w:basedOn w:val="ListParagraph"/>
    <w:link w:val="ImplementationPlan1Char"/>
    <w:qFormat/>
    <w:rsid w:val="009C2911"/>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DefaultParagraphFont"/>
    <w:link w:val="ImplementationPlan1"/>
    <w:rsid w:val="009C2911"/>
    <w:rPr>
      <w:rFonts w:ascii="Corbel" w:eastAsia="Corbel" w:hAnsi="Corbel" w:cs="Corbel"/>
      <w:b/>
      <w:bCs/>
      <w:caps/>
      <w:color w:val="980033"/>
      <w:lang w:eastAsia="ja-JP"/>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9C2911"/>
    <w:pPr>
      <w:ind w:left="720"/>
      <w:contextualSpacing/>
    </w:pPr>
  </w:style>
  <w:style w:type="paragraph" w:styleId="FootnoteText">
    <w:name w:val="footnote text"/>
    <w:basedOn w:val="Normal"/>
    <w:link w:val="FootnoteTextChar"/>
    <w:uiPriority w:val="99"/>
    <w:semiHidden/>
    <w:unhideWhenUsed/>
    <w:rsid w:val="009C2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911"/>
    <w:rPr>
      <w:rFonts w:eastAsiaTheme="minorEastAsia"/>
      <w:sz w:val="20"/>
      <w:szCs w:val="20"/>
      <w:lang w:eastAsia="ja-JP"/>
    </w:rPr>
  </w:style>
  <w:style w:type="table" w:styleId="TableGrid">
    <w:name w:val="Table Grid"/>
    <w:basedOn w:val="TableNormal"/>
    <w:uiPriority w:val="39"/>
    <w:rsid w:val="009C291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C2911"/>
    <w:rPr>
      <w:rFonts w:eastAsiaTheme="minorEastAsia"/>
      <w:lang w:eastAsia="ja-JP"/>
    </w:rPr>
  </w:style>
  <w:style w:type="table" w:customStyle="1" w:styleId="TableGrid1">
    <w:name w:val="Table Grid1"/>
    <w:basedOn w:val="TableNormal"/>
    <w:next w:val="TableGrid"/>
    <w:uiPriority w:val="59"/>
    <w:rsid w:val="009C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C2911"/>
    <w:pPr>
      <w:numPr>
        <w:numId w:val="5"/>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9C2911"/>
    <w:rPr>
      <w:rFonts w:ascii="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9C2911"/>
    <w:rPr>
      <w:vertAlign w:val="superscript"/>
    </w:rPr>
  </w:style>
  <w:style w:type="paragraph" w:customStyle="1" w:styleId="SingleParagraph">
    <w:name w:val="Single Paragraph"/>
    <w:basedOn w:val="Normal"/>
    <w:rsid w:val="00B07B19"/>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B07B19"/>
    <w:rPr>
      <w:b/>
    </w:rPr>
  </w:style>
  <w:style w:type="paragraph" w:customStyle="1" w:styleId="Signed">
    <w:name w:val="Signed"/>
    <w:basedOn w:val="Normal"/>
    <w:rsid w:val="00B07B19"/>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B07B19"/>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B07B19"/>
    <w:rPr>
      <w:b/>
      <w:i/>
    </w:rPr>
  </w:style>
  <w:style w:type="paragraph" w:customStyle="1" w:styleId="LineForSignature">
    <w:name w:val="LineForSignature"/>
    <w:basedOn w:val="Normal"/>
    <w:rsid w:val="00B07B19"/>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character" w:styleId="CommentReference">
    <w:name w:val="annotation reference"/>
    <w:basedOn w:val="DefaultParagraphFont"/>
    <w:semiHidden/>
    <w:unhideWhenUsed/>
    <w:rsid w:val="009E4015"/>
    <w:rPr>
      <w:sz w:val="16"/>
      <w:szCs w:val="16"/>
    </w:rPr>
  </w:style>
  <w:style w:type="paragraph" w:styleId="CommentText">
    <w:name w:val="annotation text"/>
    <w:basedOn w:val="Normal"/>
    <w:link w:val="CommentTextChar"/>
    <w:unhideWhenUsed/>
    <w:rsid w:val="009E4015"/>
    <w:pPr>
      <w:spacing w:line="240" w:lineRule="auto"/>
    </w:pPr>
    <w:rPr>
      <w:sz w:val="20"/>
      <w:szCs w:val="20"/>
    </w:rPr>
  </w:style>
  <w:style w:type="character" w:customStyle="1" w:styleId="CommentTextChar">
    <w:name w:val="Comment Text Char"/>
    <w:basedOn w:val="DefaultParagraphFont"/>
    <w:link w:val="CommentText"/>
    <w:uiPriority w:val="99"/>
    <w:rsid w:val="009E4015"/>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E4015"/>
    <w:rPr>
      <w:b/>
      <w:bCs/>
    </w:rPr>
  </w:style>
  <w:style w:type="character" w:customStyle="1" w:styleId="CommentSubjectChar">
    <w:name w:val="Comment Subject Char"/>
    <w:basedOn w:val="CommentTextChar"/>
    <w:link w:val="CommentSubject"/>
    <w:uiPriority w:val="99"/>
    <w:semiHidden/>
    <w:rsid w:val="009E4015"/>
    <w:rPr>
      <w:rFonts w:eastAsiaTheme="minorEastAsia"/>
      <w:b/>
      <w:bCs/>
      <w:sz w:val="20"/>
      <w:szCs w:val="20"/>
      <w:lang w:eastAsia="ja-JP"/>
    </w:rPr>
  </w:style>
  <w:style w:type="paragraph" w:styleId="Header">
    <w:name w:val="header"/>
    <w:basedOn w:val="Normal"/>
    <w:link w:val="HeaderChar"/>
    <w:uiPriority w:val="99"/>
    <w:unhideWhenUsed/>
    <w:rsid w:val="0073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D9"/>
    <w:rPr>
      <w:rFonts w:eastAsiaTheme="minorEastAsia"/>
      <w:lang w:eastAsia="ja-JP"/>
    </w:rPr>
  </w:style>
  <w:style w:type="paragraph" w:styleId="Footer">
    <w:name w:val="footer"/>
    <w:basedOn w:val="Normal"/>
    <w:link w:val="FooterChar"/>
    <w:uiPriority w:val="99"/>
    <w:unhideWhenUsed/>
    <w:rsid w:val="0073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D9"/>
    <w:rPr>
      <w:rFonts w:eastAsiaTheme="minorEastAsia"/>
      <w:lang w:eastAsia="ja-JP"/>
    </w:rPr>
  </w:style>
  <w:style w:type="character" w:styleId="Strong">
    <w:name w:val="Strong"/>
    <w:basedOn w:val="DefaultParagraphFont"/>
    <w:uiPriority w:val="22"/>
    <w:qFormat/>
    <w:rsid w:val="00197396"/>
    <w:rPr>
      <w:b/>
      <w:bCs/>
    </w:rPr>
  </w:style>
  <w:style w:type="character" w:customStyle="1" w:styleId="Heading4Char">
    <w:name w:val="Heading 4 Char"/>
    <w:basedOn w:val="DefaultParagraphFont"/>
    <w:link w:val="Heading4"/>
    <w:uiPriority w:val="9"/>
    <w:semiHidden/>
    <w:rsid w:val="007C00BE"/>
    <w:rPr>
      <w:rFonts w:asciiTheme="majorHAnsi" w:eastAsiaTheme="majorEastAsia" w:hAnsiTheme="majorHAnsi" w:cstheme="majorBidi"/>
      <w:i/>
      <w:iCs/>
      <w:color w:val="2F5496" w:themeColor="accent1" w:themeShade="BF"/>
      <w:lang w:eastAsia="ja-JP"/>
    </w:rPr>
  </w:style>
  <w:style w:type="paragraph" w:styleId="Revision">
    <w:name w:val="Revision"/>
    <w:hidden/>
    <w:uiPriority w:val="99"/>
    <w:semiHidden/>
    <w:rsid w:val="00DF74E5"/>
    <w:pPr>
      <w:spacing w:after="0" w:line="240" w:lineRule="auto"/>
    </w:pPr>
    <w:rPr>
      <w:rFonts w:eastAsiaTheme="minorEastAsia"/>
      <w:lang w:eastAsia="ja-JP"/>
    </w:rPr>
  </w:style>
  <w:style w:type="character" w:styleId="Mention">
    <w:name w:val="Mention"/>
    <w:basedOn w:val="DefaultParagraphFont"/>
    <w:uiPriority w:val="99"/>
    <w:unhideWhenUsed/>
    <w:rsid w:val="00FE6D4C"/>
    <w:rPr>
      <w:color w:val="2B579A"/>
      <w:shd w:val="clear" w:color="auto" w:fill="E1DFDD"/>
    </w:rPr>
  </w:style>
  <w:style w:type="character" w:styleId="UnresolvedMention">
    <w:name w:val="Unresolved Mention"/>
    <w:basedOn w:val="DefaultParagraphFont"/>
    <w:uiPriority w:val="99"/>
    <w:semiHidden/>
    <w:unhideWhenUsed/>
    <w:rsid w:val="00283612"/>
    <w:rPr>
      <w:color w:val="605E5C"/>
      <w:shd w:val="clear" w:color="auto" w:fill="E1DFDD"/>
    </w:rPr>
  </w:style>
  <w:style w:type="character" w:styleId="FollowedHyperlink">
    <w:name w:val="FollowedHyperlink"/>
    <w:basedOn w:val="DefaultParagraphFont"/>
    <w:uiPriority w:val="99"/>
    <w:semiHidden/>
    <w:unhideWhenUsed/>
    <w:rsid w:val="0049201F"/>
    <w:rPr>
      <w:color w:val="954F72" w:themeColor="followedHyperlink"/>
      <w:u w:val="single"/>
    </w:rPr>
  </w:style>
  <w:style w:type="paragraph" w:customStyle="1" w:styleId="Bullet">
    <w:name w:val="Bullet"/>
    <w:basedOn w:val="Normal"/>
    <w:link w:val="BulletChar"/>
    <w:rsid w:val="007F427B"/>
    <w:pPr>
      <w:numPr>
        <w:numId w:val="53"/>
      </w:numPr>
      <w:spacing w:after="0" w:line="240" w:lineRule="auto"/>
    </w:pPr>
    <w:rPr>
      <w:rFonts w:ascii="Corbel" w:hAnsi="Corbel"/>
      <w:color w:val="0070C0"/>
      <w:sz w:val="20"/>
      <w:szCs w:val="20"/>
    </w:rPr>
  </w:style>
  <w:style w:type="character" w:customStyle="1" w:styleId="BulletChar">
    <w:name w:val="Bullet Char"/>
    <w:basedOn w:val="DefaultParagraphFont"/>
    <w:link w:val="Bullet"/>
    <w:rsid w:val="007F427B"/>
    <w:rPr>
      <w:rFonts w:ascii="Corbel" w:eastAsiaTheme="minorEastAsia" w:hAnsi="Corbel"/>
      <w:color w:val="0070C0"/>
      <w:sz w:val="20"/>
      <w:szCs w:val="20"/>
      <w:lang w:eastAsia="ja-JP"/>
    </w:rPr>
  </w:style>
  <w:style w:type="paragraph" w:customStyle="1" w:styleId="Dash">
    <w:name w:val="Dash"/>
    <w:basedOn w:val="Normal"/>
    <w:rsid w:val="007F427B"/>
    <w:pPr>
      <w:numPr>
        <w:ilvl w:val="1"/>
        <w:numId w:val="53"/>
      </w:numPr>
      <w:spacing w:after="0" w:line="240" w:lineRule="auto"/>
    </w:pPr>
    <w:rPr>
      <w:rFonts w:ascii="Corbel" w:hAnsi="Corbel"/>
      <w:color w:val="0070C0"/>
      <w:sz w:val="20"/>
      <w:szCs w:val="20"/>
    </w:rPr>
  </w:style>
  <w:style w:type="paragraph" w:customStyle="1" w:styleId="DoubleDot">
    <w:name w:val="Double Dot"/>
    <w:basedOn w:val="Normal"/>
    <w:rsid w:val="007F427B"/>
    <w:pPr>
      <w:numPr>
        <w:ilvl w:val="2"/>
        <w:numId w:val="53"/>
      </w:numPr>
      <w:spacing w:after="0" w:line="240" w:lineRule="auto"/>
    </w:pPr>
    <w:rPr>
      <w:rFonts w:ascii="Corbel" w:hAnsi="Corbel"/>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0065">
      <w:bodyDiv w:val="1"/>
      <w:marLeft w:val="0"/>
      <w:marRight w:val="0"/>
      <w:marTop w:val="0"/>
      <w:marBottom w:val="0"/>
      <w:divBdr>
        <w:top w:val="none" w:sz="0" w:space="0" w:color="auto"/>
        <w:left w:val="none" w:sz="0" w:space="0" w:color="auto"/>
        <w:bottom w:val="none" w:sz="0" w:space="0" w:color="auto"/>
        <w:right w:val="none" w:sz="0" w:space="0" w:color="auto"/>
      </w:divBdr>
    </w:div>
    <w:div w:id="149952119">
      <w:bodyDiv w:val="1"/>
      <w:marLeft w:val="0"/>
      <w:marRight w:val="0"/>
      <w:marTop w:val="0"/>
      <w:marBottom w:val="0"/>
      <w:divBdr>
        <w:top w:val="none" w:sz="0" w:space="0" w:color="auto"/>
        <w:left w:val="none" w:sz="0" w:space="0" w:color="auto"/>
        <w:bottom w:val="none" w:sz="0" w:space="0" w:color="auto"/>
        <w:right w:val="none" w:sz="0" w:space="0" w:color="auto"/>
      </w:divBdr>
    </w:div>
    <w:div w:id="289554648">
      <w:bodyDiv w:val="1"/>
      <w:marLeft w:val="0"/>
      <w:marRight w:val="0"/>
      <w:marTop w:val="0"/>
      <w:marBottom w:val="0"/>
      <w:divBdr>
        <w:top w:val="none" w:sz="0" w:space="0" w:color="auto"/>
        <w:left w:val="none" w:sz="0" w:space="0" w:color="auto"/>
        <w:bottom w:val="none" w:sz="0" w:space="0" w:color="auto"/>
        <w:right w:val="none" w:sz="0" w:space="0" w:color="auto"/>
      </w:divBdr>
    </w:div>
    <w:div w:id="549153300">
      <w:bodyDiv w:val="1"/>
      <w:marLeft w:val="0"/>
      <w:marRight w:val="0"/>
      <w:marTop w:val="0"/>
      <w:marBottom w:val="0"/>
      <w:divBdr>
        <w:top w:val="none" w:sz="0" w:space="0" w:color="auto"/>
        <w:left w:val="none" w:sz="0" w:space="0" w:color="auto"/>
        <w:bottom w:val="none" w:sz="0" w:space="0" w:color="auto"/>
        <w:right w:val="none" w:sz="0" w:space="0" w:color="auto"/>
      </w:divBdr>
    </w:div>
    <w:div w:id="758406882">
      <w:bodyDiv w:val="1"/>
      <w:marLeft w:val="0"/>
      <w:marRight w:val="0"/>
      <w:marTop w:val="0"/>
      <w:marBottom w:val="0"/>
      <w:divBdr>
        <w:top w:val="none" w:sz="0" w:space="0" w:color="auto"/>
        <w:left w:val="none" w:sz="0" w:space="0" w:color="auto"/>
        <w:bottom w:val="none" w:sz="0" w:space="0" w:color="auto"/>
        <w:right w:val="none" w:sz="0" w:space="0" w:color="auto"/>
      </w:divBdr>
    </w:div>
    <w:div w:id="771776498">
      <w:bodyDiv w:val="1"/>
      <w:marLeft w:val="0"/>
      <w:marRight w:val="0"/>
      <w:marTop w:val="0"/>
      <w:marBottom w:val="0"/>
      <w:divBdr>
        <w:top w:val="none" w:sz="0" w:space="0" w:color="auto"/>
        <w:left w:val="none" w:sz="0" w:space="0" w:color="auto"/>
        <w:bottom w:val="none" w:sz="0" w:space="0" w:color="auto"/>
        <w:right w:val="none" w:sz="0" w:space="0" w:color="auto"/>
      </w:divBdr>
    </w:div>
    <w:div w:id="909538768">
      <w:bodyDiv w:val="1"/>
      <w:marLeft w:val="0"/>
      <w:marRight w:val="0"/>
      <w:marTop w:val="0"/>
      <w:marBottom w:val="0"/>
      <w:divBdr>
        <w:top w:val="none" w:sz="0" w:space="0" w:color="auto"/>
        <w:left w:val="none" w:sz="0" w:space="0" w:color="auto"/>
        <w:bottom w:val="none" w:sz="0" w:space="0" w:color="auto"/>
        <w:right w:val="none" w:sz="0" w:space="0" w:color="auto"/>
      </w:divBdr>
    </w:div>
    <w:div w:id="937101710">
      <w:bodyDiv w:val="1"/>
      <w:marLeft w:val="0"/>
      <w:marRight w:val="0"/>
      <w:marTop w:val="0"/>
      <w:marBottom w:val="0"/>
      <w:divBdr>
        <w:top w:val="none" w:sz="0" w:space="0" w:color="auto"/>
        <w:left w:val="none" w:sz="0" w:space="0" w:color="auto"/>
        <w:bottom w:val="none" w:sz="0" w:space="0" w:color="auto"/>
        <w:right w:val="none" w:sz="0" w:space="0" w:color="auto"/>
      </w:divBdr>
    </w:div>
    <w:div w:id="989408646">
      <w:bodyDiv w:val="1"/>
      <w:marLeft w:val="0"/>
      <w:marRight w:val="0"/>
      <w:marTop w:val="0"/>
      <w:marBottom w:val="0"/>
      <w:divBdr>
        <w:top w:val="none" w:sz="0" w:space="0" w:color="auto"/>
        <w:left w:val="none" w:sz="0" w:space="0" w:color="auto"/>
        <w:bottom w:val="none" w:sz="0" w:space="0" w:color="auto"/>
        <w:right w:val="none" w:sz="0" w:space="0" w:color="auto"/>
      </w:divBdr>
    </w:div>
    <w:div w:id="1005670619">
      <w:bodyDiv w:val="1"/>
      <w:marLeft w:val="0"/>
      <w:marRight w:val="0"/>
      <w:marTop w:val="0"/>
      <w:marBottom w:val="0"/>
      <w:divBdr>
        <w:top w:val="none" w:sz="0" w:space="0" w:color="auto"/>
        <w:left w:val="none" w:sz="0" w:space="0" w:color="auto"/>
        <w:bottom w:val="none" w:sz="0" w:space="0" w:color="auto"/>
        <w:right w:val="none" w:sz="0" w:space="0" w:color="auto"/>
      </w:divBdr>
      <w:divsChild>
        <w:div w:id="1260330032">
          <w:marLeft w:val="274"/>
          <w:marRight w:val="0"/>
          <w:marTop w:val="120"/>
          <w:marBottom w:val="120"/>
          <w:divBdr>
            <w:top w:val="none" w:sz="0" w:space="0" w:color="auto"/>
            <w:left w:val="none" w:sz="0" w:space="0" w:color="auto"/>
            <w:bottom w:val="none" w:sz="0" w:space="0" w:color="auto"/>
            <w:right w:val="none" w:sz="0" w:space="0" w:color="auto"/>
          </w:divBdr>
        </w:div>
        <w:div w:id="2067415403">
          <w:marLeft w:val="274"/>
          <w:marRight w:val="0"/>
          <w:marTop w:val="120"/>
          <w:marBottom w:val="120"/>
          <w:divBdr>
            <w:top w:val="none" w:sz="0" w:space="0" w:color="auto"/>
            <w:left w:val="none" w:sz="0" w:space="0" w:color="auto"/>
            <w:bottom w:val="none" w:sz="0" w:space="0" w:color="auto"/>
            <w:right w:val="none" w:sz="0" w:space="0" w:color="auto"/>
          </w:divBdr>
        </w:div>
      </w:divsChild>
    </w:div>
    <w:div w:id="1015770946">
      <w:bodyDiv w:val="1"/>
      <w:marLeft w:val="0"/>
      <w:marRight w:val="0"/>
      <w:marTop w:val="0"/>
      <w:marBottom w:val="0"/>
      <w:divBdr>
        <w:top w:val="none" w:sz="0" w:space="0" w:color="auto"/>
        <w:left w:val="none" w:sz="0" w:space="0" w:color="auto"/>
        <w:bottom w:val="none" w:sz="0" w:space="0" w:color="auto"/>
        <w:right w:val="none" w:sz="0" w:space="0" w:color="auto"/>
      </w:divBdr>
    </w:div>
    <w:div w:id="1069574500">
      <w:bodyDiv w:val="1"/>
      <w:marLeft w:val="0"/>
      <w:marRight w:val="0"/>
      <w:marTop w:val="0"/>
      <w:marBottom w:val="0"/>
      <w:divBdr>
        <w:top w:val="none" w:sz="0" w:space="0" w:color="auto"/>
        <w:left w:val="none" w:sz="0" w:space="0" w:color="auto"/>
        <w:bottom w:val="none" w:sz="0" w:space="0" w:color="auto"/>
        <w:right w:val="none" w:sz="0" w:space="0" w:color="auto"/>
      </w:divBdr>
    </w:div>
    <w:div w:id="1125394385">
      <w:bodyDiv w:val="1"/>
      <w:marLeft w:val="0"/>
      <w:marRight w:val="0"/>
      <w:marTop w:val="0"/>
      <w:marBottom w:val="0"/>
      <w:divBdr>
        <w:top w:val="none" w:sz="0" w:space="0" w:color="auto"/>
        <w:left w:val="none" w:sz="0" w:space="0" w:color="auto"/>
        <w:bottom w:val="none" w:sz="0" w:space="0" w:color="auto"/>
        <w:right w:val="none" w:sz="0" w:space="0" w:color="auto"/>
      </w:divBdr>
    </w:div>
    <w:div w:id="1127510332">
      <w:bodyDiv w:val="1"/>
      <w:marLeft w:val="0"/>
      <w:marRight w:val="0"/>
      <w:marTop w:val="0"/>
      <w:marBottom w:val="0"/>
      <w:divBdr>
        <w:top w:val="none" w:sz="0" w:space="0" w:color="auto"/>
        <w:left w:val="none" w:sz="0" w:space="0" w:color="auto"/>
        <w:bottom w:val="none" w:sz="0" w:space="0" w:color="auto"/>
        <w:right w:val="none" w:sz="0" w:space="0" w:color="auto"/>
      </w:divBdr>
    </w:div>
    <w:div w:id="1223717419">
      <w:bodyDiv w:val="1"/>
      <w:marLeft w:val="0"/>
      <w:marRight w:val="0"/>
      <w:marTop w:val="0"/>
      <w:marBottom w:val="0"/>
      <w:divBdr>
        <w:top w:val="none" w:sz="0" w:space="0" w:color="auto"/>
        <w:left w:val="none" w:sz="0" w:space="0" w:color="auto"/>
        <w:bottom w:val="none" w:sz="0" w:space="0" w:color="auto"/>
        <w:right w:val="none" w:sz="0" w:space="0" w:color="auto"/>
      </w:divBdr>
    </w:div>
    <w:div w:id="1241675629">
      <w:bodyDiv w:val="1"/>
      <w:marLeft w:val="0"/>
      <w:marRight w:val="0"/>
      <w:marTop w:val="0"/>
      <w:marBottom w:val="0"/>
      <w:divBdr>
        <w:top w:val="none" w:sz="0" w:space="0" w:color="auto"/>
        <w:left w:val="none" w:sz="0" w:space="0" w:color="auto"/>
        <w:bottom w:val="none" w:sz="0" w:space="0" w:color="auto"/>
        <w:right w:val="none" w:sz="0" w:space="0" w:color="auto"/>
      </w:divBdr>
    </w:div>
    <w:div w:id="1312295322">
      <w:bodyDiv w:val="1"/>
      <w:marLeft w:val="0"/>
      <w:marRight w:val="0"/>
      <w:marTop w:val="0"/>
      <w:marBottom w:val="0"/>
      <w:divBdr>
        <w:top w:val="none" w:sz="0" w:space="0" w:color="auto"/>
        <w:left w:val="none" w:sz="0" w:space="0" w:color="auto"/>
        <w:bottom w:val="none" w:sz="0" w:space="0" w:color="auto"/>
        <w:right w:val="none" w:sz="0" w:space="0" w:color="auto"/>
      </w:divBdr>
      <w:divsChild>
        <w:div w:id="129906729">
          <w:marLeft w:val="274"/>
          <w:marRight w:val="0"/>
          <w:marTop w:val="120"/>
          <w:marBottom w:val="120"/>
          <w:divBdr>
            <w:top w:val="none" w:sz="0" w:space="0" w:color="auto"/>
            <w:left w:val="none" w:sz="0" w:space="0" w:color="auto"/>
            <w:bottom w:val="none" w:sz="0" w:space="0" w:color="auto"/>
            <w:right w:val="none" w:sz="0" w:space="0" w:color="auto"/>
          </w:divBdr>
        </w:div>
        <w:div w:id="275716857">
          <w:marLeft w:val="274"/>
          <w:marRight w:val="0"/>
          <w:marTop w:val="120"/>
          <w:marBottom w:val="120"/>
          <w:divBdr>
            <w:top w:val="none" w:sz="0" w:space="0" w:color="auto"/>
            <w:left w:val="none" w:sz="0" w:space="0" w:color="auto"/>
            <w:bottom w:val="none" w:sz="0" w:space="0" w:color="auto"/>
            <w:right w:val="none" w:sz="0" w:space="0" w:color="auto"/>
          </w:divBdr>
        </w:div>
        <w:div w:id="1763646260">
          <w:marLeft w:val="274"/>
          <w:marRight w:val="0"/>
          <w:marTop w:val="120"/>
          <w:marBottom w:val="120"/>
          <w:divBdr>
            <w:top w:val="none" w:sz="0" w:space="0" w:color="auto"/>
            <w:left w:val="none" w:sz="0" w:space="0" w:color="auto"/>
            <w:bottom w:val="none" w:sz="0" w:space="0" w:color="auto"/>
            <w:right w:val="none" w:sz="0" w:space="0" w:color="auto"/>
          </w:divBdr>
        </w:div>
        <w:div w:id="1824739823">
          <w:marLeft w:val="274"/>
          <w:marRight w:val="0"/>
          <w:marTop w:val="120"/>
          <w:marBottom w:val="120"/>
          <w:divBdr>
            <w:top w:val="none" w:sz="0" w:space="0" w:color="auto"/>
            <w:left w:val="none" w:sz="0" w:space="0" w:color="auto"/>
            <w:bottom w:val="none" w:sz="0" w:space="0" w:color="auto"/>
            <w:right w:val="none" w:sz="0" w:space="0" w:color="auto"/>
          </w:divBdr>
        </w:div>
      </w:divsChild>
    </w:div>
    <w:div w:id="1358047591">
      <w:bodyDiv w:val="1"/>
      <w:marLeft w:val="0"/>
      <w:marRight w:val="0"/>
      <w:marTop w:val="0"/>
      <w:marBottom w:val="0"/>
      <w:divBdr>
        <w:top w:val="none" w:sz="0" w:space="0" w:color="auto"/>
        <w:left w:val="none" w:sz="0" w:space="0" w:color="auto"/>
        <w:bottom w:val="none" w:sz="0" w:space="0" w:color="auto"/>
        <w:right w:val="none" w:sz="0" w:space="0" w:color="auto"/>
      </w:divBdr>
    </w:div>
    <w:div w:id="1717464975">
      <w:bodyDiv w:val="1"/>
      <w:marLeft w:val="0"/>
      <w:marRight w:val="0"/>
      <w:marTop w:val="0"/>
      <w:marBottom w:val="0"/>
      <w:divBdr>
        <w:top w:val="none" w:sz="0" w:space="0" w:color="auto"/>
        <w:left w:val="none" w:sz="0" w:space="0" w:color="auto"/>
        <w:bottom w:val="none" w:sz="0" w:space="0" w:color="auto"/>
        <w:right w:val="none" w:sz="0" w:space="0" w:color="auto"/>
      </w:divBdr>
      <w:divsChild>
        <w:div w:id="1279605937">
          <w:marLeft w:val="274"/>
          <w:marRight w:val="0"/>
          <w:marTop w:val="120"/>
          <w:marBottom w:val="120"/>
          <w:divBdr>
            <w:top w:val="none" w:sz="0" w:space="0" w:color="auto"/>
            <w:left w:val="none" w:sz="0" w:space="0" w:color="auto"/>
            <w:bottom w:val="none" w:sz="0" w:space="0" w:color="auto"/>
            <w:right w:val="none" w:sz="0" w:space="0" w:color="auto"/>
          </w:divBdr>
        </w:div>
        <w:div w:id="1951082078">
          <w:marLeft w:val="274"/>
          <w:marRight w:val="0"/>
          <w:marTop w:val="120"/>
          <w:marBottom w:val="120"/>
          <w:divBdr>
            <w:top w:val="none" w:sz="0" w:space="0" w:color="auto"/>
            <w:left w:val="none" w:sz="0" w:space="0" w:color="auto"/>
            <w:bottom w:val="none" w:sz="0" w:space="0" w:color="auto"/>
            <w:right w:val="none" w:sz="0" w:space="0" w:color="auto"/>
          </w:divBdr>
        </w:div>
      </w:divsChild>
    </w:div>
    <w:div w:id="1738821404">
      <w:bodyDiv w:val="1"/>
      <w:marLeft w:val="0"/>
      <w:marRight w:val="0"/>
      <w:marTop w:val="0"/>
      <w:marBottom w:val="0"/>
      <w:divBdr>
        <w:top w:val="none" w:sz="0" w:space="0" w:color="auto"/>
        <w:left w:val="none" w:sz="0" w:space="0" w:color="auto"/>
        <w:bottom w:val="none" w:sz="0" w:space="0" w:color="auto"/>
        <w:right w:val="none" w:sz="0" w:space="0" w:color="auto"/>
      </w:divBdr>
    </w:div>
    <w:div w:id="1799646466">
      <w:bodyDiv w:val="1"/>
      <w:marLeft w:val="0"/>
      <w:marRight w:val="0"/>
      <w:marTop w:val="0"/>
      <w:marBottom w:val="0"/>
      <w:divBdr>
        <w:top w:val="none" w:sz="0" w:space="0" w:color="auto"/>
        <w:left w:val="none" w:sz="0" w:space="0" w:color="auto"/>
        <w:bottom w:val="none" w:sz="0" w:space="0" w:color="auto"/>
        <w:right w:val="none" w:sz="0" w:space="0" w:color="auto"/>
      </w:divBdr>
    </w:div>
    <w:div w:id="1835804269">
      <w:bodyDiv w:val="1"/>
      <w:marLeft w:val="0"/>
      <w:marRight w:val="0"/>
      <w:marTop w:val="0"/>
      <w:marBottom w:val="0"/>
      <w:divBdr>
        <w:top w:val="none" w:sz="0" w:space="0" w:color="auto"/>
        <w:left w:val="none" w:sz="0" w:space="0" w:color="auto"/>
        <w:bottom w:val="none" w:sz="0" w:space="0" w:color="auto"/>
        <w:right w:val="none" w:sz="0" w:space="0" w:color="auto"/>
      </w:divBdr>
    </w:div>
    <w:div w:id="2011247457">
      <w:bodyDiv w:val="1"/>
      <w:marLeft w:val="0"/>
      <w:marRight w:val="0"/>
      <w:marTop w:val="0"/>
      <w:marBottom w:val="0"/>
      <w:divBdr>
        <w:top w:val="none" w:sz="0" w:space="0" w:color="auto"/>
        <w:left w:val="none" w:sz="0" w:space="0" w:color="auto"/>
        <w:bottom w:val="none" w:sz="0" w:space="0" w:color="auto"/>
        <w:right w:val="none" w:sz="0" w:space="0" w:color="auto"/>
      </w:divBdr>
    </w:div>
    <w:div w:id="2050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05EEC-C8A6-4806-A3C9-C942A5149AA6}">
  <ds:schemaRefs>
    <ds:schemaRef ds:uri="7f0b1472-ede2-46e6-b128-8f7d0f865105"/>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80e3d77-bdb5-435a-b75f-4fc43ecbb6e3"/>
  </ds:schemaRefs>
</ds:datastoreItem>
</file>

<file path=customXml/itemProps2.xml><?xml version="1.0" encoding="utf-8"?>
<ds:datastoreItem xmlns:ds="http://schemas.openxmlformats.org/officeDocument/2006/customXml" ds:itemID="{10B33FB1-2DF4-4C07-8B2C-A0C290370AF6}">
  <ds:schemaRefs>
    <ds:schemaRef ds:uri="http://schemas.openxmlformats.org/officeDocument/2006/bibliography"/>
  </ds:schemaRefs>
</ds:datastoreItem>
</file>

<file path=customXml/itemProps3.xml><?xml version="1.0" encoding="utf-8"?>
<ds:datastoreItem xmlns:ds="http://schemas.openxmlformats.org/officeDocument/2006/customXml" ds:itemID="{9D22AA72-ABFA-4AB8-BE8A-928A483D5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FE82C-8D12-4BD1-92EA-BC205F12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5664</Words>
  <Characters>32289</Characters>
  <Application>Microsoft Office Word</Application>
  <DocSecurity>0</DocSecurity>
  <Lines>269</Lines>
  <Paragraphs>75</Paragraphs>
  <ScaleCrop>false</ScaleCrop>
  <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Schmidt</dc:creator>
  <cp:keywords/>
  <dc:description/>
  <cp:lastModifiedBy>Morris, Sarah</cp:lastModifiedBy>
  <cp:revision>9</cp:revision>
  <cp:lastPrinted>2025-03-18T17:21:00Z</cp:lastPrinted>
  <dcterms:created xsi:type="dcterms:W3CDTF">2025-05-23T06:53:00Z</dcterms:created>
  <dcterms:modified xsi:type="dcterms:W3CDTF">2025-09-09T02:07:00Z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0x0101001EEA16474147224CBD5FB53A098FAF74</vt:lpwstr>
  </property>
  <property fmtid="{D5CDD505-2E9C-101B-9397-08002B2CF9AE}" pid="3" name="_dlc_DocIdItemGuid">
    <vt:lpwstr>da843db7-7636-4d87-b839-8a488c9e0d2d</vt:lpwstr>
  </property>
  <property fmtid="{D5CDD505-2E9C-101B-9397-08002B2CF9AE}" pid="4" name="MediaServiceImageTags">
    <vt:lpwstr/>
  </property>
  <property fmtid="{D5CDD505-2E9C-101B-9397-08002B2CF9AE}" pid="5" name="MSIP_Label_79d889eb-932f-4752-8739-64d25806ef64_Enabled">
    <vt:lpwstr>true</vt:lpwstr>
  </property>
  <property fmtid="{D5CDD505-2E9C-101B-9397-08002B2CF9AE}" pid="6" name="MSIP_Label_79d889eb-932f-4752-8739-64d25806ef64_SetDate">
    <vt:lpwstr>2025-02-12T04:55:57Z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4d01c330-3366-4c06-b3c4-315f90ac82fb</vt:lpwstr>
  </property>
  <property fmtid="{D5CDD505-2E9C-101B-9397-08002B2CF9AE}" pid="11" name="MSIP_Label_79d889eb-932f-4752-8739-64d25806ef64_ContentBits">
    <vt:lpwstr>0</vt:lpwstr>
  </property>
</Properties>
</file>