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567B" w14:textId="77777777" w:rsidR="000E5273" w:rsidRPr="005A2DB9" w:rsidRDefault="000E5273">
      <w:pPr>
        <w:pStyle w:val="Heading1"/>
        <w:rPr>
          <w:rFonts w:ascii="Corbel" w:eastAsia="Times New Roman" w:hAnsi="Corbel" w:cs="Times New Roman"/>
          <w:b/>
          <w:bCs/>
          <w:color w:val="auto"/>
          <w:kern w:val="0"/>
          <w:sz w:val="36"/>
          <w:szCs w:val="36"/>
          <w:lang w:eastAsia="ja-JP"/>
          <w14:ligatures w14:val="none"/>
        </w:rPr>
      </w:pPr>
      <w:r w:rsidRPr="005A2DB9">
        <w:rPr>
          <w:rFonts w:ascii="Corbel" w:eastAsia="Times New Roman" w:hAnsi="Corbel" w:cs="Times New Roman"/>
          <w:b/>
          <w:bCs/>
          <w:color w:val="auto"/>
          <w:kern w:val="0"/>
          <w:sz w:val="36"/>
          <w:szCs w:val="36"/>
          <w:lang w:eastAsia="ja-JP"/>
          <w14:ligatures w14:val="none"/>
        </w:rPr>
        <w:t xml:space="preserve">Appendix A: Bilateral Implementation Plan – </w:t>
      </w:r>
      <w:r w:rsidRPr="005A2DB9">
        <w:rPr>
          <w:b/>
          <w:bCs/>
          <w:color w:val="auto"/>
        </w:rPr>
        <w:br/>
      </w:r>
      <w:r w:rsidRPr="005A2DB9">
        <w:rPr>
          <w:rFonts w:ascii="Corbel" w:eastAsia="Times New Roman" w:hAnsi="Corbel" w:cs="Times New Roman"/>
          <w:b/>
          <w:bCs/>
          <w:color w:val="auto"/>
          <w:kern w:val="0"/>
          <w:sz w:val="36"/>
          <w:szCs w:val="36"/>
          <w:lang w:eastAsia="ja-JP"/>
          <w14:ligatures w14:val="none"/>
        </w:rPr>
        <w:t xml:space="preserve">National Skills Agreement Policy Initiatives </w:t>
      </w:r>
    </w:p>
    <w:p w14:paraId="70847510" w14:textId="77777777" w:rsidR="000E5273" w:rsidRPr="00D56365" w:rsidRDefault="000E5273">
      <w:pPr>
        <w:rPr>
          <w:rFonts w:ascii="Corbel" w:hAnsi="Corbel"/>
          <w:b/>
          <w:bCs/>
        </w:rPr>
      </w:pPr>
    </w:p>
    <w:p w14:paraId="248BD27D" w14:textId="77777777" w:rsidR="000E5273" w:rsidRDefault="000E5273">
      <w:pPr>
        <w:pStyle w:val="ImplementationPlan1"/>
        <w:keepNext/>
        <w:numPr>
          <w:ilvl w:val="0"/>
          <w:numId w:val="0"/>
        </w:numPr>
        <w:outlineLvl w:val="1"/>
      </w:pPr>
      <w:r w:rsidRPr="00D56365">
        <w:t>PRELIMINARIES</w:t>
      </w:r>
    </w:p>
    <w:p w14:paraId="2316B9A3" w14:textId="77777777" w:rsidR="000E5273" w:rsidRPr="00D56365" w:rsidRDefault="000E5273">
      <w:pPr>
        <w:pStyle w:val="ImplementationPlan1"/>
        <w:keepNext/>
        <w:numPr>
          <w:ilvl w:val="0"/>
          <w:numId w:val="0"/>
        </w:numPr>
        <w:outlineLvl w:val="1"/>
      </w:pPr>
      <w:r w:rsidRPr="00D56365">
        <w:t> </w:t>
      </w:r>
    </w:p>
    <w:p w14:paraId="39DC6CD8" w14:textId="77777777" w:rsidR="000E5273" w:rsidRPr="00767387" w:rsidRDefault="000E5273" w:rsidP="00073325">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Pr>
          <w:rFonts w:ascii="Corbel" w:eastAsia="Corbel" w:hAnsi="Corbel" w:cs="Corbel"/>
          <w:color w:val="000000" w:themeColor="text1"/>
          <w:sz w:val="22"/>
          <w:szCs w:val="22"/>
        </w:rPr>
        <w:t xml:space="preserve">the Northern Territory (NT) </w:t>
      </w:r>
      <w:r w:rsidRPr="00767387">
        <w:rPr>
          <w:rFonts w:ascii="Corbel" w:eastAsia="Corbel" w:hAnsi="Corbel" w:cs="Corbel"/>
          <w:color w:val="000000" w:themeColor="text1"/>
          <w:sz w:val="22"/>
          <w:szCs w:val="22"/>
        </w:rPr>
        <w:t xml:space="preserve">under the 2024–2028 National Skills Agreement (the NSA) and should be read in conjunction with the NSA. </w:t>
      </w:r>
    </w:p>
    <w:p w14:paraId="58487103" w14:textId="77777777" w:rsidR="000E5273" w:rsidRPr="00160190" w:rsidRDefault="000E5273" w:rsidP="00073325">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6E24520F" w14:textId="77777777" w:rsidR="000E5273" w:rsidRDefault="000E5273" w:rsidP="00073325">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026CFEB7" w14:textId="77777777" w:rsidR="000E5273" w:rsidRDefault="000E5273" w:rsidP="00073325">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Pr>
          <w:rFonts w:ascii="Corbel" w:eastAsia="Corbel" w:hAnsi="Corbel" w:cs="Corbel"/>
          <w:color w:val="000000" w:themeColor="text1"/>
          <w:sz w:val="22"/>
          <w:szCs w:val="22"/>
        </w:rPr>
        <w:t xml:space="preserve">the NT </w:t>
      </w:r>
      <w:r w:rsidRPr="00BA4D03">
        <w:rPr>
          <w:rFonts w:ascii="Corbel" w:eastAsia="Corbel" w:hAnsi="Corbel" w:cs="Corbel"/>
          <w:color w:val="000000" w:themeColor="text1"/>
          <w:sz w:val="22"/>
          <w:szCs w:val="22"/>
        </w:rPr>
        <w:t>will acknowledge the Commonwealth’s contribution with the following statement:</w:t>
      </w:r>
      <w:r>
        <w:rPr>
          <w:rFonts w:ascii="Corbel" w:eastAsia="Corbel" w:hAnsi="Corbel" w:cs="Corbel"/>
          <w:color w:val="000000" w:themeColor="text1"/>
          <w:sz w:val="22"/>
          <w:szCs w:val="22"/>
        </w:rPr>
        <w:t xml:space="preserve"> </w:t>
      </w:r>
    </w:p>
    <w:p w14:paraId="2A74704C" w14:textId="6D3896FE" w:rsidR="000E5273" w:rsidRPr="006C3D3B" w:rsidRDefault="000E5273">
      <w:pPr>
        <w:pStyle w:val="ScheduleA"/>
        <w:ind w:left="283"/>
        <w:rPr>
          <w:rFonts w:ascii="Corbel" w:eastAsia="Corbel" w:hAnsi="Corbel" w:cs="Corbel"/>
          <w:i/>
          <w:iCs/>
          <w:color w:val="000000" w:themeColor="text1"/>
          <w:sz w:val="22"/>
          <w:szCs w:val="22"/>
        </w:rPr>
      </w:pPr>
      <w:r w:rsidRPr="006C3D3B">
        <w:rPr>
          <w:rFonts w:ascii="Corbel" w:eastAsia="Corbel" w:hAnsi="Corbel" w:cs="Corbel"/>
          <w:i/>
          <w:iCs/>
          <w:color w:val="000000" w:themeColor="text1"/>
          <w:sz w:val="22"/>
          <w:szCs w:val="22"/>
        </w:rPr>
        <w:t xml:space="preserve">Improved Completions – especially for priority groups is a joint initiative between the Commonwealth and </w:t>
      </w:r>
      <w:r>
        <w:rPr>
          <w:rFonts w:ascii="Corbel" w:eastAsia="Corbel" w:hAnsi="Corbel" w:cs="Corbel"/>
          <w:i/>
          <w:iCs/>
          <w:color w:val="000000" w:themeColor="text1"/>
          <w:sz w:val="22"/>
          <w:szCs w:val="22"/>
        </w:rPr>
        <w:t xml:space="preserve">The Northern </w:t>
      </w:r>
      <w:r w:rsidR="006A2579">
        <w:rPr>
          <w:rFonts w:ascii="Corbel" w:eastAsia="Corbel" w:hAnsi="Corbel" w:cs="Corbel"/>
          <w:i/>
          <w:iCs/>
          <w:color w:val="000000" w:themeColor="text1"/>
          <w:sz w:val="22"/>
          <w:szCs w:val="22"/>
        </w:rPr>
        <w:t xml:space="preserve">Territory </w:t>
      </w:r>
      <w:r w:rsidR="006A2579" w:rsidRPr="006C3D3B">
        <w:rPr>
          <w:rFonts w:ascii="Corbel" w:eastAsia="Corbel" w:hAnsi="Corbel" w:cs="Corbel"/>
          <w:i/>
          <w:iCs/>
          <w:color w:val="000000" w:themeColor="text1"/>
          <w:sz w:val="22"/>
          <w:szCs w:val="22"/>
        </w:rPr>
        <w:t>Government</w:t>
      </w:r>
      <w:r w:rsidRPr="006C3D3B">
        <w:rPr>
          <w:rFonts w:ascii="Corbel" w:eastAsia="Corbel" w:hAnsi="Corbel" w:cs="Corbel"/>
          <w:i/>
          <w:iCs/>
          <w:color w:val="000000" w:themeColor="text1"/>
          <w:sz w:val="22"/>
          <w:szCs w:val="22"/>
        </w:rPr>
        <w:t>.</w:t>
      </w:r>
    </w:p>
    <w:p w14:paraId="5004E7D5" w14:textId="77777777" w:rsidR="000E5273" w:rsidRDefault="000E5273">
      <w:pPr>
        <w:pStyle w:val="ImplementationPlan1"/>
        <w:keepNext/>
        <w:numPr>
          <w:ilvl w:val="0"/>
          <w:numId w:val="0"/>
        </w:numPr>
        <w:outlineLvl w:val="1"/>
      </w:pPr>
    </w:p>
    <w:p w14:paraId="673EA726" w14:textId="77777777" w:rsidR="000E5273" w:rsidRPr="0085130C" w:rsidRDefault="000E5273">
      <w:pPr>
        <w:pStyle w:val="ImplementationPlan1"/>
        <w:keepNext/>
        <w:numPr>
          <w:ilvl w:val="0"/>
          <w:numId w:val="0"/>
        </w:numPr>
        <w:outlineLvl w:val="1"/>
      </w:pPr>
      <w:r w:rsidRPr="00C50167">
        <w:t xml:space="preserve">Reporting and </w:t>
      </w:r>
      <w:r>
        <w:t>P</w:t>
      </w:r>
      <w:r w:rsidRPr="00C50167">
        <w:t>ayments</w:t>
      </w:r>
    </w:p>
    <w:p w14:paraId="699F55A9" w14:textId="77777777" w:rsidR="000E5273" w:rsidRPr="00F45597" w:rsidDel="00AC4CC7" w:rsidRDefault="000E5273">
      <w:pPr>
        <w:spacing w:after="0"/>
        <w:outlineLvl w:val="2"/>
        <w:rPr>
          <w:rFonts w:ascii="Corbel" w:hAnsi="Corbel"/>
          <w:b/>
          <w:bCs/>
          <w:color w:val="000000" w:themeColor="text1"/>
        </w:rPr>
      </w:pPr>
      <w:r w:rsidRPr="4830F898">
        <w:rPr>
          <w:rFonts w:ascii="Corbel" w:hAnsi="Corbel"/>
          <w:b/>
          <w:bCs/>
          <w:color w:val="000000" w:themeColor="text1"/>
        </w:rPr>
        <w:t>Reporting</w:t>
      </w:r>
    </w:p>
    <w:p w14:paraId="20A63413" w14:textId="77777777" w:rsidR="000E5273" w:rsidRPr="00F45597" w:rsidDel="00AC4CC7" w:rsidRDefault="000E5273" w:rsidP="00073325">
      <w:pPr>
        <w:pStyle w:val="ScheduleA"/>
        <w:numPr>
          <w:ilvl w:val="0"/>
          <w:numId w:val="5"/>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Pr>
          <w:rFonts w:ascii="Corbel" w:eastAsia="Corbel" w:hAnsi="Corbel" w:cs="Corbel"/>
          <w:color w:val="000000" w:themeColor="text1"/>
          <w:sz w:val="22"/>
          <w:szCs w:val="22"/>
        </w:rPr>
        <w:t>implementation plan</w:t>
      </w:r>
      <w:r w:rsidRPr="6EEE4DE0">
        <w:rPr>
          <w:rFonts w:ascii="Corbel" w:eastAsia="Corbel" w:hAnsi="Corbel" w:cs="Corbel"/>
          <w:color w:val="000000" w:themeColor="text1"/>
          <w:sz w:val="22"/>
          <w:szCs w:val="22"/>
        </w:rPr>
        <w:t xml:space="preserve">, or the final payment is processed. </w:t>
      </w:r>
    </w:p>
    <w:p w14:paraId="23288429" w14:textId="77777777" w:rsidR="000E5273" w:rsidRPr="00F45597" w:rsidRDefault="000E5273" w:rsidP="00073325">
      <w:pPr>
        <w:pStyle w:val="ScheduleA"/>
        <w:numPr>
          <w:ilvl w:val="0"/>
          <w:numId w:val="5"/>
        </w:numPr>
        <w:rPr>
          <w:rFonts w:ascii="Corbel" w:eastAsia="Corbel" w:hAnsi="Corbel" w:cs="Corbel"/>
          <w:color w:val="000000" w:themeColor="text1"/>
        </w:rPr>
      </w:pPr>
      <w:r>
        <w:rPr>
          <w:rFonts w:ascii="Corbel" w:eastAsia="Corbel" w:hAnsi="Corbel" w:cs="Corbel"/>
          <w:color w:val="000000" w:themeColor="text1"/>
          <w:sz w:val="22"/>
          <w:szCs w:val="22"/>
        </w:rPr>
        <w:t>The NT</w:t>
      </w:r>
      <w:r w:rsidRPr="00F45597" w:rsidDel="00AC4CC7">
        <w:rPr>
          <w:rFonts w:ascii="Corbel" w:eastAsia="Corbel" w:hAnsi="Corbel" w:cs="Corbel"/>
          <w:color w:val="000000" w:themeColor="text1"/>
          <w:sz w:val="22"/>
          <w:szCs w:val="22"/>
        </w:rPr>
        <w:t xml:space="preserve"> </w:t>
      </w:r>
      <w:r w:rsidRPr="00F45597">
        <w:rPr>
          <w:rFonts w:ascii="Corbel" w:eastAsia="Corbel" w:hAnsi="Corbel" w:cs="Corbel"/>
          <w:color w:val="000000" w:themeColor="text1"/>
          <w:sz w:val="22"/>
          <w:szCs w:val="22"/>
        </w:rPr>
        <w:t xml:space="preserve">will </w:t>
      </w:r>
      <w:r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6462E8C4" w14:textId="77777777" w:rsidR="000E5273" w:rsidRPr="00F45597" w:rsidDel="00AC4CC7" w:rsidRDefault="000E5273" w:rsidP="00073325">
      <w:pPr>
        <w:pStyle w:val="ScheduleA"/>
        <w:numPr>
          <w:ilvl w:val="0"/>
          <w:numId w:val="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4188992B" w14:textId="77777777" w:rsidR="000E5273" w:rsidRPr="00F45597" w:rsidDel="00AC4CC7" w:rsidRDefault="000E5273">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3068EB07" w14:textId="2F057A79" w:rsidR="000E5273" w:rsidRPr="00F45597" w:rsidRDefault="000E5273" w:rsidP="00073325">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440D2E4E" w14:textId="77777777" w:rsidR="000E5273" w:rsidRPr="00F45597" w:rsidRDefault="000E5273" w:rsidP="00073325">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Pr>
          <w:rFonts w:ascii="Corbel" w:eastAsia="Corbel" w:hAnsi="Corbel" w:cs="Corbel"/>
          <w:color w:val="000000" w:themeColor="text1"/>
          <w:sz w:val="22"/>
          <w:szCs w:val="22"/>
        </w:rPr>
        <w:t>the NT</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0D0B708A" w14:textId="77777777" w:rsidR="006B620F" w:rsidRPr="004E6012" w:rsidRDefault="000E5273" w:rsidP="00073325">
      <w:pPr>
        <w:pStyle w:val="ScheduleA"/>
        <w:numPr>
          <w:ilvl w:val="0"/>
          <w:numId w:val="6"/>
        </w:numPr>
      </w:pPr>
      <w:r w:rsidRPr="00F45597" w:rsidDel="00AC4CC7">
        <w:rPr>
          <w:rFonts w:ascii="Corbel" w:eastAsia="Corbel" w:hAnsi="Corbel" w:cs="Corbel"/>
          <w:color w:val="000000" w:themeColor="text1"/>
          <w:sz w:val="22"/>
          <w:szCs w:val="22"/>
        </w:rPr>
        <w:t xml:space="preserve">Where a payment is due at a reporting period (31 March and/or 30 September), </w:t>
      </w:r>
      <w:r>
        <w:rPr>
          <w:rFonts w:ascii="Corbel" w:eastAsia="Corbel" w:hAnsi="Corbel" w:cs="Corbel"/>
          <w:color w:val="000000" w:themeColor="text1"/>
          <w:sz w:val="22"/>
          <w:szCs w:val="22"/>
        </w:rPr>
        <w:t xml:space="preserve">the NT </w:t>
      </w:r>
      <w:r w:rsidRPr="00F45597" w:rsidDel="00AC4CC7">
        <w:rPr>
          <w:rFonts w:ascii="Corbel" w:eastAsia="Corbel" w:hAnsi="Corbel" w:cs="Corbel"/>
          <w:color w:val="000000" w:themeColor="text1"/>
          <w:sz w:val="22"/>
          <w:szCs w:val="22"/>
        </w:rPr>
        <w:t>will complete the relevant section of the reporting template and provide the evidence required as agreed in the Milestones and Payments associated with this Implementation Plan.</w:t>
      </w:r>
    </w:p>
    <w:p w14:paraId="3865BD9F" w14:textId="77777777" w:rsidR="007573CC" w:rsidRPr="0073446F" w:rsidRDefault="0046423D" w:rsidP="00073325">
      <w:pPr>
        <w:pStyle w:val="ScheduleA"/>
        <w:numPr>
          <w:ilvl w:val="0"/>
          <w:numId w:val="6"/>
        </w:numPr>
        <w:rPr>
          <w:rFonts w:ascii="Corbel" w:eastAsia="Corbel" w:hAnsi="Corbel" w:cs="Corbel"/>
          <w:color w:val="000000" w:themeColor="text1"/>
        </w:rPr>
        <w:sectPr w:rsidR="007573CC" w:rsidRPr="0073446F" w:rsidSect="0046423D">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r w:rsidRPr="004E6012">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5899A810" w14:textId="1FD4579A" w:rsidR="000E5273" w:rsidRPr="00B24B6C" w:rsidRDefault="000E5273" w:rsidP="00B24B6C">
      <w:pPr>
        <w:pStyle w:val="ImplementationPlan1"/>
        <w:rPr>
          <w:rStyle w:val="BookTitle"/>
          <w:b/>
          <w:bCs/>
          <w:i w:val="0"/>
          <w:iCs w:val="0"/>
          <w:spacing w:val="0"/>
        </w:rPr>
      </w:pPr>
      <w:r w:rsidRPr="00B24B6C">
        <w:rPr>
          <w:rStyle w:val="BookTitle"/>
          <w:b/>
          <w:bCs/>
          <w:i w:val="0"/>
          <w:iCs w:val="0"/>
          <w:spacing w:val="0"/>
        </w:rPr>
        <w:lastRenderedPageBreak/>
        <w:t>IMPROVED COMPLETIONS – ESPECIALLY FOR PRIORITY GROUPS (Clause A141 to A150 of the NSA)</w:t>
      </w:r>
    </w:p>
    <w:p w14:paraId="19D1440F" w14:textId="77777777" w:rsidR="000E5273" w:rsidRPr="00160190" w:rsidRDefault="000E5273" w:rsidP="00073325">
      <w:pPr>
        <w:pStyle w:val="MBPoint"/>
        <w:numPr>
          <w:ilvl w:val="0"/>
          <w:numId w:val="4"/>
        </w:numPr>
        <w:rPr>
          <w:rFonts w:ascii="Corbel" w:hAnsi="Corbel"/>
        </w:rPr>
      </w:pPr>
      <w:r>
        <w:rPr>
          <w:rFonts w:ascii="Corbel" w:hAnsi="Corbel"/>
          <w:sz w:val="22"/>
          <w:szCs w:val="22"/>
        </w:rPr>
        <w:t>Outline actions to i</w:t>
      </w:r>
      <w:r w:rsidRPr="00160190">
        <w:rPr>
          <w:rFonts w:ascii="Corbel" w:hAnsi="Corbel"/>
          <w:sz w:val="22"/>
          <w:szCs w:val="22"/>
        </w:rPr>
        <w:t>mpro</w:t>
      </w:r>
      <w:r>
        <w:rPr>
          <w:rFonts w:ascii="Corbel" w:hAnsi="Corbel"/>
          <w:sz w:val="22"/>
          <w:szCs w:val="22"/>
        </w:rPr>
        <w:t>ve</w:t>
      </w:r>
      <w:r w:rsidRPr="00160190">
        <w:rPr>
          <w:rFonts w:ascii="Corbel" w:hAnsi="Corbel"/>
          <w:sz w:val="22"/>
          <w:szCs w:val="22"/>
        </w:rPr>
        <w:t xml:space="preserve"> </w:t>
      </w:r>
      <w:r>
        <w:rPr>
          <w:rFonts w:ascii="Corbel" w:hAnsi="Corbel"/>
          <w:sz w:val="22"/>
          <w:szCs w:val="22"/>
        </w:rPr>
        <w:t>c</w:t>
      </w:r>
      <w:r w:rsidRPr="00160190">
        <w:rPr>
          <w:rFonts w:ascii="Corbel" w:hAnsi="Corbel"/>
          <w:sz w:val="22"/>
          <w:szCs w:val="22"/>
        </w:rPr>
        <w:t xml:space="preserve">ompletions </w:t>
      </w:r>
      <w:r>
        <w:rPr>
          <w:rFonts w:ascii="Corbel" w:hAnsi="Corbel"/>
          <w:sz w:val="22"/>
          <w:szCs w:val="22"/>
        </w:rPr>
        <w:t>and which element of</w:t>
      </w:r>
      <w:r w:rsidRPr="00160190">
        <w:rPr>
          <w:rFonts w:ascii="Corbel" w:hAnsi="Corbel"/>
          <w:sz w:val="22"/>
          <w:szCs w:val="22"/>
        </w:rPr>
        <w:t xml:space="preserve"> clause A145 </w:t>
      </w:r>
      <w:r>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FA5E66" w:rsidRPr="005B36C5" w14:paraId="2788F7E1" w14:textId="77777777" w:rsidTr="767BB485">
        <w:tc>
          <w:tcPr>
            <w:tcW w:w="9016" w:type="dxa"/>
          </w:tcPr>
          <w:p w14:paraId="202ED63F" w14:textId="1025FB15" w:rsidR="002A57FF" w:rsidRPr="005A2DB9" w:rsidRDefault="00F46317" w:rsidP="002A57FF">
            <w:pPr>
              <w:pStyle w:val="NormalWeb"/>
              <w:spacing w:after="0" w:afterAutospacing="0" w:line="276" w:lineRule="auto"/>
              <w:ind w:left="22" w:hanging="22"/>
              <w:rPr>
                <w:rFonts w:ascii="Lato" w:hAnsi="Lato"/>
                <w:sz w:val="8"/>
                <w:szCs w:val="8"/>
              </w:rPr>
            </w:pPr>
            <w:r w:rsidRPr="0073446F">
              <w:rPr>
                <w:rFonts w:ascii="Lato" w:hAnsi="Lato"/>
                <w:sz w:val="22"/>
                <w:szCs w:val="22"/>
              </w:rPr>
              <w:t xml:space="preserve">The Northern Territory (NT) is committed to improving </w:t>
            </w:r>
            <w:r w:rsidR="00DE7D99">
              <w:rPr>
                <w:rFonts w:ascii="Lato" w:hAnsi="Lato"/>
                <w:sz w:val="22"/>
                <w:szCs w:val="22"/>
              </w:rPr>
              <w:t xml:space="preserve">completions especially for </w:t>
            </w:r>
            <w:r w:rsidR="00DE7D99" w:rsidRPr="0073446F">
              <w:rPr>
                <w:rFonts w:ascii="Lato" w:hAnsi="Lato"/>
                <w:sz w:val="22"/>
                <w:szCs w:val="22"/>
              </w:rPr>
              <w:t>priority groups such as</w:t>
            </w:r>
            <w:r w:rsidR="00DE7D99">
              <w:rPr>
                <w:rFonts w:ascii="Lato" w:hAnsi="Lato"/>
                <w:sz w:val="22"/>
                <w:szCs w:val="22"/>
              </w:rPr>
              <w:t xml:space="preserve"> people</w:t>
            </w:r>
            <w:r w:rsidR="00DE7D99" w:rsidRPr="0073446F">
              <w:rPr>
                <w:rFonts w:ascii="Lato" w:hAnsi="Lato"/>
                <w:sz w:val="22"/>
                <w:szCs w:val="22"/>
              </w:rPr>
              <w:t xml:space="preserve"> with disability, women in non-traditional trades, those facing disadvantage</w:t>
            </w:r>
            <w:r w:rsidR="00793248">
              <w:rPr>
                <w:rFonts w:ascii="Lato" w:hAnsi="Lato"/>
                <w:sz w:val="22"/>
                <w:szCs w:val="22"/>
              </w:rPr>
              <w:t xml:space="preserve"> and First Nations </w:t>
            </w:r>
            <w:r w:rsidR="00793248" w:rsidRPr="0073446F">
              <w:rPr>
                <w:rFonts w:ascii="Lato" w:hAnsi="Lato"/>
                <w:sz w:val="22"/>
                <w:szCs w:val="22"/>
              </w:rPr>
              <w:t>people</w:t>
            </w:r>
            <w:r w:rsidR="00123B1D">
              <w:rPr>
                <w:rFonts w:ascii="Lato" w:hAnsi="Lato"/>
                <w:sz w:val="22"/>
                <w:szCs w:val="22"/>
              </w:rPr>
              <w:t xml:space="preserve">, through </w:t>
            </w:r>
            <w:r w:rsidRPr="0073446F">
              <w:rPr>
                <w:rFonts w:ascii="Lato" w:hAnsi="Lato"/>
                <w:sz w:val="22"/>
                <w:szCs w:val="22"/>
              </w:rPr>
              <w:t xml:space="preserve">apprenticeship and traineeship </w:t>
            </w:r>
            <w:r w:rsidR="00D244D9">
              <w:rPr>
                <w:rFonts w:ascii="Lato" w:hAnsi="Lato"/>
                <w:sz w:val="22"/>
                <w:szCs w:val="22"/>
              </w:rPr>
              <w:t xml:space="preserve">qualification </w:t>
            </w:r>
            <w:r w:rsidRPr="0073446F">
              <w:rPr>
                <w:rFonts w:ascii="Lato" w:hAnsi="Lato"/>
                <w:sz w:val="22"/>
                <w:szCs w:val="22"/>
              </w:rPr>
              <w:t>completions</w:t>
            </w:r>
            <w:r w:rsidR="00123B1D">
              <w:rPr>
                <w:rFonts w:ascii="Lato" w:hAnsi="Lato"/>
                <w:sz w:val="22"/>
                <w:szCs w:val="22"/>
              </w:rPr>
              <w:t>.</w:t>
            </w:r>
            <w:r w:rsidRPr="0073446F">
              <w:rPr>
                <w:rFonts w:ascii="Lato" w:hAnsi="Lato"/>
                <w:sz w:val="22"/>
                <w:szCs w:val="22"/>
              </w:rPr>
              <w:t xml:space="preserve"> </w:t>
            </w:r>
            <w:r w:rsidR="00123B1D" w:rsidRPr="0073446F">
              <w:rPr>
                <w:rFonts w:ascii="Lato" w:hAnsi="Lato"/>
                <w:sz w:val="22"/>
                <w:szCs w:val="22"/>
              </w:rPr>
              <w:t xml:space="preserve">Efforts </w:t>
            </w:r>
            <w:r w:rsidRPr="0073446F">
              <w:rPr>
                <w:rFonts w:ascii="Lato" w:hAnsi="Lato"/>
                <w:sz w:val="22"/>
                <w:szCs w:val="22"/>
              </w:rPr>
              <w:t>under Clause A145 of the National Skills Agreement. will focus on learners at risk, including those in remote areas</w:t>
            </w:r>
            <w:r w:rsidR="002A57FF">
              <w:rPr>
                <w:rFonts w:ascii="Lato" w:hAnsi="Lato"/>
                <w:sz w:val="22"/>
                <w:szCs w:val="22"/>
              </w:rPr>
              <w:t>.</w:t>
            </w:r>
            <w:r w:rsidR="00AF1538">
              <w:rPr>
                <w:rFonts w:ascii="Lato" w:hAnsi="Lato"/>
                <w:sz w:val="22"/>
                <w:szCs w:val="22"/>
              </w:rPr>
              <w:br/>
            </w:r>
          </w:p>
          <w:p w14:paraId="0E9BABA2" w14:textId="7E51DB2F" w:rsidR="002A57FF" w:rsidRPr="005A2DB9" w:rsidRDefault="00435BCA" w:rsidP="005A2DB9">
            <w:pPr>
              <w:pStyle w:val="NormalWeb"/>
              <w:spacing w:before="0" w:beforeAutospacing="0" w:after="0" w:afterAutospacing="0" w:line="276" w:lineRule="auto"/>
              <w:ind w:left="22"/>
              <w:rPr>
                <w:rFonts w:ascii="Lato" w:hAnsi="Lato"/>
                <w:sz w:val="10"/>
                <w:szCs w:val="10"/>
              </w:rPr>
            </w:pPr>
            <w:r w:rsidRPr="00435BCA">
              <w:rPr>
                <w:rFonts w:ascii="Lato" w:hAnsi="Lato"/>
                <w:sz w:val="22"/>
                <w:szCs w:val="22"/>
              </w:rPr>
              <w:t xml:space="preserve">Implementation will be informed by input from providers, community organisations, and key stakeholders through flexible engagement methods. This approach ensures responsive, learner-focused actions that support NT Government priorities to build a stronger workforce, unlock regional growth, improve access to training, meet industry needs, and increase </w:t>
            </w:r>
            <w:r w:rsidR="00793248">
              <w:rPr>
                <w:rFonts w:ascii="Lato" w:hAnsi="Lato"/>
                <w:sz w:val="22"/>
                <w:szCs w:val="22"/>
              </w:rPr>
              <w:t>priority group</w:t>
            </w:r>
            <w:r w:rsidRPr="00435BCA">
              <w:rPr>
                <w:rFonts w:ascii="Lato" w:hAnsi="Lato"/>
                <w:sz w:val="22"/>
                <w:szCs w:val="22"/>
              </w:rPr>
              <w:t xml:space="preserve"> participation. Collaboration will target investment for maximum impact, reduce duplication, and drive continuous improvement through evidence and feedback. Key industries include agriculture, Defence, mining and energy, tourism, and healthcare</w:t>
            </w:r>
            <w:r w:rsidR="002A57FF">
              <w:rPr>
                <w:rFonts w:ascii="Lato" w:hAnsi="Lato"/>
                <w:sz w:val="22"/>
                <w:szCs w:val="22"/>
              </w:rPr>
              <w:t>.</w:t>
            </w:r>
            <w:r w:rsidR="00AF1538">
              <w:rPr>
                <w:rFonts w:ascii="Lato" w:hAnsi="Lato"/>
                <w:sz w:val="22"/>
                <w:szCs w:val="22"/>
              </w:rPr>
              <w:br/>
            </w:r>
          </w:p>
          <w:p w14:paraId="7CEB7D6B" w14:textId="52360393" w:rsidR="002A57FF" w:rsidRPr="005A2DB9" w:rsidRDefault="00BB4A73" w:rsidP="005A2DB9">
            <w:pPr>
              <w:pStyle w:val="NormalWeb"/>
              <w:spacing w:before="0" w:beforeAutospacing="0" w:after="0" w:afterAutospacing="0" w:line="276" w:lineRule="auto"/>
              <w:ind w:left="22" w:hanging="22"/>
              <w:rPr>
                <w:rFonts w:ascii="Lato" w:hAnsi="Lato"/>
                <w:sz w:val="10"/>
                <w:szCs w:val="10"/>
              </w:rPr>
            </w:pPr>
            <w:r w:rsidRPr="00BB4A73">
              <w:rPr>
                <w:rFonts w:ascii="Lato" w:hAnsi="Lato"/>
                <w:sz w:val="22"/>
                <w:szCs w:val="22"/>
              </w:rPr>
              <w:t>These actions support NT Government strategies, including Rebuilding the Economy and Lifestyle, and align with D</w:t>
            </w:r>
            <w:r w:rsidR="00793248">
              <w:rPr>
                <w:rFonts w:ascii="Lato" w:hAnsi="Lato"/>
                <w:sz w:val="22"/>
                <w:szCs w:val="22"/>
              </w:rPr>
              <w:t xml:space="preserve">epartment of </w:t>
            </w:r>
            <w:r w:rsidR="001E5701">
              <w:rPr>
                <w:rFonts w:ascii="Lato" w:hAnsi="Lato"/>
                <w:sz w:val="22"/>
                <w:szCs w:val="22"/>
              </w:rPr>
              <w:t>Education</w:t>
            </w:r>
            <w:r w:rsidR="00793248">
              <w:rPr>
                <w:rFonts w:ascii="Lato" w:hAnsi="Lato"/>
                <w:sz w:val="22"/>
                <w:szCs w:val="22"/>
              </w:rPr>
              <w:t xml:space="preserve"> and </w:t>
            </w:r>
            <w:r w:rsidRPr="00BB4A73">
              <w:rPr>
                <w:rFonts w:ascii="Lato" w:hAnsi="Lato"/>
                <w:sz w:val="22"/>
                <w:szCs w:val="22"/>
              </w:rPr>
              <w:t>T</w:t>
            </w:r>
            <w:r w:rsidR="00793248">
              <w:rPr>
                <w:rFonts w:ascii="Lato" w:hAnsi="Lato"/>
                <w:sz w:val="22"/>
                <w:szCs w:val="22"/>
              </w:rPr>
              <w:t>raining (DET),</w:t>
            </w:r>
            <w:r w:rsidRPr="00BB4A73">
              <w:rPr>
                <w:rFonts w:ascii="Lato" w:hAnsi="Lato"/>
                <w:sz w:val="22"/>
                <w:szCs w:val="22"/>
              </w:rPr>
              <w:t xml:space="preserve"> </w:t>
            </w:r>
            <w:r w:rsidR="001E5701">
              <w:rPr>
                <w:rFonts w:ascii="Lato" w:hAnsi="Lato"/>
                <w:sz w:val="22"/>
                <w:szCs w:val="22"/>
              </w:rPr>
              <w:t xml:space="preserve">strategic </w:t>
            </w:r>
            <w:r w:rsidRPr="00BB4A73">
              <w:rPr>
                <w:rFonts w:ascii="Lato" w:hAnsi="Lato"/>
                <w:sz w:val="22"/>
                <w:szCs w:val="22"/>
              </w:rPr>
              <w:t>objectives 4B and 4C.</w:t>
            </w:r>
            <w:r w:rsidR="00AF1538">
              <w:rPr>
                <w:rFonts w:ascii="Lato" w:hAnsi="Lato"/>
                <w:sz w:val="22"/>
                <w:szCs w:val="22"/>
              </w:rPr>
              <w:br/>
            </w:r>
          </w:p>
          <w:p w14:paraId="32CE1EC2" w14:textId="03240FC0" w:rsidR="00F46317" w:rsidRPr="005A2DB9" w:rsidRDefault="00F46317" w:rsidP="005A2DB9">
            <w:pPr>
              <w:pStyle w:val="NormalWeb"/>
              <w:spacing w:before="0" w:beforeAutospacing="0" w:after="0" w:afterAutospacing="0" w:line="276" w:lineRule="auto"/>
              <w:ind w:left="22" w:hanging="22"/>
              <w:rPr>
                <w:rFonts w:ascii="Lato" w:hAnsi="Lato"/>
                <w:sz w:val="12"/>
                <w:szCs w:val="12"/>
              </w:rPr>
            </w:pPr>
            <w:r w:rsidRPr="0073446F">
              <w:rPr>
                <w:rFonts w:ascii="Lato" w:hAnsi="Lato"/>
                <w:sz w:val="22"/>
                <w:szCs w:val="22"/>
              </w:rPr>
              <w:t xml:space="preserve">Delivery will be coordinated through </w:t>
            </w:r>
            <w:r w:rsidR="00793248">
              <w:rPr>
                <w:rFonts w:ascii="Lato" w:hAnsi="Lato"/>
                <w:sz w:val="22"/>
                <w:szCs w:val="22"/>
              </w:rPr>
              <w:t xml:space="preserve">community organisation, </w:t>
            </w:r>
            <w:r w:rsidRPr="0073446F">
              <w:rPr>
                <w:rFonts w:ascii="Lato" w:hAnsi="Lato"/>
                <w:sz w:val="22"/>
                <w:szCs w:val="22"/>
              </w:rPr>
              <w:t>industry partnerships, training providers, Group Training Organisations, and regional pathways to ensure practical, scalable solutions that lead to sustained employment and community benefit.</w:t>
            </w:r>
            <w:r w:rsidR="002A57FF">
              <w:rPr>
                <w:rFonts w:ascii="Lato" w:hAnsi="Lato"/>
                <w:sz w:val="22"/>
                <w:szCs w:val="22"/>
              </w:rPr>
              <w:br/>
            </w:r>
          </w:p>
          <w:p w14:paraId="04E1CB78" w14:textId="1F52082F" w:rsidR="00FD0F52" w:rsidRPr="0073446F" w:rsidRDefault="00642F55" w:rsidP="0073446F">
            <w:pPr>
              <w:shd w:val="clear" w:color="auto" w:fill="FFFFFF" w:themeFill="background1"/>
              <w:spacing w:before="120" w:after="60" w:line="276" w:lineRule="auto"/>
              <w:ind w:left="22" w:hanging="22"/>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 </w:t>
            </w:r>
            <w:r w:rsidR="00FD0F52" w:rsidRPr="0073446F">
              <w:rPr>
                <w:rFonts w:ascii="Lato" w:eastAsia="Times New Roman" w:hAnsi="Lato" w:cs="Times New Roman"/>
                <w:kern w:val="0"/>
                <w:lang w:eastAsia="en-AU"/>
                <w14:ligatures w14:val="none"/>
              </w:rPr>
              <w:t>To meet obligations under the NSA, the NT has developed actions to address unsatisfactory completion rates. These align with four strategic focus areas:</w:t>
            </w:r>
          </w:p>
          <w:p w14:paraId="65478080" w14:textId="77777777" w:rsidR="00FD0F52" w:rsidRPr="0073446F" w:rsidRDefault="00FD0F52" w:rsidP="00073325">
            <w:pPr>
              <w:numPr>
                <w:ilvl w:val="0"/>
                <w:numId w:val="12"/>
              </w:numPr>
              <w:shd w:val="clear" w:color="auto" w:fill="FFFFFF" w:themeFill="background1"/>
              <w:tabs>
                <w:tab w:val="num" w:pos="720"/>
              </w:tabs>
              <w:spacing w:after="60" w:line="276" w:lineRule="auto"/>
              <w:ind w:left="22" w:hanging="22"/>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Strengthening learner support mechanisms</w:t>
            </w:r>
          </w:p>
          <w:p w14:paraId="03199A67" w14:textId="77777777" w:rsidR="00FD0F52" w:rsidRPr="0073446F" w:rsidRDefault="00FD0F52" w:rsidP="00073325">
            <w:pPr>
              <w:numPr>
                <w:ilvl w:val="0"/>
                <w:numId w:val="12"/>
              </w:numPr>
              <w:shd w:val="clear" w:color="auto" w:fill="FFFFFF" w:themeFill="background1"/>
              <w:tabs>
                <w:tab w:val="num" w:pos="720"/>
              </w:tabs>
              <w:spacing w:after="60" w:line="276" w:lineRule="auto"/>
              <w:ind w:left="22" w:hanging="22"/>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Enhancing employer, RTO, and GTO engagement</w:t>
            </w:r>
          </w:p>
          <w:p w14:paraId="0845041D" w14:textId="77777777" w:rsidR="00FD0F52" w:rsidRDefault="00FD0F52" w:rsidP="00073325">
            <w:pPr>
              <w:numPr>
                <w:ilvl w:val="0"/>
                <w:numId w:val="12"/>
              </w:numPr>
              <w:shd w:val="clear" w:color="auto" w:fill="FFFFFF" w:themeFill="background1"/>
              <w:tabs>
                <w:tab w:val="num" w:pos="720"/>
              </w:tabs>
              <w:spacing w:after="60" w:line="276" w:lineRule="auto"/>
              <w:ind w:left="22" w:hanging="22"/>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Supporting participation in non-traditional and high-attrition industries</w:t>
            </w:r>
          </w:p>
          <w:p w14:paraId="40D0C5CA" w14:textId="33A3B445" w:rsidR="00AF1538" w:rsidRPr="0073446F" w:rsidRDefault="00AF1538" w:rsidP="00073325">
            <w:pPr>
              <w:numPr>
                <w:ilvl w:val="0"/>
                <w:numId w:val="12"/>
              </w:numPr>
              <w:shd w:val="clear" w:color="auto" w:fill="FFFFFF" w:themeFill="background1"/>
              <w:tabs>
                <w:tab w:val="num" w:pos="720"/>
              </w:tabs>
              <w:spacing w:after="60" w:line="276" w:lineRule="auto"/>
              <w:ind w:left="22" w:hanging="22"/>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Improving access and delivery in remote and very remote communities</w:t>
            </w:r>
          </w:p>
          <w:p w14:paraId="69AF4252" w14:textId="25528E97" w:rsidR="00E47622" w:rsidRDefault="00AF1538">
            <w:pPr>
              <w:shd w:val="clear" w:color="auto" w:fill="FFFFFF" w:themeFill="background1"/>
              <w:spacing w:after="60"/>
              <w:rPr>
                <w:rFonts w:ascii="Lato" w:eastAsia="Times New Roman" w:hAnsi="Lato" w:cs="Times New Roman"/>
                <w:kern w:val="0"/>
                <w:lang w:eastAsia="en-AU"/>
                <w14:ligatures w14:val="none"/>
              </w:rPr>
            </w:pPr>
            <w:r w:rsidRPr="00AF1538">
              <w:rPr>
                <w:rFonts w:ascii="Lato" w:eastAsia="Times New Roman" w:hAnsi="Lato" w:cs="Times New Roman"/>
                <w:kern w:val="0"/>
                <w:lang w:eastAsia="en-AU"/>
                <w14:ligatures w14:val="none"/>
              </w:rPr>
              <w:t>These focus areas are reflected in the initiatives described in this Implementation Plan.</w:t>
            </w:r>
          </w:p>
          <w:p w14:paraId="60362A7F" w14:textId="0F4C0FEA" w:rsidR="00E47622" w:rsidRDefault="00E47622" w:rsidP="005A2DB9">
            <w:pPr>
              <w:shd w:val="clear" w:color="auto" w:fill="FFFFFF" w:themeFill="background1"/>
              <w:spacing w:after="60" w:line="276" w:lineRule="auto"/>
              <w:rPr>
                <w:rFonts w:ascii="Lato" w:eastAsia="Times New Roman" w:hAnsi="Lato" w:cs="Times New Roman"/>
                <w:kern w:val="0"/>
                <w:lang w:eastAsia="en-AU"/>
                <w14:ligatures w14:val="none"/>
              </w:rPr>
            </w:pPr>
            <w:r>
              <w:rPr>
                <w:rFonts w:ascii="Lato" w:eastAsia="Times New Roman" w:hAnsi="Lato" w:cs="Times New Roman"/>
                <w:kern w:val="0"/>
                <w:lang w:eastAsia="en-AU"/>
                <w14:ligatures w14:val="none"/>
              </w:rPr>
              <w:br/>
            </w:r>
            <w:r w:rsidR="000E2FE2" w:rsidRPr="000E2FE2">
              <w:rPr>
                <w:rFonts w:ascii="Lato" w:eastAsia="Times New Roman" w:hAnsi="Lato" w:cs="Times New Roman"/>
                <w:kern w:val="0"/>
                <w:lang w:eastAsia="en-AU"/>
                <w14:ligatures w14:val="none"/>
              </w:rPr>
              <w:t>The Northern Territory Government has extensive experience in administering grants and funding programs, supported by robust governance frameworks that ensure transparency, accountability, and probity. These processes address equitable access, conflict-of-interest management, and compliance with relevant policies, providing confidence in effective, best-practice funding management. The NT also retains flexibility to adjust programs in response to evidence, stakeholder feedback, or regional priorities, subject to Commonwealth agreement under the NSA, ensuring a responsive approach to improving completion rates across all learner cohorts.</w:t>
            </w:r>
          </w:p>
          <w:p w14:paraId="439D1373" w14:textId="77777777" w:rsidR="00E47622" w:rsidRDefault="00E47622">
            <w:pPr>
              <w:shd w:val="clear" w:color="auto" w:fill="FFFFFF" w:themeFill="background1"/>
              <w:spacing w:after="60"/>
              <w:rPr>
                <w:rFonts w:ascii="Lato" w:eastAsia="Times New Roman" w:hAnsi="Lato" w:cs="Times New Roman"/>
                <w:kern w:val="0"/>
                <w:lang w:eastAsia="en-AU"/>
                <w14:ligatures w14:val="none"/>
              </w:rPr>
            </w:pPr>
          </w:p>
          <w:p w14:paraId="7495AE04" w14:textId="77777777" w:rsidR="00E47622" w:rsidRDefault="00E47622">
            <w:pPr>
              <w:shd w:val="clear" w:color="auto" w:fill="FFFFFF" w:themeFill="background1"/>
              <w:spacing w:after="60"/>
              <w:rPr>
                <w:rFonts w:ascii="Lato" w:eastAsia="Times New Roman" w:hAnsi="Lato" w:cs="Times New Roman"/>
                <w:kern w:val="0"/>
                <w:lang w:eastAsia="en-AU"/>
                <w14:ligatures w14:val="none"/>
              </w:rPr>
            </w:pPr>
          </w:p>
          <w:p w14:paraId="7A0ED70E" w14:textId="77777777" w:rsidR="00E47622" w:rsidRDefault="00E47622">
            <w:pPr>
              <w:shd w:val="clear" w:color="auto" w:fill="FFFFFF" w:themeFill="background1"/>
              <w:spacing w:after="60"/>
              <w:rPr>
                <w:rFonts w:ascii="Lato" w:eastAsia="Times New Roman" w:hAnsi="Lato" w:cs="Times New Roman"/>
                <w:kern w:val="0"/>
                <w:lang w:eastAsia="en-AU"/>
                <w14:ligatures w14:val="none"/>
              </w:rPr>
            </w:pPr>
          </w:p>
          <w:p w14:paraId="2AB5E136" w14:textId="6285A60B" w:rsidR="006B31E6" w:rsidRPr="005A2DB9" w:rsidRDefault="006B31E6" w:rsidP="005A2DB9">
            <w:pPr>
              <w:rPr>
                <w:rFonts w:ascii="Lato" w:eastAsia="Times New Roman" w:hAnsi="Lato" w:cs="Times New Roman"/>
                <w:kern w:val="0"/>
                <w:sz w:val="14"/>
                <w:szCs w:val="14"/>
                <w:lang w:eastAsia="en-AU"/>
                <w14:ligatures w14:val="none"/>
              </w:rPr>
            </w:pPr>
          </w:p>
          <w:p w14:paraId="2F783F50" w14:textId="641BC8C9" w:rsidR="000428F3" w:rsidRPr="00B24B6C" w:rsidRDefault="00780293" w:rsidP="00B24B6C">
            <w:pPr>
              <w:pStyle w:val="ImplementationPlan1"/>
              <w:rPr>
                <w:rStyle w:val="BookTitle"/>
                <w:b/>
                <w:bCs/>
                <w:i w:val="0"/>
                <w:iCs w:val="0"/>
                <w:spacing w:val="0"/>
              </w:rPr>
            </w:pPr>
            <w:r w:rsidRPr="00B24B6C">
              <w:rPr>
                <w:rStyle w:val="BookTitle"/>
                <w:b/>
                <w:bCs/>
                <w:i w:val="0"/>
                <w:iCs w:val="0"/>
                <w:spacing w:val="0"/>
              </w:rPr>
              <w:lastRenderedPageBreak/>
              <w:t xml:space="preserve">Action 1. </w:t>
            </w:r>
            <w:r w:rsidR="00874051" w:rsidRPr="00B24B6C">
              <w:rPr>
                <w:rStyle w:val="BookTitle"/>
                <w:b/>
                <w:bCs/>
                <w:i w:val="0"/>
                <w:iCs w:val="0"/>
                <w:spacing w:val="0"/>
              </w:rPr>
              <w:t>Industry-</w:t>
            </w:r>
            <w:r w:rsidR="004B6DC6" w:rsidRPr="00B24B6C">
              <w:rPr>
                <w:rStyle w:val="BookTitle"/>
                <w:b/>
                <w:bCs/>
                <w:i w:val="0"/>
                <w:iCs w:val="0"/>
                <w:spacing w:val="0"/>
              </w:rPr>
              <w:t>l</w:t>
            </w:r>
            <w:r w:rsidR="00874051" w:rsidRPr="00B24B6C">
              <w:rPr>
                <w:rStyle w:val="BookTitle"/>
                <w:b/>
                <w:bCs/>
                <w:i w:val="0"/>
                <w:iCs w:val="0"/>
                <w:spacing w:val="0"/>
              </w:rPr>
              <w:t xml:space="preserve">ed </w:t>
            </w:r>
            <w:r w:rsidR="008105EF" w:rsidRPr="00B24B6C">
              <w:rPr>
                <w:rStyle w:val="BookTitle"/>
                <w:b/>
                <w:bCs/>
                <w:i w:val="0"/>
                <w:iCs w:val="0"/>
                <w:spacing w:val="0"/>
              </w:rPr>
              <w:t>w</w:t>
            </w:r>
            <w:r w:rsidR="00874051" w:rsidRPr="00B24B6C">
              <w:rPr>
                <w:rStyle w:val="BookTitle"/>
                <w:b/>
                <w:bCs/>
                <w:i w:val="0"/>
                <w:iCs w:val="0"/>
                <w:spacing w:val="0"/>
              </w:rPr>
              <w:t xml:space="preserve">orkforce </w:t>
            </w:r>
            <w:r w:rsidR="004B6DC6" w:rsidRPr="00B24B6C">
              <w:rPr>
                <w:rStyle w:val="BookTitle"/>
                <w:b/>
                <w:bCs/>
                <w:i w:val="0"/>
                <w:iCs w:val="0"/>
                <w:spacing w:val="0"/>
              </w:rPr>
              <w:t>s</w:t>
            </w:r>
            <w:r w:rsidR="00874051" w:rsidRPr="00B24B6C">
              <w:rPr>
                <w:rStyle w:val="BookTitle"/>
                <w:b/>
                <w:bCs/>
                <w:i w:val="0"/>
                <w:iCs w:val="0"/>
                <w:spacing w:val="0"/>
              </w:rPr>
              <w:t xml:space="preserve">upport </w:t>
            </w:r>
          </w:p>
          <w:p w14:paraId="2CE1BAF0" w14:textId="2D00293F" w:rsidR="00490665" w:rsidRPr="0073446F" w:rsidRDefault="000428F3" w:rsidP="0073446F">
            <w:pPr>
              <w:pStyle w:val="NoSpacing"/>
              <w:spacing w:line="276" w:lineRule="auto"/>
              <w:ind w:left="22"/>
              <w:rPr>
                <w:rFonts w:ascii="Lato" w:hAnsi="Lato" w:cstheme="minorHAnsi"/>
                <w:b/>
                <w:bCs/>
              </w:rPr>
            </w:pPr>
            <w:r>
              <w:rPr>
                <w:rStyle w:val="BookTitle"/>
                <w:rFonts w:ascii="Lato" w:hAnsi="Lato"/>
                <w:i w:val="0"/>
                <w:iCs w:val="0"/>
                <w:color w:val="FF0000"/>
                <w:sz w:val="28"/>
                <w:szCs w:val="28"/>
              </w:rPr>
              <w:t xml:space="preserve"> </w:t>
            </w:r>
            <w:r w:rsidR="00D30DE8" w:rsidRPr="0073446F">
              <w:rPr>
                <w:rStyle w:val="Strong"/>
                <w:rFonts w:ascii="Lato" w:hAnsi="Lato" w:cstheme="minorHAnsi"/>
                <w:color w:val="FF0000"/>
                <w:sz w:val="24"/>
                <w:szCs w:val="24"/>
                <w:lang w:val="en-US" w:eastAsia="en-US"/>
              </w:rPr>
              <w:t xml:space="preserve"> </w:t>
            </w:r>
            <w:r w:rsidR="00D30DE8" w:rsidRPr="0073446F">
              <w:rPr>
                <w:rStyle w:val="Strong"/>
                <w:rFonts w:ascii="Lato" w:hAnsi="Lato" w:cstheme="minorHAnsi"/>
                <w:lang w:val="en-US" w:eastAsia="en-US"/>
              </w:rPr>
              <w:t xml:space="preserve"> </w:t>
            </w:r>
            <w:r>
              <w:rPr>
                <w:rStyle w:val="Strong"/>
                <w:rFonts w:ascii="Lato" w:hAnsi="Lato" w:cstheme="minorHAnsi"/>
                <w:lang w:val="en-US" w:eastAsia="en-US"/>
              </w:rPr>
              <w:t xml:space="preserve">                    </w:t>
            </w:r>
            <w:r w:rsidR="00DB3E06">
              <w:rPr>
                <w:rFonts w:ascii="Lato" w:eastAsia="MS Mincho" w:hAnsi="Lato" w:cstheme="minorHAnsi"/>
                <w:kern w:val="0"/>
                <w:lang w:val="en-US" w:eastAsia="en-US"/>
                <w14:ligatures w14:val="none"/>
              </w:rPr>
              <w:t>(</w:t>
            </w:r>
            <w:r w:rsidR="00DB3E06" w:rsidRPr="00025619">
              <w:rPr>
                <w:rFonts w:ascii="Lato" w:hAnsi="Lato"/>
              </w:rPr>
              <w:t xml:space="preserve">Upscaling Potential: </w:t>
            </w:r>
            <w:r w:rsidR="00DB3E06">
              <w:rPr>
                <w:rFonts w:ascii="Lato" w:hAnsi="Lato"/>
              </w:rPr>
              <w:t>High</w:t>
            </w:r>
            <w:r w:rsidR="00DB3E06" w:rsidRPr="00025619">
              <w:rPr>
                <w:rFonts w:ascii="Lato" w:hAnsi="Lato"/>
              </w:rPr>
              <w:t>)</w:t>
            </w:r>
          </w:p>
          <w:p w14:paraId="576B72BD" w14:textId="123E1CB5" w:rsidR="00D66250" w:rsidRPr="005A2DB9" w:rsidRDefault="00D66250" w:rsidP="0073446F">
            <w:pPr>
              <w:pStyle w:val="NoSpacing"/>
              <w:spacing w:line="276" w:lineRule="auto"/>
              <w:ind w:left="720"/>
              <w:rPr>
                <w:rFonts w:ascii="Lato" w:eastAsia="MS Mincho" w:hAnsi="Lato" w:cstheme="minorHAnsi"/>
                <w:sz w:val="8"/>
                <w:szCs w:val="8"/>
                <w:lang w:val="en-US" w:eastAsia="en-US"/>
              </w:rPr>
            </w:pPr>
          </w:p>
          <w:p w14:paraId="044DFCD2" w14:textId="77777777" w:rsidR="00A61A4F" w:rsidRPr="009F16C8" w:rsidRDefault="00A61A4F" w:rsidP="00A61A4F">
            <w:pPr>
              <w:pStyle w:val="NoSpacing"/>
              <w:spacing w:line="276" w:lineRule="auto"/>
              <w:rPr>
                <w:rFonts w:ascii="Lato" w:eastAsia="Times New Roman" w:hAnsi="Lato" w:cs="Times New Roman"/>
                <w:b/>
                <w:bCs/>
                <w:kern w:val="0"/>
                <w:lang w:eastAsia="en-AU"/>
                <w14:ligatures w14:val="none"/>
              </w:rPr>
            </w:pPr>
            <w:r w:rsidRPr="009F16C8">
              <w:rPr>
                <w:rFonts w:ascii="Lato" w:eastAsia="Times New Roman" w:hAnsi="Lato" w:cs="Times New Roman"/>
                <w:b/>
                <w:bCs/>
                <w:kern w:val="0"/>
                <w:lang w:eastAsia="en-AU"/>
                <w14:ligatures w14:val="none"/>
              </w:rPr>
              <w:t>Implementation Approach</w:t>
            </w:r>
            <w:r>
              <w:rPr>
                <w:rFonts w:ascii="Lato" w:eastAsia="Times New Roman" w:hAnsi="Lato" w:cs="Times New Roman"/>
                <w:b/>
                <w:bCs/>
                <w:kern w:val="0"/>
                <w:lang w:eastAsia="en-AU"/>
                <w14:ligatures w14:val="none"/>
              </w:rPr>
              <w:t xml:space="preserve"> (New Initiative)</w:t>
            </w:r>
          </w:p>
          <w:p w14:paraId="0687228B" w14:textId="7B8CBE9A" w:rsidR="006B7F83" w:rsidRPr="005A2DB9" w:rsidRDefault="006B7F83" w:rsidP="005A2DB9">
            <w:pPr>
              <w:pStyle w:val="NoSpacing"/>
              <w:spacing w:line="276" w:lineRule="auto"/>
              <w:rPr>
                <w:rFonts w:ascii="Lato" w:eastAsia="MS Mincho" w:hAnsi="Lato" w:cstheme="minorHAnsi"/>
                <w:sz w:val="18"/>
                <w:szCs w:val="18"/>
                <w:lang w:val="en-US" w:eastAsia="en-US"/>
              </w:rPr>
            </w:pPr>
            <w:r w:rsidRPr="006B7F83">
              <w:rPr>
                <w:rFonts w:ascii="Lato" w:hAnsi="Lato"/>
              </w:rPr>
              <w:t xml:space="preserve">Research from the National Centre for Vocational Education Research (NCVER) shows workplace supervision and mentoring strongly influence apprentice and trainee completions. This pilot addresses the lack of structured mentoring in small businesses, a key driver of early attrition and low completion rates. Larger employers achieve better outcomes due to capacity for structured supervision and dedicated support. In contrast, about </w:t>
            </w:r>
            <w:r w:rsidR="00E47622">
              <w:rPr>
                <w:rFonts w:ascii="Lato" w:hAnsi="Lato"/>
              </w:rPr>
              <w:t>95</w:t>
            </w:r>
            <w:r w:rsidRPr="006B7F83">
              <w:rPr>
                <w:rFonts w:ascii="Lato" w:hAnsi="Lato"/>
              </w:rPr>
              <w:t xml:space="preserve">% of NT employers are small </w:t>
            </w:r>
            <w:r w:rsidR="00E47622">
              <w:rPr>
                <w:rFonts w:ascii="Lato" w:hAnsi="Lato"/>
              </w:rPr>
              <w:t>to medium enterprises (SME)</w:t>
            </w:r>
            <w:r w:rsidRPr="006B7F83">
              <w:rPr>
                <w:rFonts w:ascii="Lato" w:hAnsi="Lato"/>
              </w:rPr>
              <w:t xml:space="preserve">, often with one or two apprentices, limited resources, and minimal access to formal support. This initiative will build mentoring capability in </w:t>
            </w:r>
            <w:r w:rsidR="00E47622">
              <w:rPr>
                <w:rFonts w:ascii="Lato" w:hAnsi="Lato"/>
              </w:rPr>
              <w:t>SMEs</w:t>
            </w:r>
            <w:r w:rsidRPr="006B7F83">
              <w:rPr>
                <w:rFonts w:ascii="Lato" w:hAnsi="Lato"/>
              </w:rPr>
              <w:t xml:space="preserve"> to improve retention and completions across the NT.</w:t>
            </w:r>
          </w:p>
          <w:p w14:paraId="17B41456" w14:textId="6B81C1D4" w:rsidR="00D57759" w:rsidRDefault="00462C02" w:rsidP="005E1C54">
            <w:pPr>
              <w:pStyle w:val="NoSpacing"/>
              <w:spacing w:line="276" w:lineRule="auto"/>
              <w:rPr>
                <w:rFonts w:ascii="Lato" w:hAnsi="Lato"/>
              </w:rPr>
            </w:pPr>
            <w:r>
              <w:rPr>
                <w:rFonts w:ascii="Lato" w:hAnsi="Lato"/>
              </w:rPr>
              <w:t xml:space="preserve">This </w:t>
            </w:r>
            <w:r w:rsidR="000211EE">
              <w:rPr>
                <w:rFonts w:ascii="Lato" w:hAnsi="Lato"/>
              </w:rPr>
              <w:t xml:space="preserve">is a </w:t>
            </w:r>
            <w:r w:rsidR="005E1C54" w:rsidRPr="009F16C8">
              <w:rPr>
                <w:rFonts w:ascii="Lato" w:hAnsi="Lato"/>
              </w:rPr>
              <w:t>three-year pilot</w:t>
            </w:r>
            <w:r>
              <w:rPr>
                <w:rFonts w:ascii="Lato" w:hAnsi="Lato"/>
              </w:rPr>
              <w:t xml:space="preserve"> initiative</w:t>
            </w:r>
            <w:r w:rsidR="005E1C54" w:rsidRPr="009F16C8">
              <w:rPr>
                <w:rFonts w:ascii="Lato" w:hAnsi="Lato"/>
              </w:rPr>
              <w:t xml:space="preserve"> designed to reduce early attrition and improve</w:t>
            </w:r>
            <w:r w:rsidR="00DA652E">
              <w:rPr>
                <w:rFonts w:ascii="Lato" w:hAnsi="Lato"/>
              </w:rPr>
              <w:t xml:space="preserve"> </w:t>
            </w:r>
            <w:r>
              <w:rPr>
                <w:rFonts w:ascii="Lato" w:hAnsi="Lato"/>
              </w:rPr>
              <w:t>apprenticeship and traineeship</w:t>
            </w:r>
            <w:r w:rsidR="005E1C54" w:rsidRPr="009F16C8">
              <w:rPr>
                <w:rFonts w:ascii="Lato" w:hAnsi="Lato"/>
              </w:rPr>
              <w:t xml:space="preserve"> completions in priority industries by enhancing the workplace</w:t>
            </w:r>
            <w:r>
              <w:rPr>
                <w:rFonts w:ascii="Lato" w:hAnsi="Lato"/>
              </w:rPr>
              <w:t xml:space="preserve"> experience of apprentices and trainees</w:t>
            </w:r>
            <w:r w:rsidR="005E1C54" w:rsidRPr="009F16C8">
              <w:rPr>
                <w:rFonts w:ascii="Lato" w:hAnsi="Lato"/>
              </w:rPr>
              <w:t>.</w:t>
            </w:r>
          </w:p>
          <w:p w14:paraId="5F31096B" w14:textId="77777777" w:rsidR="000211EE" w:rsidRPr="005A2DB9" w:rsidRDefault="000211EE" w:rsidP="005E1C54">
            <w:pPr>
              <w:pStyle w:val="NoSpacing"/>
              <w:spacing w:line="276" w:lineRule="auto"/>
              <w:rPr>
                <w:rFonts w:ascii="Lato" w:hAnsi="Lato"/>
                <w:sz w:val="20"/>
                <w:szCs w:val="20"/>
              </w:rPr>
            </w:pPr>
          </w:p>
          <w:p w14:paraId="36C7254C" w14:textId="6BF5C6DE" w:rsidR="001776B7" w:rsidRPr="001776B7" w:rsidRDefault="001776B7" w:rsidP="005E1C54">
            <w:pPr>
              <w:pStyle w:val="NoSpacing"/>
              <w:spacing w:line="276" w:lineRule="auto"/>
              <w:rPr>
                <w:rFonts w:ascii="Lato" w:hAnsi="Lato"/>
              </w:rPr>
            </w:pPr>
            <w:r w:rsidRPr="005A2DB9">
              <w:rPr>
                <w:rFonts w:ascii="Lato" w:hAnsi="Lato"/>
              </w:rPr>
              <w:t xml:space="preserve">A closed contestable fund will be established to support industry groups and peak bodies to deliver tailored programs that strengthen workplace mentoring and supervision. Industries and regions will be prioritised using NT labour market data, Jobs and Skills Australia forecasts, and employer demand signals. Through this fund, organisations will manage dedicated grants that </w:t>
            </w:r>
            <w:r w:rsidR="00586CA6">
              <w:rPr>
                <w:rFonts w:ascii="Lato" w:hAnsi="Lato"/>
              </w:rPr>
              <w:t xml:space="preserve">may </w:t>
            </w:r>
            <w:r w:rsidR="00E47622">
              <w:rPr>
                <w:rFonts w:ascii="Lato" w:hAnsi="Lato"/>
              </w:rPr>
              <w:t>run programs</w:t>
            </w:r>
            <w:r w:rsidRPr="005A2DB9">
              <w:rPr>
                <w:rFonts w:ascii="Lato" w:hAnsi="Lato"/>
              </w:rPr>
              <w:t xml:space="preserve"> to upskill a senior employee as a workplace mentor, either within their own business or across a cluster of businesses.</w:t>
            </w:r>
          </w:p>
          <w:p w14:paraId="4E11BAE2" w14:textId="43CA2CE5" w:rsidR="00D57759" w:rsidRDefault="005E1C54" w:rsidP="005A2DB9">
            <w:pPr>
              <w:pStyle w:val="NoSpacing"/>
              <w:spacing w:before="240" w:line="276" w:lineRule="auto"/>
            </w:pPr>
            <w:r w:rsidRPr="001776B7">
              <w:rPr>
                <w:rFonts w:ascii="Lato" w:hAnsi="Lato"/>
              </w:rPr>
              <w:t>The funding will also cover the provision of structured onboarding and mentoring resources to assist</w:t>
            </w:r>
            <w:r w:rsidRPr="009F16C8">
              <w:rPr>
                <w:rFonts w:ascii="Lato" w:hAnsi="Lato"/>
              </w:rPr>
              <w:t xml:space="preserve"> employers and mentors in integrating apprentices effectively. Key features include</w:t>
            </w:r>
            <w:r w:rsidR="00D57759">
              <w:rPr>
                <w:rFonts w:ascii="Lato" w:hAnsi="Lato"/>
              </w:rPr>
              <w:t>:</w:t>
            </w:r>
            <w:r w:rsidRPr="009F16C8">
              <w:rPr>
                <w:rFonts w:ascii="Lato" w:hAnsi="Lato"/>
              </w:rPr>
              <w:t xml:space="preserve"> </w:t>
            </w:r>
            <w:r w:rsidR="00D57759">
              <w:t xml:space="preserve"> </w:t>
            </w:r>
          </w:p>
          <w:p w14:paraId="77237E43" w14:textId="7DC24DBC" w:rsidR="00D57759" w:rsidRPr="005A2DB9" w:rsidRDefault="00D57759" w:rsidP="005A2DB9">
            <w:pPr>
              <w:pStyle w:val="NoSpacing"/>
              <w:numPr>
                <w:ilvl w:val="0"/>
                <w:numId w:val="7"/>
              </w:numPr>
              <w:spacing w:line="276" w:lineRule="auto"/>
              <w:rPr>
                <w:rFonts w:ascii="Lato" w:eastAsia="Times New Roman" w:hAnsi="Lato" w:cs="Times New Roman"/>
                <w:kern w:val="0"/>
                <w:lang w:eastAsia="en-AU"/>
                <w14:ligatures w14:val="none"/>
              </w:rPr>
            </w:pPr>
            <w:r w:rsidRPr="005A2DB9">
              <w:rPr>
                <w:rFonts w:ascii="Lato" w:eastAsia="Times New Roman" w:hAnsi="Lato" w:cs="Times New Roman"/>
                <w:kern w:val="0"/>
                <w:lang w:eastAsia="en-AU"/>
                <w14:ligatures w14:val="none"/>
              </w:rPr>
              <w:t>Training and coordination of workplace mentors.</w:t>
            </w:r>
          </w:p>
          <w:p w14:paraId="1FD76B20" w14:textId="77777777" w:rsidR="00D57759" w:rsidRPr="005A2DB9" w:rsidRDefault="00D57759" w:rsidP="005A2DB9">
            <w:pPr>
              <w:pStyle w:val="NoSpacing"/>
              <w:numPr>
                <w:ilvl w:val="0"/>
                <w:numId w:val="7"/>
              </w:numPr>
              <w:spacing w:line="276" w:lineRule="auto"/>
              <w:rPr>
                <w:rFonts w:ascii="Lato" w:eastAsia="Times New Roman" w:hAnsi="Lato" w:cs="Times New Roman"/>
                <w:kern w:val="0"/>
                <w:lang w:eastAsia="en-AU"/>
                <w14:ligatures w14:val="none"/>
              </w:rPr>
            </w:pPr>
            <w:r w:rsidRPr="005A2DB9">
              <w:rPr>
                <w:rFonts w:ascii="Lato" w:eastAsia="Times New Roman" w:hAnsi="Lato" w:cs="Times New Roman"/>
                <w:kern w:val="0"/>
                <w:lang w:eastAsia="en-AU"/>
                <w14:ligatures w14:val="none"/>
              </w:rPr>
              <w:t>Use of structured onboarding tools to support apprentice integration.</w:t>
            </w:r>
          </w:p>
          <w:p w14:paraId="680341A4" w14:textId="77777777" w:rsidR="00D57759" w:rsidRPr="005A2DB9" w:rsidRDefault="00D57759" w:rsidP="005A2DB9">
            <w:pPr>
              <w:pStyle w:val="NoSpacing"/>
              <w:numPr>
                <w:ilvl w:val="0"/>
                <w:numId w:val="7"/>
              </w:numPr>
              <w:spacing w:line="276" w:lineRule="auto"/>
              <w:rPr>
                <w:rFonts w:ascii="Lato" w:eastAsia="Times New Roman" w:hAnsi="Lato" w:cs="Times New Roman"/>
                <w:kern w:val="0"/>
                <w:lang w:eastAsia="en-AU"/>
                <w14:ligatures w14:val="none"/>
              </w:rPr>
            </w:pPr>
            <w:r w:rsidRPr="005A2DB9">
              <w:rPr>
                <w:rFonts w:ascii="Lato" w:eastAsia="Times New Roman" w:hAnsi="Lato" w:cs="Times New Roman"/>
                <w:kern w:val="0"/>
                <w:lang w:eastAsia="en-AU"/>
                <w14:ligatures w14:val="none"/>
              </w:rPr>
              <w:t>Candidate matching resources to improve role alignment and retention.</w:t>
            </w:r>
          </w:p>
          <w:p w14:paraId="50258FAD" w14:textId="3E2913D9" w:rsidR="00462C02" w:rsidRPr="005A2DB9" w:rsidRDefault="00D57759">
            <w:pPr>
              <w:pStyle w:val="NoSpacing"/>
              <w:numPr>
                <w:ilvl w:val="0"/>
                <w:numId w:val="7"/>
              </w:numPr>
              <w:spacing w:line="276" w:lineRule="auto"/>
              <w:rPr>
                <w:rFonts w:ascii="Lato" w:eastAsia="Times New Roman" w:hAnsi="Lato" w:cs="Times New Roman"/>
                <w:kern w:val="0"/>
                <w:sz w:val="24"/>
                <w:szCs w:val="24"/>
                <w:lang w:eastAsia="en-AU"/>
                <w14:ligatures w14:val="none"/>
              </w:rPr>
            </w:pPr>
            <w:r w:rsidRPr="005A2DB9">
              <w:rPr>
                <w:rFonts w:ascii="Lato" w:eastAsia="Times New Roman" w:hAnsi="Lato" w:cs="Times New Roman"/>
                <w:kern w:val="0"/>
                <w:lang w:eastAsia="en-AU"/>
                <w14:ligatures w14:val="none"/>
              </w:rPr>
              <w:t>Industry-led mentoring to promote sector-wide collaboration and sustainability.</w:t>
            </w:r>
            <w:r w:rsidR="00BE2114">
              <w:rPr>
                <w:rFonts w:ascii="Lato" w:eastAsia="Times New Roman" w:hAnsi="Lato" w:cs="Times New Roman"/>
                <w:kern w:val="0"/>
                <w:lang w:eastAsia="en-AU"/>
                <w14:ligatures w14:val="none"/>
              </w:rPr>
              <w:br/>
            </w:r>
          </w:p>
          <w:p w14:paraId="082221C5" w14:textId="72C10AD8" w:rsidR="00D30DE8" w:rsidRPr="0073446F" w:rsidRDefault="00462C02" w:rsidP="0073446F">
            <w:pPr>
              <w:pStyle w:val="NoSpacing"/>
              <w:spacing w:line="276" w:lineRule="auto"/>
              <w:rPr>
                <w:rFonts w:ascii="Lato" w:eastAsia="Times New Roman" w:hAnsi="Lato" w:cs="Times New Roman"/>
                <w:b/>
                <w:bCs/>
                <w:kern w:val="0"/>
                <w:lang w:eastAsia="en-AU"/>
                <w14:ligatures w14:val="none"/>
              </w:rPr>
            </w:pPr>
            <w:r w:rsidRPr="005A2DB9">
              <w:rPr>
                <w:rFonts w:ascii="Lato" w:eastAsia="Times New Roman" w:hAnsi="Lato" w:cs="Times New Roman"/>
                <w:kern w:val="0"/>
                <w:lang w:eastAsia="en-AU"/>
                <w14:ligatures w14:val="none"/>
              </w:rPr>
              <w:t xml:space="preserve">When selecting successful </w:t>
            </w:r>
            <w:r w:rsidR="008E0AB2">
              <w:rPr>
                <w:rFonts w:ascii="Lato" w:eastAsia="Times New Roman" w:hAnsi="Lato" w:cs="Times New Roman"/>
                <w:kern w:val="0"/>
                <w:lang w:eastAsia="en-AU"/>
                <w14:ligatures w14:val="none"/>
              </w:rPr>
              <w:t>proposals</w:t>
            </w:r>
            <w:r w:rsidRPr="005A2DB9">
              <w:rPr>
                <w:rFonts w:ascii="Lato" w:eastAsia="Times New Roman" w:hAnsi="Lato" w:cs="Times New Roman"/>
                <w:kern w:val="0"/>
                <w:lang w:eastAsia="en-AU"/>
                <w14:ligatures w14:val="none"/>
              </w:rPr>
              <w:t>, the department will consider the following key elements of the program.</w:t>
            </w:r>
            <w:r>
              <w:rPr>
                <w:rFonts w:ascii="Lato" w:hAnsi="Lato"/>
              </w:rPr>
              <w:t xml:space="preserve"> </w:t>
            </w:r>
            <w:r w:rsidR="005E1C54">
              <w:rPr>
                <w:rFonts w:ascii="Lato" w:hAnsi="Lato"/>
              </w:rPr>
              <w:br/>
            </w:r>
            <w:r w:rsidR="00D30DE8" w:rsidRPr="0073446F">
              <w:rPr>
                <w:rFonts w:ascii="Lato" w:eastAsia="Times New Roman" w:hAnsi="Lato" w:cs="Times New Roman"/>
                <w:b/>
                <w:bCs/>
                <w:kern w:val="0"/>
                <w:lang w:eastAsia="en-AU"/>
                <w14:ligatures w14:val="none"/>
              </w:rPr>
              <w:t xml:space="preserve">Key </w:t>
            </w:r>
            <w:r w:rsidR="004B6DC6" w:rsidRPr="0073446F">
              <w:rPr>
                <w:rFonts w:ascii="Lato" w:eastAsia="Times New Roman" w:hAnsi="Lato" w:cs="Times New Roman"/>
                <w:b/>
                <w:bCs/>
                <w:kern w:val="0"/>
                <w:lang w:eastAsia="en-AU"/>
                <w14:ligatures w14:val="none"/>
              </w:rPr>
              <w:t>e</w:t>
            </w:r>
            <w:r w:rsidR="00D30DE8" w:rsidRPr="0073446F">
              <w:rPr>
                <w:rFonts w:ascii="Lato" w:eastAsia="Times New Roman" w:hAnsi="Lato" w:cs="Times New Roman"/>
                <w:b/>
                <w:bCs/>
                <w:kern w:val="0"/>
                <w:lang w:eastAsia="en-AU"/>
                <w14:ligatures w14:val="none"/>
              </w:rPr>
              <w:t>lements</w:t>
            </w:r>
          </w:p>
          <w:p w14:paraId="207638BE" w14:textId="38037A2D" w:rsidR="00D30DE8" w:rsidRPr="0073446F" w:rsidRDefault="00D30DE8" w:rsidP="00073325">
            <w:pPr>
              <w:pStyle w:val="NoSpacing"/>
              <w:numPr>
                <w:ilvl w:val="0"/>
                <w:numId w:val="7"/>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Employer </w:t>
            </w:r>
            <w:r w:rsidR="00D66250" w:rsidRPr="0073446F">
              <w:rPr>
                <w:rFonts w:ascii="Lato" w:eastAsia="Times New Roman" w:hAnsi="Lato" w:cs="Times New Roman"/>
                <w:kern w:val="0"/>
                <w:lang w:eastAsia="en-AU"/>
                <w14:ligatures w14:val="none"/>
              </w:rPr>
              <w:t>c</w:t>
            </w:r>
            <w:r w:rsidRPr="0073446F">
              <w:rPr>
                <w:rFonts w:ascii="Lato" w:eastAsia="Times New Roman" w:hAnsi="Lato" w:cs="Times New Roman"/>
                <w:kern w:val="0"/>
                <w:lang w:eastAsia="en-AU"/>
                <w14:ligatures w14:val="none"/>
              </w:rPr>
              <w:t xml:space="preserve">apability and </w:t>
            </w:r>
            <w:r w:rsidR="00D66250" w:rsidRPr="0073446F">
              <w:rPr>
                <w:rFonts w:ascii="Lato" w:eastAsia="Times New Roman" w:hAnsi="Lato" w:cs="Times New Roman"/>
                <w:kern w:val="0"/>
                <w:lang w:eastAsia="en-AU"/>
                <w14:ligatures w14:val="none"/>
              </w:rPr>
              <w:t>m</w:t>
            </w:r>
            <w:r w:rsidRPr="0073446F">
              <w:rPr>
                <w:rFonts w:ascii="Lato" w:eastAsia="Times New Roman" w:hAnsi="Lato" w:cs="Times New Roman"/>
                <w:kern w:val="0"/>
                <w:lang w:eastAsia="en-AU"/>
                <w14:ligatures w14:val="none"/>
              </w:rPr>
              <w:t>entoring: Resources and training to strengthen workplace</w:t>
            </w:r>
            <w:r w:rsidRPr="0073446F">
              <w:rPr>
                <w:rFonts w:ascii="Lato" w:eastAsia="Times New Roman" w:hAnsi="Lato" w:cs="Times New Roman"/>
                <w:kern w:val="0"/>
                <w:lang w:eastAsia="en-AU"/>
                <w14:ligatures w14:val="none"/>
              </w:rPr>
              <w:br/>
              <w:t>mentoring, onboarding and cultural safety.</w:t>
            </w:r>
          </w:p>
          <w:p w14:paraId="726B9102" w14:textId="1C1E1359" w:rsidR="00D30DE8" w:rsidRPr="0073446F" w:rsidRDefault="00D30DE8" w:rsidP="00073325">
            <w:pPr>
              <w:pStyle w:val="NoSpacing"/>
              <w:numPr>
                <w:ilvl w:val="0"/>
                <w:numId w:val="7"/>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Industry-</w:t>
            </w:r>
            <w:r w:rsidR="00D66250" w:rsidRPr="0073446F">
              <w:rPr>
                <w:rFonts w:ascii="Lato" w:eastAsia="Times New Roman" w:hAnsi="Lato" w:cs="Times New Roman"/>
                <w:kern w:val="0"/>
                <w:lang w:eastAsia="en-AU"/>
                <w14:ligatures w14:val="none"/>
              </w:rPr>
              <w:t>l</w:t>
            </w:r>
            <w:r w:rsidRPr="0073446F">
              <w:rPr>
                <w:rFonts w:ascii="Lato" w:eastAsia="Times New Roman" w:hAnsi="Lato" w:cs="Times New Roman"/>
                <w:kern w:val="0"/>
                <w:lang w:eastAsia="en-AU"/>
                <w14:ligatures w14:val="none"/>
              </w:rPr>
              <w:t>ed solutions that reflect local conditions and seasonal work patterns.</w:t>
            </w:r>
          </w:p>
          <w:p w14:paraId="23A6FE94" w14:textId="0BEA24AB" w:rsidR="00D30DE8" w:rsidRPr="0073446F" w:rsidRDefault="00D30DE8" w:rsidP="00073325">
            <w:pPr>
              <w:pStyle w:val="NoSpacing"/>
              <w:numPr>
                <w:ilvl w:val="0"/>
                <w:numId w:val="7"/>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Integrated </w:t>
            </w:r>
            <w:r w:rsidR="00D66250" w:rsidRPr="0073446F">
              <w:rPr>
                <w:rFonts w:ascii="Lato" w:eastAsia="Times New Roman" w:hAnsi="Lato" w:cs="Times New Roman"/>
                <w:kern w:val="0"/>
                <w:lang w:eastAsia="en-AU"/>
                <w14:ligatures w14:val="none"/>
              </w:rPr>
              <w:t>s</w:t>
            </w:r>
            <w:r w:rsidRPr="0073446F">
              <w:rPr>
                <w:rFonts w:ascii="Lato" w:eastAsia="Times New Roman" w:hAnsi="Lato" w:cs="Times New Roman"/>
                <w:kern w:val="0"/>
                <w:lang w:eastAsia="en-AU"/>
                <w14:ligatures w14:val="none"/>
              </w:rPr>
              <w:t xml:space="preserve">upport for </w:t>
            </w:r>
            <w:r w:rsidR="00D66250" w:rsidRPr="0073446F">
              <w:rPr>
                <w:rFonts w:ascii="Lato" w:eastAsia="Times New Roman" w:hAnsi="Lato" w:cs="Times New Roman"/>
                <w:kern w:val="0"/>
                <w:lang w:eastAsia="en-AU"/>
                <w14:ligatures w14:val="none"/>
              </w:rPr>
              <w:t>p</w:t>
            </w:r>
            <w:r w:rsidRPr="0073446F">
              <w:rPr>
                <w:rFonts w:ascii="Lato" w:eastAsia="Times New Roman" w:hAnsi="Lato" w:cs="Times New Roman"/>
                <w:kern w:val="0"/>
                <w:lang w:eastAsia="en-AU"/>
                <w14:ligatures w14:val="none"/>
              </w:rPr>
              <w:t xml:space="preserve">riority </w:t>
            </w:r>
            <w:r w:rsidR="00D66250" w:rsidRPr="0073446F">
              <w:rPr>
                <w:rFonts w:ascii="Lato" w:eastAsia="Times New Roman" w:hAnsi="Lato" w:cs="Times New Roman"/>
                <w:kern w:val="0"/>
                <w:lang w:eastAsia="en-AU"/>
                <w14:ligatures w14:val="none"/>
              </w:rPr>
              <w:t>c</w:t>
            </w:r>
            <w:r w:rsidRPr="0073446F">
              <w:rPr>
                <w:rFonts w:ascii="Lato" w:eastAsia="Times New Roman" w:hAnsi="Lato" w:cs="Times New Roman"/>
                <w:kern w:val="0"/>
                <w:lang w:eastAsia="en-AU"/>
                <w14:ligatures w14:val="none"/>
              </w:rPr>
              <w:t xml:space="preserve">ohorts: Tailored interventions for groups with </w:t>
            </w:r>
            <w:r w:rsidRPr="0073446F">
              <w:rPr>
                <w:rFonts w:ascii="Lato" w:eastAsia="Times New Roman" w:hAnsi="Lato" w:cs="Times New Roman"/>
                <w:kern w:val="0"/>
                <w:lang w:eastAsia="en-AU"/>
                <w14:ligatures w14:val="none"/>
              </w:rPr>
              <w:br/>
              <w:t>historically lower completion rates.</w:t>
            </w:r>
          </w:p>
          <w:p w14:paraId="528E0217" w14:textId="77777777" w:rsidR="00527520" w:rsidRDefault="00D30DE8" w:rsidP="00073325">
            <w:pPr>
              <w:pStyle w:val="NoSpacing"/>
              <w:numPr>
                <w:ilvl w:val="0"/>
                <w:numId w:val="7"/>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Flexible </w:t>
            </w:r>
            <w:r w:rsidR="00D66250" w:rsidRPr="0073446F">
              <w:rPr>
                <w:rFonts w:ascii="Lato" w:eastAsia="Times New Roman" w:hAnsi="Lato" w:cs="Times New Roman"/>
                <w:kern w:val="0"/>
                <w:lang w:eastAsia="en-AU"/>
                <w14:ligatures w14:val="none"/>
              </w:rPr>
              <w:t>d</w:t>
            </w:r>
            <w:r w:rsidRPr="0073446F">
              <w:rPr>
                <w:rFonts w:ascii="Lato" w:eastAsia="Times New Roman" w:hAnsi="Lato" w:cs="Times New Roman"/>
                <w:kern w:val="0"/>
                <w:lang w:eastAsia="en-AU"/>
                <w14:ligatures w14:val="none"/>
              </w:rPr>
              <w:t xml:space="preserve">elivery and </w:t>
            </w:r>
            <w:r w:rsidR="00D66250" w:rsidRPr="0073446F">
              <w:rPr>
                <w:rFonts w:ascii="Lato" w:eastAsia="Times New Roman" w:hAnsi="Lato" w:cs="Times New Roman"/>
                <w:kern w:val="0"/>
                <w:lang w:eastAsia="en-AU"/>
                <w14:ligatures w14:val="none"/>
              </w:rPr>
              <w:t>s</w:t>
            </w:r>
            <w:r w:rsidRPr="0073446F">
              <w:rPr>
                <w:rFonts w:ascii="Lato" w:eastAsia="Times New Roman" w:hAnsi="Lato" w:cs="Times New Roman"/>
                <w:kern w:val="0"/>
                <w:lang w:eastAsia="en-AU"/>
                <w14:ligatures w14:val="none"/>
              </w:rPr>
              <w:t xml:space="preserve">hared </w:t>
            </w:r>
            <w:r w:rsidR="00D66250" w:rsidRPr="0073446F">
              <w:rPr>
                <w:rFonts w:ascii="Lato" w:eastAsia="Times New Roman" w:hAnsi="Lato" w:cs="Times New Roman"/>
                <w:kern w:val="0"/>
                <w:lang w:eastAsia="en-AU"/>
                <w14:ligatures w14:val="none"/>
              </w:rPr>
              <w:t>r</w:t>
            </w:r>
            <w:r w:rsidRPr="0073446F">
              <w:rPr>
                <w:rFonts w:ascii="Lato" w:eastAsia="Times New Roman" w:hAnsi="Lato" w:cs="Times New Roman"/>
                <w:kern w:val="0"/>
                <w:lang w:eastAsia="en-AU"/>
                <w14:ligatures w14:val="none"/>
              </w:rPr>
              <w:t xml:space="preserve">esponsibility: Partnerships between employers, </w:t>
            </w:r>
            <w:r w:rsidRPr="0073446F">
              <w:rPr>
                <w:rFonts w:ascii="Lato" w:eastAsia="Times New Roman" w:hAnsi="Lato" w:cs="Times New Roman"/>
                <w:kern w:val="0"/>
                <w:lang w:eastAsia="en-AU"/>
                <w14:ligatures w14:val="none"/>
              </w:rPr>
              <w:br/>
              <w:t>providers and GTOs to deliver support suited to business and regional needs.</w:t>
            </w:r>
          </w:p>
          <w:p w14:paraId="389ED3F3" w14:textId="77777777" w:rsidR="008E0AB2" w:rsidRDefault="008E0AB2" w:rsidP="008E0AB2">
            <w:pPr>
              <w:pStyle w:val="NoSpacing"/>
              <w:spacing w:line="276" w:lineRule="auto"/>
              <w:rPr>
                <w:rFonts w:ascii="Lato" w:eastAsia="Times New Roman" w:hAnsi="Lato" w:cs="Times New Roman"/>
                <w:kern w:val="0"/>
                <w:lang w:eastAsia="en-AU"/>
                <w14:ligatures w14:val="none"/>
              </w:rPr>
            </w:pPr>
          </w:p>
          <w:p w14:paraId="3E1EA898" w14:textId="77777777" w:rsidR="008E0AB2" w:rsidRDefault="008E0AB2" w:rsidP="008E0AB2">
            <w:pPr>
              <w:pStyle w:val="NoSpacing"/>
              <w:spacing w:line="276" w:lineRule="auto"/>
              <w:rPr>
                <w:rFonts w:ascii="Lato" w:eastAsia="Times New Roman" w:hAnsi="Lato" w:cs="Times New Roman"/>
                <w:kern w:val="0"/>
                <w:lang w:eastAsia="en-AU"/>
                <w14:ligatures w14:val="none"/>
              </w:rPr>
            </w:pPr>
          </w:p>
          <w:p w14:paraId="5B0890D6" w14:textId="77777777" w:rsidR="008E0AB2" w:rsidRDefault="008E0AB2" w:rsidP="008E0AB2">
            <w:pPr>
              <w:pStyle w:val="NoSpacing"/>
              <w:spacing w:line="276" w:lineRule="auto"/>
              <w:rPr>
                <w:rFonts w:ascii="Lato" w:eastAsia="Times New Roman" w:hAnsi="Lato" w:cs="Times New Roman"/>
                <w:kern w:val="0"/>
                <w:lang w:eastAsia="en-AU"/>
                <w14:ligatures w14:val="none"/>
              </w:rPr>
            </w:pPr>
          </w:p>
          <w:p w14:paraId="360B675D" w14:textId="77777777" w:rsidR="00625D2E" w:rsidRDefault="00625D2E" w:rsidP="008E0AB2">
            <w:pPr>
              <w:pStyle w:val="NoSpacing"/>
              <w:spacing w:line="276" w:lineRule="auto"/>
              <w:rPr>
                <w:rFonts w:ascii="Lato" w:eastAsia="Times New Roman" w:hAnsi="Lato" w:cs="Times New Roman"/>
                <w:kern w:val="0"/>
                <w:lang w:eastAsia="en-AU"/>
                <w14:ligatures w14:val="none"/>
              </w:rPr>
            </w:pPr>
          </w:p>
          <w:p w14:paraId="100E83B8" w14:textId="77777777" w:rsidR="008E0AB2" w:rsidRDefault="008E0AB2" w:rsidP="008E0AB2">
            <w:pPr>
              <w:pStyle w:val="NoSpacing"/>
              <w:spacing w:line="276" w:lineRule="auto"/>
              <w:rPr>
                <w:rFonts w:ascii="Lato" w:eastAsia="Times New Roman" w:hAnsi="Lato" w:cs="Times New Roman"/>
                <w:kern w:val="0"/>
                <w:lang w:eastAsia="en-AU"/>
                <w14:ligatures w14:val="none"/>
              </w:rPr>
            </w:pPr>
          </w:p>
          <w:p w14:paraId="082C25B7" w14:textId="77777777" w:rsidR="008E0AB2" w:rsidRDefault="008E0AB2" w:rsidP="005A2DB9">
            <w:pPr>
              <w:pStyle w:val="NoSpacing"/>
              <w:spacing w:line="276" w:lineRule="auto"/>
              <w:rPr>
                <w:rFonts w:ascii="Lato" w:eastAsia="Times New Roman" w:hAnsi="Lato" w:cs="Times New Roman"/>
                <w:kern w:val="0"/>
                <w:lang w:eastAsia="en-AU"/>
                <w14:ligatures w14:val="none"/>
              </w:rPr>
            </w:pPr>
          </w:p>
          <w:p w14:paraId="6218D964" w14:textId="51CDD4E2" w:rsidR="007C1CF3" w:rsidRPr="007C1CF3" w:rsidRDefault="00305393" w:rsidP="00B24B6C">
            <w:pPr>
              <w:pStyle w:val="ImplementationPlan1"/>
            </w:pPr>
            <w:bookmarkStart w:id="0" w:name="_Hlk210134870"/>
            <w:r w:rsidRPr="00B24B6C">
              <w:lastRenderedPageBreak/>
              <w:t>Action 2.</w:t>
            </w:r>
            <w:r w:rsidRPr="0073446F">
              <w:rPr>
                <w:rStyle w:val="BookTitle"/>
                <w:rFonts w:ascii="Lato" w:hAnsi="Lato"/>
                <w:i w:val="0"/>
                <w:iCs w:val="0"/>
                <w:color w:val="FF0000"/>
                <w:sz w:val="28"/>
                <w:szCs w:val="28"/>
              </w:rPr>
              <w:t xml:space="preserve"> </w:t>
            </w:r>
            <w:r w:rsidR="007C1CF3" w:rsidRPr="007C1CF3">
              <w:t>Youth and priority cohort Certificate II pathways</w:t>
            </w:r>
          </w:p>
          <w:p w14:paraId="45064204" w14:textId="6D81A6FC" w:rsidR="005E1C54" w:rsidRDefault="000428F3" w:rsidP="0000339E">
            <w:pPr>
              <w:pStyle w:val="NoSpacing"/>
              <w:spacing w:line="276" w:lineRule="auto"/>
              <w:rPr>
                <w:rFonts w:ascii="Lato" w:hAnsi="Lato"/>
              </w:rPr>
            </w:pPr>
            <w:r>
              <w:rPr>
                <w:rStyle w:val="BookTitle"/>
                <w:rFonts w:ascii="Lato" w:hAnsi="Lato"/>
                <w:i w:val="0"/>
                <w:iCs w:val="0"/>
                <w:color w:val="FF0000"/>
                <w:sz w:val="28"/>
                <w:szCs w:val="28"/>
              </w:rPr>
              <w:t xml:space="preserve">                 </w:t>
            </w:r>
            <w:r w:rsidR="00D4418C">
              <w:rPr>
                <w:rStyle w:val="Strong"/>
                <w:rFonts w:ascii="Lato" w:hAnsi="Lato" w:cstheme="minorHAnsi"/>
              </w:rPr>
              <w:t>(</w:t>
            </w:r>
            <w:r w:rsidR="00D4418C" w:rsidRPr="00025619">
              <w:rPr>
                <w:rFonts w:ascii="Lato" w:hAnsi="Lato"/>
              </w:rPr>
              <w:t xml:space="preserve">Upscaling Potential: </w:t>
            </w:r>
            <w:r w:rsidR="00D4418C">
              <w:rPr>
                <w:rFonts w:ascii="Lato" w:hAnsi="Lato"/>
              </w:rPr>
              <w:t>High</w:t>
            </w:r>
            <w:r w:rsidR="00D4418C" w:rsidRPr="00025619">
              <w:rPr>
                <w:rFonts w:ascii="Lato" w:hAnsi="Lato"/>
              </w:rPr>
              <w:t>)</w:t>
            </w:r>
          </w:p>
          <w:p w14:paraId="38299A51" w14:textId="77777777" w:rsidR="005345BF" w:rsidRPr="005A2DB9" w:rsidRDefault="005345BF" w:rsidP="0000339E">
            <w:pPr>
              <w:pStyle w:val="NoSpacing"/>
              <w:spacing w:line="276" w:lineRule="auto"/>
              <w:rPr>
                <w:rFonts w:ascii="Lato" w:hAnsi="Lato" w:cstheme="minorHAnsi"/>
                <w:b/>
                <w:bCs/>
                <w:sz w:val="14"/>
                <w:szCs w:val="14"/>
                <w:lang w:val="en-US"/>
              </w:rPr>
            </w:pPr>
          </w:p>
          <w:p w14:paraId="772D8B28" w14:textId="77777777" w:rsidR="003727E5" w:rsidRDefault="00D4418C" w:rsidP="005A2DB9">
            <w:pPr>
              <w:pStyle w:val="NormalWeb"/>
              <w:spacing w:before="0" w:beforeAutospacing="0" w:after="0" w:afterAutospacing="0" w:line="276" w:lineRule="auto"/>
              <w:rPr>
                <w:rStyle w:val="Strong"/>
                <w:rFonts w:ascii="Lato" w:eastAsiaTheme="minorEastAsia" w:hAnsi="Lato" w:cstheme="minorHAnsi"/>
                <w:kern w:val="2"/>
                <w:sz w:val="22"/>
                <w:szCs w:val="22"/>
                <w:lang w:eastAsia="ja-JP"/>
                <w14:ligatures w14:val="standardContextual"/>
              </w:rPr>
            </w:pPr>
            <w:r w:rsidRPr="005F2F55">
              <w:rPr>
                <w:rFonts w:ascii="Lato" w:hAnsi="Lato" w:cstheme="minorHAnsi"/>
                <w:b/>
                <w:bCs/>
                <w:lang w:val="en-US"/>
              </w:rPr>
              <w:t>Implementation approach</w:t>
            </w:r>
            <w:r>
              <w:rPr>
                <w:rFonts w:ascii="Lato" w:hAnsi="Lato" w:cstheme="minorHAnsi"/>
                <w:b/>
                <w:bCs/>
                <w:lang w:val="en-US"/>
              </w:rPr>
              <w:t xml:space="preserve"> (Expansion of Previous Pilot)</w:t>
            </w:r>
            <w:r>
              <w:rPr>
                <w:rStyle w:val="Strong"/>
                <w:rFonts w:ascii="Lato" w:hAnsi="Lato" w:cstheme="minorHAnsi"/>
              </w:rPr>
              <w:t xml:space="preserve"> </w:t>
            </w:r>
          </w:p>
          <w:p w14:paraId="106679AA" w14:textId="7FCBADE5" w:rsidR="00222A02" w:rsidRPr="00222A02" w:rsidRDefault="00222A02" w:rsidP="00222A02">
            <w:pPr>
              <w:pStyle w:val="NormalWeb"/>
              <w:spacing w:before="0" w:beforeAutospacing="0" w:line="276" w:lineRule="auto"/>
              <w:rPr>
                <w:rFonts w:ascii="Lato" w:hAnsi="Lato"/>
              </w:rPr>
            </w:pPr>
            <w:r w:rsidRPr="00222A02">
              <w:rPr>
                <w:rFonts w:ascii="Lato" w:hAnsi="Lato"/>
              </w:rPr>
              <w:t>This program will be delivered by community organisation</w:t>
            </w:r>
            <w:r w:rsidR="008E0AB2">
              <w:rPr>
                <w:rFonts w:ascii="Lato" w:hAnsi="Lato"/>
              </w:rPr>
              <w:t>s</w:t>
            </w:r>
            <w:r w:rsidRPr="00222A02">
              <w:rPr>
                <w:rFonts w:ascii="Lato" w:hAnsi="Lato"/>
              </w:rPr>
              <w:t xml:space="preserve"> with a proven record of supporting youth and priority cohorts through Certificate II pathways</w:t>
            </w:r>
            <w:r w:rsidR="008E0AB2">
              <w:rPr>
                <w:rFonts w:ascii="Lato" w:hAnsi="Lato"/>
              </w:rPr>
              <w:t xml:space="preserve"> with strong industry alignment</w:t>
            </w:r>
            <w:r w:rsidRPr="00222A02">
              <w:rPr>
                <w:rFonts w:ascii="Lato" w:hAnsi="Lato"/>
              </w:rPr>
              <w:t xml:space="preserve">. Organisations with demonstrated experience in delivering best practice initiatives, achieving strong completion rates and employer engagement will be considered. </w:t>
            </w:r>
            <w:r w:rsidR="008E0AB2">
              <w:rPr>
                <w:rFonts w:ascii="Lato" w:hAnsi="Lato"/>
              </w:rPr>
              <w:br/>
            </w:r>
            <w:r w:rsidR="008E0AB2" w:rsidRPr="005A2DB9">
              <w:rPr>
                <w:rFonts w:ascii="Lato" w:hAnsi="Lato"/>
                <w:sz w:val="16"/>
                <w:szCs w:val="16"/>
              </w:rPr>
              <w:br/>
            </w:r>
            <w:r w:rsidRPr="00222A02">
              <w:rPr>
                <w:rFonts w:ascii="Lato" w:hAnsi="Lato"/>
              </w:rPr>
              <w:t xml:space="preserve">The selected organisation will manage the end-to-end delivery of Certificate II pathways, including the preparatory </w:t>
            </w:r>
            <w:r w:rsidRPr="005A2DB9">
              <w:rPr>
                <w:rFonts w:ascii="Lato" w:hAnsi="Lato"/>
              </w:rPr>
              <w:t>industry readiness program</w:t>
            </w:r>
            <w:r w:rsidRPr="00222A02">
              <w:rPr>
                <w:rFonts w:ascii="Lato" w:hAnsi="Lato"/>
              </w:rPr>
              <w:t>. Community organisation management of the program will include:</w:t>
            </w:r>
          </w:p>
          <w:p w14:paraId="46561A5E" w14:textId="77777777" w:rsidR="00222A02" w:rsidRPr="00222A02" w:rsidRDefault="00222A02" w:rsidP="00222A02">
            <w:pPr>
              <w:pStyle w:val="NormalWeb"/>
              <w:numPr>
                <w:ilvl w:val="0"/>
                <w:numId w:val="21"/>
              </w:numPr>
              <w:spacing w:before="0" w:beforeAutospacing="0" w:line="276" w:lineRule="auto"/>
              <w:rPr>
                <w:rFonts w:ascii="Lato" w:hAnsi="Lato"/>
              </w:rPr>
            </w:pPr>
            <w:r w:rsidRPr="00222A02">
              <w:rPr>
                <w:rFonts w:ascii="Lato" w:hAnsi="Lato"/>
              </w:rPr>
              <w:t>Coordinating with RTOs for training delivery and compliance</w:t>
            </w:r>
          </w:p>
          <w:p w14:paraId="703E570C" w14:textId="77777777" w:rsidR="00222A02" w:rsidRPr="00222A02" w:rsidRDefault="00222A02" w:rsidP="00222A02">
            <w:pPr>
              <w:pStyle w:val="NormalWeb"/>
              <w:numPr>
                <w:ilvl w:val="0"/>
                <w:numId w:val="21"/>
              </w:numPr>
              <w:spacing w:before="0" w:beforeAutospacing="0" w:line="276" w:lineRule="auto"/>
              <w:rPr>
                <w:rFonts w:ascii="Lato" w:hAnsi="Lato"/>
              </w:rPr>
            </w:pPr>
            <w:r w:rsidRPr="00222A02">
              <w:rPr>
                <w:rFonts w:ascii="Lato" w:hAnsi="Lato"/>
              </w:rPr>
              <w:t xml:space="preserve">Managing the </w:t>
            </w:r>
            <w:r w:rsidRPr="005A2DB9">
              <w:rPr>
                <w:rFonts w:ascii="Lato" w:hAnsi="Lato"/>
              </w:rPr>
              <w:t>industry readiness program</w:t>
            </w:r>
            <w:r w:rsidRPr="00222A02">
              <w:rPr>
                <w:rFonts w:ascii="Lato" w:hAnsi="Lato"/>
              </w:rPr>
              <w:t xml:space="preserve"> and pastoral care</w:t>
            </w:r>
          </w:p>
          <w:p w14:paraId="229E4B77" w14:textId="77777777" w:rsidR="00222A02" w:rsidRPr="00222A02" w:rsidRDefault="00222A02" w:rsidP="00222A02">
            <w:pPr>
              <w:pStyle w:val="NormalWeb"/>
              <w:numPr>
                <w:ilvl w:val="0"/>
                <w:numId w:val="21"/>
              </w:numPr>
              <w:spacing w:before="0" w:beforeAutospacing="0" w:line="276" w:lineRule="auto"/>
              <w:rPr>
                <w:rFonts w:ascii="Lato" w:hAnsi="Lato"/>
              </w:rPr>
            </w:pPr>
            <w:r w:rsidRPr="00222A02">
              <w:rPr>
                <w:rFonts w:ascii="Lato" w:hAnsi="Lato"/>
              </w:rPr>
              <w:t>Facilitating employer-linked learning (work tasters, site visits)</w:t>
            </w:r>
          </w:p>
          <w:p w14:paraId="2DC1E17C" w14:textId="77777777" w:rsidR="00222A02" w:rsidRPr="00222A02" w:rsidRDefault="00222A02" w:rsidP="00222A02">
            <w:pPr>
              <w:pStyle w:val="NormalWeb"/>
              <w:numPr>
                <w:ilvl w:val="0"/>
                <w:numId w:val="21"/>
              </w:numPr>
              <w:spacing w:before="0" w:beforeAutospacing="0" w:line="276" w:lineRule="auto"/>
              <w:rPr>
                <w:rFonts w:ascii="Lato" w:hAnsi="Lato"/>
              </w:rPr>
            </w:pPr>
            <w:r w:rsidRPr="00222A02">
              <w:rPr>
                <w:rFonts w:ascii="Lato" w:hAnsi="Lato"/>
              </w:rPr>
              <w:t>Overseeing placement arrangements and monitoring quality</w:t>
            </w:r>
          </w:p>
          <w:p w14:paraId="01F40FF1" w14:textId="77777777" w:rsidR="00222A02" w:rsidRPr="00222A02" w:rsidRDefault="00222A02" w:rsidP="00222A02">
            <w:pPr>
              <w:pStyle w:val="NormalWeb"/>
              <w:numPr>
                <w:ilvl w:val="0"/>
                <w:numId w:val="21"/>
              </w:numPr>
              <w:spacing w:before="0" w:beforeAutospacing="0" w:line="276" w:lineRule="auto"/>
              <w:rPr>
                <w:rFonts w:ascii="Lato" w:hAnsi="Lato"/>
              </w:rPr>
            </w:pPr>
            <w:r w:rsidRPr="00222A02">
              <w:rPr>
                <w:rFonts w:ascii="Lato" w:hAnsi="Lato"/>
              </w:rPr>
              <w:t>Reporting on learner progress, completions, and KPIs to the NT Government</w:t>
            </w:r>
          </w:p>
          <w:p w14:paraId="0B144561" w14:textId="77777777" w:rsidR="00222A02" w:rsidRDefault="00222A02" w:rsidP="008E0AB2">
            <w:pPr>
              <w:pStyle w:val="NormalWeb"/>
              <w:spacing w:before="0" w:beforeAutospacing="0" w:after="0" w:afterAutospacing="0" w:line="276" w:lineRule="auto"/>
              <w:rPr>
                <w:rFonts w:ascii="Lato" w:hAnsi="Lato"/>
              </w:rPr>
            </w:pPr>
            <w:r w:rsidRPr="00222A02">
              <w:rPr>
                <w:rFonts w:ascii="Lato" w:hAnsi="Lato"/>
              </w:rPr>
              <w:t>The program builds on and complements previously delivered pre-employment initiatives (</w:t>
            </w:r>
            <w:proofErr w:type="spellStart"/>
            <w:r w:rsidRPr="00222A02">
              <w:rPr>
                <w:rFonts w:ascii="Lato" w:hAnsi="Lato"/>
              </w:rPr>
              <w:t>Workstart</w:t>
            </w:r>
            <w:proofErr w:type="spellEnd"/>
            <w:r w:rsidRPr="00222A02">
              <w:rPr>
                <w:rFonts w:ascii="Lato" w:hAnsi="Lato"/>
              </w:rPr>
              <w:t xml:space="preserve"> programs) for similar cohorts. The previous </w:t>
            </w:r>
            <w:proofErr w:type="spellStart"/>
            <w:r w:rsidRPr="00222A02">
              <w:rPr>
                <w:rFonts w:ascii="Lato" w:hAnsi="Lato"/>
              </w:rPr>
              <w:t>Workstart</w:t>
            </w:r>
            <w:proofErr w:type="spellEnd"/>
            <w:r w:rsidRPr="00222A02">
              <w:rPr>
                <w:rFonts w:ascii="Lato" w:hAnsi="Lato"/>
              </w:rPr>
              <w:t xml:space="preserve"> pilot achieved high engagement and completion rates in Electrotechnology, supported by strong employer feedback, providing a robust evidence base for this expansion. This initiative addresses the gap where many young people and priority cohorts disengage before completing qualifications due to a lack of structured job-readiness preparation and employer-linked pathways. Industries will be prioritised using NT labour market data, Jobs and Skills Australia forecasts, and employer demand signals.</w:t>
            </w:r>
          </w:p>
          <w:p w14:paraId="74FE096E" w14:textId="77777777" w:rsidR="008E0AB2" w:rsidRPr="005A2DB9" w:rsidRDefault="008E0AB2" w:rsidP="005A2DB9">
            <w:pPr>
              <w:pStyle w:val="NormalWeb"/>
              <w:spacing w:before="0" w:beforeAutospacing="0" w:after="0" w:afterAutospacing="0" w:line="276" w:lineRule="auto"/>
              <w:rPr>
                <w:rFonts w:ascii="Lato" w:hAnsi="Lato"/>
                <w:sz w:val="14"/>
                <w:szCs w:val="14"/>
              </w:rPr>
            </w:pPr>
          </w:p>
          <w:p w14:paraId="23B64FE4" w14:textId="77777777" w:rsidR="00222A02" w:rsidRPr="00222A02" w:rsidRDefault="00222A02" w:rsidP="00222A02">
            <w:pPr>
              <w:pStyle w:val="NormalWeb"/>
              <w:spacing w:before="0" w:beforeAutospacing="0" w:line="276" w:lineRule="auto"/>
              <w:rPr>
                <w:rFonts w:ascii="Lato" w:hAnsi="Lato"/>
              </w:rPr>
            </w:pPr>
            <w:r w:rsidRPr="00222A02">
              <w:rPr>
                <w:rFonts w:ascii="Lato" w:hAnsi="Lato"/>
              </w:rPr>
              <w:t xml:space="preserve">Unlike earlier </w:t>
            </w:r>
            <w:proofErr w:type="spellStart"/>
            <w:r w:rsidRPr="00222A02">
              <w:rPr>
                <w:rFonts w:ascii="Lato" w:hAnsi="Lato"/>
              </w:rPr>
              <w:t>Workstart</w:t>
            </w:r>
            <w:proofErr w:type="spellEnd"/>
            <w:r w:rsidRPr="00222A02">
              <w:rPr>
                <w:rFonts w:ascii="Lato" w:hAnsi="Lato"/>
              </w:rPr>
              <w:t xml:space="preserve"> programs, which delivered a single Certificate II in Electrotechnology, this initiative offers participants a choice from multiple Certificate II streams and begins with a short, intensive </w:t>
            </w:r>
            <w:r w:rsidRPr="005A2DB9">
              <w:rPr>
                <w:rFonts w:ascii="Lato" w:hAnsi="Lato"/>
              </w:rPr>
              <w:t>industry readiness program</w:t>
            </w:r>
            <w:r w:rsidRPr="00222A02">
              <w:rPr>
                <w:rFonts w:ascii="Lato" w:hAnsi="Lato"/>
              </w:rPr>
              <w:t xml:space="preserve"> to build essential life and employability skills before formal training. The </w:t>
            </w:r>
            <w:r w:rsidRPr="005A2DB9">
              <w:rPr>
                <w:rFonts w:ascii="Lato" w:hAnsi="Lato"/>
              </w:rPr>
              <w:t>industry readiness program</w:t>
            </w:r>
            <w:r w:rsidRPr="00222A02">
              <w:rPr>
                <w:rFonts w:ascii="Lato" w:hAnsi="Lato"/>
              </w:rPr>
              <w:t xml:space="preserve"> specifically addresses the gap where young people and priority cohorts often lack essential life skills, workplace behaviours, and job-readiness before entering formal training. It focuses on workplace behaviours and job-readiness, not language, literacy or numeracy remediation.</w:t>
            </w:r>
          </w:p>
          <w:p w14:paraId="2423AA66" w14:textId="37CDCF11" w:rsidR="00222A02" w:rsidRPr="005A2DB9" w:rsidRDefault="00222A02" w:rsidP="005A2DB9">
            <w:pPr>
              <w:pStyle w:val="NormalWeb"/>
              <w:spacing w:before="0" w:beforeAutospacing="0" w:after="0" w:afterAutospacing="0" w:line="276" w:lineRule="auto"/>
              <w:rPr>
                <w:rFonts w:ascii="Lato" w:hAnsi="Lato"/>
                <w:sz w:val="14"/>
                <w:szCs w:val="14"/>
              </w:rPr>
            </w:pPr>
            <w:r w:rsidRPr="00222A02">
              <w:rPr>
                <w:rFonts w:ascii="Lato" w:hAnsi="Lato"/>
              </w:rPr>
              <w:t xml:space="preserve">The program will support young people aged 16–24 who are preparing to leave school or have already left school. These participants will undertake the </w:t>
            </w:r>
            <w:r w:rsidRPr="005A2DB9">
              <w:rPr>
                <w:rFonts w:ascii="Lato" w:hAnsi="Lato"/>
              </w:rPr>
              <w:t>industry readiness program</w:t>
            </w:r>
            <w:r w:rsidRPr="00222A02">
              <w:rPr>
                <w:rFonts w:ascii="Lato" w:hAnsi="Lato"/>
              </w:rPr>
              <w:t xml:space="preserve"> and transition into Certificate II pathways delivered by RTOs in flexible formats.</w:t>
            </w:r>
            <w:r>
              <w:rPr>
                <w:rFonts w:ascii="Lato" w:hAnsi="Lato"/>
              </w:rPr>
              <w:br/>
            </w:r>
          </w:p>
          <w:p w14:paraId="4DEA3943" w14:textId="2459BEE0" w:rsidR="00222A02" w:rsidRPr="005A2DB9" w:rsidRDefault="00222A02" w:rsidP="005A2DB9">
            <w:pPr>
              <w:pStyle w:val="NormalWeb"/>
              <w:spacing w:before="0" w:beforeAutospacing="0" w:after="0" w:afterAutospacing="0" w:line="276" w:lineRule="auto"/>
              <w:rPr>
                <w:rFonts w:ascii="Lato" w:hAnsi="Lato"/>
                <w:sz w:val="16"/>
                <w:szCs w:val="16"/>
              </w:rPr>
            </w:pPr>
            <w:r w:rsidRPr="00222A02">
              <w:rPr>
                <w:rFonts w:ascii="Lato" w:hAnsi="Lato"/>
              </w:rPr>
              <w:lastRenderedPageBreak/>
              <w:t>The community organisation will receive support to:</w:t>
            </w:r>
            <w:r>
              <w:rPr>
                <w:rFonts w:ascii="Lato" w:hAnsi="Lato"/>
              </w:rPr>
              <w:br/>
            </w:r>
          </w:p>
          <w:p w14:paraId="2DA39519"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 xml:space="preserve">Cover management fees for coordination with RTOs, delivery of the </w:t>
            </w:r>
            <w:r w:rsidRPr="005A2DB9">
              <w:rPr>
                <w:rFonts w:ascii="Lato" w:hAnsi="Lato"/>
              </w:rPr>
              <w:t>industry readiness program</w:t>
            </w:r>
            <w:r w:rsidRPr="00222A02">
              <w:rPr>
                <w:rFonts w:ascii="Lato" w:hAnsi="Lato"/>
              </w:rPr>
              <w:t>, pastoral care, employer engagement, placement oversight, and reporting</w:t>
            </w:r>
          </w:p>
          <w:p w14:paraId="779BA277"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 xml:space="preserve">Deliver the </w:t>
            </w:r>
            <w:r w:rsidRPr="005A2DB9">
              <w:rPr>
                <w:rFonts w:ascii="Lato" w:hAnsi="Lato"/>
              </w:rPr>
              <w:t>industry readiness program</w:t>
            </w:r>
          </w:p>
          <w:p w14:paraId="28B4ACE3"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Support industry engagement to inform co-design</w:t>
            </w:r>
          </w:p>
          <w:p w14:paraId="36594B78"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Facilitate work placements</w:t>
            </w:r>
          </w:p>
          <w:p w14:paraId="1AB10D9E"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Engage RTOs to deliver training and upskill staff</w:t>
            </w:r>
          </w:p>
          <w:p w14:paraId="156423C5" w14:textId="77777777" w:rsidR="00222A02" w:rsidRPr="00222A02" w:rsidRDefault="00222A02" w:rsidP="00222A02">
            <w:pPr>
              <w:pStyle w:val="NormalWeb"/>
              <w:numPr>
                <w:ilvl w:val="0"/>
                <w:numId w:val="22"/>
              </w:numPr>
              <w:spacing w:before="0" w:beforeAutospacing="0" w:line="276" w:lineRule="auto"/>
              <w:rPr>
                <w:rFonts w:ascii="Lato" w:hAnsi="Lato"/>
              </w:rPr>
            </w:pPr>
            <w:r w:rsidRPr="00222A02">
              <w:rPr>
                <w:rFonts w:ascii="Lato" w:hAnsi="Lato"/>
              </w:rPr>
              <w:t>Enable RTOs to identify at-risk qualifications and cohorts and propose targeted interventions</w:t>
            </w:r>
          </w:p>
          <w:p w14:paraId="3DBCE6FA" w14:textId="77777777" w:rsidR="00222A02" w:rsidRPr="00222A02" w:rsidRDefault="00222A02" w:rsidP="00222A02">
            <w:pPr>
              <w:pStyle w:val="NormalWeb"/>
              <w:spacing w:before="0" w:beforeAutospacing="0" w:line="276" w:lineRule="auto"/>
              <w:rPr>
                <w:rFonts w:ascii="Lato" w:hAnsi="Lato"/>
              </w:rPr>
            </w:pPr>
            <w:r w:rsidRPr="00222A02">
              <w:rPr>
                <w:rFonts w:ascii="Lato" w:hAnsi="Lato"/>
              </w:rPr>
              <w:t>Initiatives will be piloted and refined based on evidence, employer feedback, and learner outcomes, with successful approaches embedded into standard practice.</w:t>
            </w:r>
          </w:p>
          <w:p w14:paraId="12F5D752" w14:textId="77777777" w:rsidR="00222A02" w:rsidRPr="00222A02" w:rsidRDefault="00222A02" w:rsidP="00222A02">
            <w:pPr>
              <w:pStyle w:val="NormalWeb"/>
              <w:spacing w:before="0" w:beforeAutospacing="0" w:line="276" w:lineRule="auto"/>
              <w:rPr>
                <w:rFonts w:ascii="Lato" w:hAnsi="Lato"/>
              </w:rPr>
            </w:pPr>
            <w:r w:rsidRPr="00222A02">
              <w:rPr>
                <w:rFonts w:ascii="Lato" w:hAnsi="Lato"/>
              </w:rPr>
              <w:t>Throughput will be demand-driven and informed by employer engagement, with capacity to scale across multiple Certificate II streams as required. Annual intake volumes will reflect pilot outcomes and labour market needs, ensuring flexibility rather than fixed targets. Anticipated class size is 15–20 learners per cohort, with cohorts launched only when confirmed employer placements and mentor capacity are in place. Minimum viable cohort size will be specified in the Action Plan. Regional delivery will prioritise Darwin, with Alice Springs considered based on outcomes from the Darwin pilot.</w:t>
            </w:r>
          </w:p>
          <w:p w14:paraId="32196CEF" w14:textId="35066FF1" w:rsidR="0064196A" w:rsidRPr="0073446F" w:rsidRDefault="005E1C54" w:rsidP="0073446F">
            <w:pPr>
              <w:pStyle w:val="NoSpacing"/>
              <w:spacing w:line="276" w:lineRule="auto"/>
              <w:rPr>
                <w:rFonts w:ascii="Lato" w:hAnsi="Lato" w:cstheme="minorHAnsi"/>
                <w:b/>
                <w:bCs/>
                <w:lang w:val="en-US"/>
              </w:rPr>
            </w:pPr>
            <w:r w:rsidRPr="00DF7220">
              <w:rPr>
                <w:rFonts w:ascii="Lato" w:hAnsi="Lato" w:cstheme="minorHAnsi"/>
                <w:lang w:val="en-US"/>
              </w:rPr>
              <w:t xml:space="preserve"> </w:t>
            </w:r>
            <w:r w:rsidR="0064196A" w:rsidRPr="0073446F">
              <w:rPr>
                <w:rFonts w:ascii="Lato" w:hAnsi="Lato" w:cstheme="minorHAnsi"/>
                <w:b/>
                <w:bCs/>
                <w:lang w:val="en-US"/>
              </w:rPr>
              <w:t>Key elements</w:t>
            </w:r>
          </w:p>
          <w:p w14:paraId="174E7C97" w14:textId="727D1784" w:rsidR="00A01F46" w:rsidRPr="00A01F46" w:rsidRDefault="00A01F46" w:rsidP="00073325">
            <w:pPr>
              <w:pStyle w:val="NoSpacing"/>
              <w:numPr>
                <w:ilvl w:val="0"/>
                <w:numId w:val="8"/>
              </w:numPr>
              <w:spacing w:line="276" w:lineRule="auto"/>
              <w:rPr>
                <w:rFonts w:ascii="Lato" w:hAnsi="Lato" w:cstheme="minorHAnsi"/>
                <w:lang w:val="en-US"/>
              </w:rPr>
            </w:pPr>
            <w:r w:rsidRPr="00A01F46">
              <w:rPr>
                <w:rFonts w:ascii="Lato" w:hAnsi="Lato" w:cstheme="minorHAnsi"/>
                <w:lang w:val="en-US"/>
              </w:rPr>
              <w:t xml:space="preserve">Pre-training </w:t>
            </w:r>
            <w:r w:rsidR="00B6535B">
              <w:rPr>
                <w:rFonts w:ascii="Lato" w:hAnsi="Lato" w:cstheme="minorHAnsi"/>
                <w:lang w:val="en-US"/>
              </w:rPr>
              <w:t>industry readiness</w:t>
            </w:r>
            <w:r w:rsidRPr="00A01F46">
              <w:rPr>
                <w:rFonts w:ascii="Lato" w:hAnsi="Lato" w:cstheme="minorHAnsi"/>
                <w:lang w:val="en-US"/>
              </w:rPr>
              <w:t xml:space="preserve"> program covering life skills, employment readiness, and vocational exploration.</w:t>
            </w:r>
          </w:p>
          <w:p w14:paraId="390E7191" w14:textId="16A5BF9C" w:rsidR="00A01F46" w:rsidRPr="00A01F46" w:rsidRDefault="00A01F46" w:rsidP="00073325">
            <w:pPr>
              <w:pStyle w:val="NoSpacing"/>
              <w:numPr>
                <w:ilvl w:val="0"/>
                <w:numId w:val="8"/>
              </w:numPr>
              <w:spacing w:line="276" w:lineRule="auto"/>
              <w:rPr>
                <w:rFonts w:ascii="Lato" w:hAnsi="Lato" w:cstheme="minorHAnsi"/>
                <w:lang w:val="en-US"/>
              </w:rPr>
            </w:pPr>
            <w:r w:rsidRPr="00A01F46">
              <w:rPr>
                <w:rFonts w:ascii="Lato" w:hAnsi="Lato" w:cstheme="minorHAnsi"/>
                <w:lang w:val="en-US"/>
              </w:rPr>
              <w:t xml:space="preserve">Cohort-based Certificate II pathways for </w:t>
            </w:r>
            <w:proofErr w:type="spellStart"/>
            <w:r w:rsidRPr="00A01F46">
              <w:rPr>
                <w:rFonts w:ascii="Lato" w:hAnsi="Lato" w:cstheme="minorHAnsi"/>
                <w:lang w:val="en-US"/>
              </w:rPr>
              <w:t>marginalised</w:t>
            </w:r>
            <w:proofErr w:type="spellEnd"/>
            <w:r w:rsidRPr="00A01F46">
              <w:rPr>
                <w:rFonts w:ascii="Lato" w:hAnsi="Lato" w:cstheme="minorHAnsi"/>
                <w:lang w:val="en-US"/>
              </w:rPr>
              <w:t xml:space="preserve"> youth, with pastoral care and employer-linked learning.</w:t>
            </w:r>
          </w:p>
          <w:p w14:paraId="7A2790CD" w14:textId="45EB4F4C" w:rsidR="00A01F46" w:rsidRPr="00A01F46" w:rsidRDefault="00A01F46" w:rsidP="00073325">
            <w:pPr>
              <w:pStyle w:val="NoSpacing"/>
              <w:numPr>
                <w:ilvl w:val="0"/>
                <w:numId w:val="8"/>
              </w:numPr>
              <w:spacing w:line="276" w:lineRule="auto"/>
              <w:rPr>
                <w:rFonts w:ascii="Lato" w:hAnsi="Lato" w:cstheme="minorHAnsi"/>
                <w:lang w:val="en-US"/>
              </w:rPr>
            </w:pPr>
            <w:r w:rsidRPr="00A01F46">
              <w:rPr>
                <w:rFonts w:ascii="Lato" w:hAnsi="Lato" w:cstheme="minorHAnsi"/>
                <w:lang w:val="en-US"/>
              </w:rPr>
              <w:t>Co-designed delivery models with employers and community partners, including flexible formats such as block release and modular learning tailored to sector needs.</w:t>
            </w:r>
          </w:p>
          <w:p w14:paraId="5AEB1377" w14:textId="1A8D497B" w:rsidR="00A01F46" w:rsidRPr="00A01F46" w:rsidRDefault="00A01F46" w:rsidP="00073325">
            <w:pPr>
              <w:pStyle w:val="NoSpacing"/>
              <w:numPr>
                <w:ilvl w:val="0"/>
                <w:numId w:val="8"/>
              </w:numPr>
              <w:spacing w:line="276" w:lineRule="auto"/>
              <w:rPr>
                <w:rFonts w:ascii="Lato" w:hAnsi="Lato" w:cstheme="minorHAnsi"/>
                <w:lang w:val="en-US"/>
              </w:rPr>
            </w:pPr>
            <w:r w:rsidRPr="00A01F46">
              <w:rPr>
                <w:rFonts w:ascii="Lato" w:hAnsi="Lato" w:cstheme="minorHAnsi"/>
                <w:lang w:val="en-US"/>
              </w:rPr>
              <w:t>Employer-endorsed standards and structured assessments to confirm job-readiness.</w:t>
            </w:r>
          </w:p>
          <w:p w14:paraId="47561611" w14:textId="030004F1" w:rsidR="00A01F46" w:rsidRDefault="00A01F46" w:rsidP="00073325">
            <w:pPr>
              <w:pStyle w:val="NoSpacing"/>
              <w:numPr>
                <w:ilvl w:val="0"/>
                <w:numId w:val="8"/>
              </w:numPr>
              <w:spacing w:line="276" w:lineRule="auto"/>
              <w:rPr>
                <w:rFonts w:ascii="Lato" w:hAnsi="Lato" w:cstheme="minorHAnsi"/>
                <w:lang w:val="en-US"/>
              </w:rPr>
            </w:pPr>
            <w:r w:rsidRPr="00A01F46">
              <w:rPr>
                <w:rFonts w:ascii="Lato" w:hAnsi="Lato" w:cstheme="minorHAnsi"/>
                <w:lang w:val="en-US"/>
              </w:rPr>
              <w:t>Data-led identification of at-risk qualifications and cohorts, with targeted interventions.</w:t>
            </w:r>
          </w:p>
          <w:p w14:paraId="6C2A5DE7" w14:textId="77777777" w:rsidR="0093076D" w:rsidRDefault="0093076D" w:rsidP="0093076D">
            <w:pPr>
              <w:pStyle w:val="NoSpacing"/>
              <w:spacing w:line="276" w:lineRule="auto"/>
              <w:rPr>
                <w:rFonts w:ascii="Lato" w:hAnsi="Lato" w:cstheme="minorHAnsi"/>
                <w:lang w:val="en-US"/>
              </w:rPr>
            </w:pPr>
          </w:p>
          <w:p w14:paraId="7C6E179A" w14:textId="77777777" w:rsidR="0093076D" w:rsidRDefault="0093076D" w:rsidP="0093076D">
            <w:pPr>
              <w:pStyle w:val="NoSpacing"/>
              <w:spacing w:line="276" w:lineRule="auto"/>
              <w:rPr>
                <w:rFonts w:ascii="Lato" w:hAnsi="Lato" w:cstheme="minorHAnsi"/>
                <w:lang w:val="en-US"/>
              </w:rPr>
            </w:pPr>
          </w:p>
          <w:p w14:paraId="4C200B33" w14:textId="77777777" w:rsidR="00FF6A96" w:rsidRDefault="00FF6A96" w:rsidP="0093076D">
            <w:pPr>
              <w:pStyle w:val="NoSpacing"/>
              <w:spacing w:line="276" w:lineRule="auto"/>
              <w:rPr>
                <w:rFonts w:ascii="Lato" w:hAnsi="Lato" w:cstheme="minorHAnsi"/>
                <w:lang w:val="en-US"/>
              </w:rPr>
            </w:pPr>
          </w:p>
          <w:p w14:paraId="58D11CF4" w14:textId="77777777" w:rsidR="0093076D" w:rsidRDefault="0093076D" w:rsidP="0093076D">
            <w:pPr>
              <w:pStyle w:val="NoSpacing"/>
              <w:spacing w:line="276" w:lineRule="auto"/>
              <w:rPr>
                <w:rFonts w:ascii="Lato" w:hAnsi="Lato" w:cstheme="minorHAnsi"/>
                <w:lang w:val="en-US"/>
              </w:rPr>
            </w:pPr>
          </w:p>
          <w:p w14:paraId="4329BF1A" w14:textId="77777777" w:rsidR="00B24B6C" w:rsidRDefault="00B24B6C" w:rsidP="0093076D">
            <w:pPr>
              <w:pStyle w:val="NoSpacing"/>
              <w:spacing w:line="276" w:lineRule="auto"/>
              <w:rPr>
                <w:rFonts w:ascii="Lato" w:hAnsi="Lato" w:cstheme="minorHAnsi"/>
                <w:lang w:val="en-US"/>
              </w:rPr>
            </w:pPr>
          </w:p>
          <w:p w14:paraId="7F426E09" w14:textId="77777777" w:rsidR="00B24B6C" w:rsidRDefault="00B24B6C" w:rsidP="0093076D">
            <w:pPr>
              <w:pStyle w:val="NoSpacing"/>
              <w:spacing w:line="276" w:lineRule="auto"/>
              <w:rPr>
                <w:rFonts w:ascii="Lato" w:hAnsi="Lato" w:cstheme="minorHAnsi"/>
                <w:lang w:val="en-US"/>
              </w:rPr>
            </w:pPr>
          </w:p>
          <w:p w14:paraId="5EF6C5FF" w14:textId="77777777" w:rsidR="00B24B6C" w:rsidRDefault="00B24B6C" w:rsidP="0093076D">
            <w:pPr>
              <w:pStyle w:val="NoSpacing"/>
              <w:spacing w:line="276" w:lineRule="auto"/>
              <w:rPr>
                <w:rFonts w:ascii="Lato" w:hAnsi="Lato" w:cstheme="minorHAnsi"/>
                <w:lang w:val="en-US"/>
              </w:rPr>
            </w:pPr>
          </w:p>
          <w:p w14:paraId="0FA2E3F4" w14:textId="77777777" w:rsidR="00B24B6C" w:rsidRDefault="00B24B6C" w:rsidP="0093076D">
            <w:pPr>
              <w:pStyle w:val="NoSpacing"/>
              <w:spacing w:line="276" w:lineRule="auto"/>
              <w:rPr>
                <w:rFonts w:ascii="Lato" w:hAnsi="Lato" w:cstheme="minorHAnsi"/>
                <w:lang w:val="en-US"/>
              </w:rPr>
            </w:pPr>
          </w:p>
          <w:p w14:paraId="2415E517" w14:textId="77777777" w:rsidR="00B24B6C" w:rsidRDefault="00B24B6C" w:rsidP="0093076D">
            <w:pPr>
              <w:pStyle w:val="NoSpacing"/>
              <w:spacing w:line="276" w:lineRule="auto"/>
              <w:rPr>
                <w:rFonts w:ascii="Lato" w:hAnsi="Lato" w:cstheme="minorHAnsi"/>
                <w:lang w:val="en-US"/>
              </w:rPr>
            </w:pPr>
          </w:p>
          <w:bookmarkEnd w:id="0"/>
          <w:p w14:paraId="3F9ACDC7" w14:textId="598900A4" w:rsidR="007C1CF3" w:rsidRPr="00B24B6C" w:rsidRDefault="006E5CE2" w:rsidP="00B24B6C">
            <w:pPr>
              <w:pStyle w:val="ImplementationPlan1"/>
            </w:pPr>
            <w:r w:rsidRPr="00B24B6C">
              <w:rPr>
                <w:rStyle w:val="BookTitle"/>
                <w:b/>
                <w:bCs/>
                <w:i w:val="0"/>
                <w:iCs w:val="0"/>
                <w:spacing w:val="0"/>
              </w:rPr>
              <w:lastRenderedPageBreak/>
              <w:t xml:space="preserve">Action 3 – </w:t>
            </w:r>
            <w:r w:rsidR="007C1CF3" w:rsidRPr="00B24B6C">
              <w:t xml:space="preserve">Small and Medium Enterprise (SME) continuity and </w:t>
            </w:r>
            <w:r w:rsidR="007C1CF3" w:rsidRPr="00B24B6C">
              <w:tab/>
            </w:r>
            <w:r w:rsidR="007C1CF3" w:rsidRPr="00B24B6C">
              <w:tab/>
            </w:r>
            <w:r w:rsidR="007C1CF3" w:rsidRPr="00B24B6C">
              <w:tab/>
              <w:t>School-Based Apprenticeships and Traineeships (SBAT)</w:t>
            </w:r>
          </w:p>
          <w:p w14:paraId="1D9ECAB8" w14:textId="3EAED398" w:rsidR="006E5CE2" w:rsidRPr="005A2DB9" w:rsidRDefault="000428F3" w:rsidP="0073446F">
            <w:pPr>
              <w:pStyle w:val="Heading1"/>
              <w:spacing w:before="0"/>
              <w:rPr>
                <w:rStyle w:val="BookTitle"/>
                <w:rFonts w:ascii="Lato" w:eastAsiaTheme="minorEastAsia" w:hAnsi="Lato" w:cstheme="minorBidi"/>
                <w:b w:val="0"/>
                <w:bCs w:val="0"/>
                <w:i w:val="0"/>
                <w:iCs w:val="0"/>
                <w:color w:val="auto"/>
                <w:sz w:val="22"/>
                <w:szCs w:val="22"/>
                <w:lang w:eastAsia="ja-JP"/>
              </w:rPr>
            </w:pPr>
            <w:r>
              <w:rPr>
                <w:rStyle w:val="BookTitle"/>
                <w:rFonts w:ascii="Lato" w:eastAsiaTheme="minorEastAsia" w:hAnsi="Lato" w:cstheme="minorBidi"/>
                <w:i w:val="0"/>
                <w:iCs w:val="0"/>
                <w:color w:val="auto"/>
                <w:sz w:val="22"/>
                <w:szCs w:val="22"/>
                <w:lang w:eastAsia="ja-JP"/>
              </w:rPr>
              <w:t xml:space="preserve">                         </w:t>
            </w:r>
            <w:r w:rsidR="00DB3E06" w:rsidRPr="0073446F">
              <w:rPr>
                <w:rStyle w:val="BookTitle"/>
                <w:rFonts w:ascii="Lato" w:eastAsiaTheme="minorEastAsia" w:hAnsi="Lato" w:cstheme="minorBidi"/>
                <w:i w:val="0"/>
                <w:iCs w:val="0"/>
                <w:color w:val="auto"/>
                <w:sz w:val="22"/>
                <w:szCs w:val="22"/>
                <w:lang w:eastAsia="ja-JP"/>
              </w:rPr>
              <w:t>(</w:t>
            </w:r>
            <w:r w:rsidR="00DB3E06" w:rsidRPr="0073446F">
              <w:rPr>
                <w:rFonts w:ascii="Lato" w:eastAsiaTheme="minorEastAsia" w:hAnsi="Lato" w:cstheme="minorBidi"/>
                <w:color w:val="auto"/>
                <w:spacing w:val="5"/>
                <w:sz w:val="22"/>
                <w:szCs w:val="22"/>
                <w:lang w:eastAsia="ja-JP"/>
              </w:rPr>
              <w:t>Upscaling Potential: Moderate</w:t>
            </w:r>
            <w:r w:rsidR="00DB3E06">
              <w:rPr>
                <w:rFonts w:ascii="Lato" w:eastAsiaTheme="minorEastAsia" w:hAnsi="Lato" w:cstheme="minorBidi"/>
                <w:color w:val="auto"/>
                <w:spacing w:val="5"/>
                <w:sz w:val="22"/>
                <w:szCs w:val="22"/>
                <w:lang w:eastAsia="ja-JP"/>
              </w:rPr>
              <w:t xml:space="preserve"> to High</w:t>
            </w:r>
            <w:r w:rsidR="00DB3E06" w:rsidRPr="0073446F">
              <w:rPr>
                <w:rFonts w:ascii="Lato" w:eastAsiaTheme="minorEastAsia" w:hAnsi="Lato" w:cstheme="minorBidi"/>
                <w:color w:val="auto"/>
                <w:spacing w:val="5"/>
                <w:sz w:val="22"/>
                <w:szCs w:val="22"/>
                <w:lang w:eastAsia="ja-JP"/>
              </w:rPr>
              <w:t>)</w:t>
            </w:r>
            <w:r w:rsidR="006E5CE2" w:rsidRPr="00DB3E06">
              <w:rPr>
                <w:rStyle w:val="BookTitle"/>
                <w:rFonts w:ascii="Lato" w:eastAsiaTheme="minorEastAsia" w:hAnsi="Lato" w:cstheme="minorBidi"/>
                <w:color w:val="auto"/>
                <w:sz w:val="22"/>
                <w:szCs w:val="22"/>
                <w:lang w:eastAsia="ja-JP"/>
              </w:rPr>
              <w:br/>
            </w:r>
          </w:p>
          <w:p w14:paraId="2838BCC3" w14:textId="68B9E369" w:rsidR="005E1C54" w:rsidRPr="00B1338B" w:rsidRDefault="005E1C54" w:rsidP="005A2DB9">
            <w:pPr>
              <w:pStyle w:val="Heading2"/>
              <w:spacing w:line="276" w:lineRule="auto"/>
              <w:rPr>
                <w:rFonts w:ascii="Lato" w:hAnsi="Lato"/>
                <w:sz w:val="10"/>
                <w:szCs w:val="10"/>
              </w:rPr>
            </w:pPr>
            <w:r w:rsidRPr="00B1338B">
              <w:rPr>
                <w:rStyle w:val="BookTitle"/>
                <w:rFonts w:ascii="Lato" w:eastAsiaTheme="minorEastAsia" w:hAnsi="Lato" w:cstheme="minorBidi"/>
                <w:i w:val="0"/>
                <w:iCs w:val="0"/>
                <w:color w:val="auto"/>
                <w:sz w:val="22"/>
                <w:szCs w:val="22"/>
              </w:rPr>
              <w:t>Implementation Approach</w:t>
            </w:r>
            <w:r>
              <w:rPr>
                <w:rStyle w:val="BookTitle"/>
                <w:rFonts w:ascii="Lato" w:eastAsiaTheme="minorEastAsia" w:hAnsi="Lato" w:cstheme="minorBidi"/>
                <w:color w:val="auto"/>
                <w:sz w:val="22"/>
                <w:szCs w:val="22"/>
              </w:rPr>
              <w:t xml:space="preserve"> </w:t>
            </w:r>
            <w:r w:rsidRPr="00B1338B">
              <w:rPr>
                <w:rStyle w:val="BookTitle"/>
                <w:rFonts w:ascii="Lato" w:eastAsiaTheme="minorEastAsia" w:hAnsi="Lato" w:cstheme="minorBidi"/>
                <w:i w:val="0"/>
                <w:iCs w:val="0"/>
                <w:color w:val="auto"/>
                <w:sz w:val="22"/>
                <w:szCs w:val="22"/>
              </w:rPr>
              <w:t>(New Initiative)</w:t>
            </w:r>
          </w:p>
          <w:p w14:paraId="6907022D" w14:textId="77777777" w:rsidR="003E2703" w:rsidRDefault="003E2703" w:rsidP="003E2703">
            <w:pPr>
              <w:spacing w:line="276" w:lineRule="auto"/>
              <w:rPr>
                <w:rFonts w:ascii="Lato" w:hAnsi="Lato"/>
              </w:rPr>
            </w:pPr>
            <w:r w:rsidRPr="003E2703">
              <w:rPr>
                <w:rFonts w:ascii="Lato" w:hAnsi="Lato"/>
              </w:rPr>
              <w:t>Action 3 builds on the existing role of the two Group Training Organisations (GTOs) in providing continuity for apprentices and trainees when small and medium-sized employers (SMEs) cannot complete the training on their own. It also strengthens links between schools, employers and training providers to support school-based apprenticeships and traineeships, leveraging Local Jobs Networks to identify employers and coordinate support.</w:t>
            </w:r>
          </w:p>
          <w:p w14:paraId="0AFCECBB" w14:textId="77777777" w:rsidR="003E2703" w:rsidRPr="005A2DB9" w:rsidRDefault="003E2703" w:rsidP="003E2703">
            <w:pPr>
              <w:spacing w:line="276" w:lineRule="auto"/>
              <w:rPr>
                <w:rFonts w:ascii="Lato" w:hAnsi="Lato"/>
                <w:sz w:val="12"/>
                <w:szCs w:val="12"/>
              </w:rPr>
            </w:pPr>
          </w:p>
          <w:p w14:paraId="6513863D" w14:textId="61A479F6" w:rsidR="003E2703" w:rsidRDefault="003E2703" w:rsidP="003E2703">
            <w:pPr>
              <w:spacing w:line="276" w:lineRule="auto"/>
              <w:rPr>
                <w:rFonts w:ascii="Lato" w:hAnsi="Lato"/>
              </w:rPr>
            </w:pPr>
            <w:r w:rsidRPr="003E2703">
              <w:rPr>
                <w:rFonts w:ascii="Lato" w:hAnsi="Lato"/>
              </w:rPr>
              <w:t>SMEs play a critical role in providing apprenticeship and traineeship opportunities across the Northern Territory but often face challenges sustaining placements through to completion. Limited staffing, fluctuating workloads, and supervision costs add pressure on smaller employers. Under this initiative, targeted support will help at-risk SMEs maintain training continuity. Where an employer cannot complete the apprenticeship or traineeship, the initiative will enable and incentivise transfer to a Group Training Organisation (GTO), ensuring the learner continues training without disruption. This will be achieved through subsidised GTO hosting fees and streamlined transfer arrangements, reducing costs and administrative burden for employers, with SME vetting and SBAT KPIs embedded as risk mitigations.</w:t>
            </w:r>
          </w:p>
          <w:p w14:paraId="3B1F05CE" w14:textId="77777777" w:rsidR="003E2703" w:rsidRPr="005A2DB9" w:rsidRDefault="003E2703" w:rsidP="003E2703">
            <w:pPr>
              <w:spacing w:line="276" w:lineRule="auto"/>
              <w:rPr>
                <w:rFonts w:ascii="Lato" w:hAnsi="Lato"/>
                <w:sz w:val="12"/>
                <w:szCs w:val="12"/>
              </w:rPr>
            </w:pPr>
          </w:p>
          <w:p w14:paraId="7BBCA199" w14:textId="77777777" w:rsidR="003E2703" w:rsidRDefault="003E2703" w:rsidP="003E2703">
            <w:pPr>
              <w:spacing w:line="276" w:lineRule="auto"/>
              <w:rPr>
                <w:rFonts w:ascii="Lato" w:hAnsi="Lato"/>
              </w:rPr>
            </w:pPr>
            <w:r w:rsidRPr="003E2703">
              <w:rPr>
                <w:rFonts w:ascii="Lato" w:hAnsi="Lato"/>
              </w:rPr>
              <w:t>Liaison officers will be employed through participating GTOs, ensuring local delivery and strong links to employers and apprentices. These officers will coordinate with Apprenticeships Northern Territory (the NT’s Apprentice Connect provider) under clear protocols to complement, rather than duplicate, existing wrap-around supports such as mentoring, pastoral care and peer support. This partnership approach ensures a consistent level of service while extending support to SMEs and apprentices who may not currently access these services.</w:t>
            </w:r>
          </w:p>
          <w:p w14:paraId="49ED10D9" w14:textId="77777777" w:rsidR="003E2703" w:rsidRPr="005A2DB9" w:rsidRDefault="003E2703" w:rsidP="003E2703">
            <w:pPr>
              <w:spacing w:line="276" w:lineRule="auto"/>
              <w:rPr>
                <w:rFonts w:ascii="Lato" w:hAnsi="Lato"/>
                <w:sz w:val="12"/>
                <w:szCs w:val="12"/>
              </w:rPr>
            </w:pPr>
          </w:p>
          <w:p w14:paraId="0E9054D5" w14:textId="77777777" w:rsidR="003E2703" w:rsidRPr="003E2703" w:rsidRDefault="003E2703" w:rsidP="003E2703">
            <w:pPr>
              <w:spacing w:line="276" w:lineRule="auto"/>
              <w:rPr>
                <w:rFonts w:ascii="Lato" w:hAnsi="Lato"/>
              </w:rPr>
            </w:pPr>
            <w:r w:rsidRPr="003E2703">
              <w:rPr>
                <w:rFonts w:ascii="Lato" w:hAnsi="Lato"/>
              </w:rPr>
              <w:t>By dedicating liaison officers to work with schools in Alice Springs and Darwin and providing mentoring and pastoral care, this strategy ensures learners receive consistent support across different settings. These measures help maintain quality and improve completion rates, particularly for learners in regional areas and those from priority groups.</w:t>
            </w:r>
          </w:p>
          <w:p w14:paraId="1FCE7E98" w14:textId="77777777" w:rsidR="005E1C54" w:rsidRPr="005A2DB9" w:rsidRDefault="005E1C54">
            <w:pPr>
              <w:pStyle w:val="Heading2"/>
              <w:spacing w:line="276" w:lineRule="auto"/>
              <w:rPr>
                <w:rStyle w:val="BookTitle"/>
                <w:rFonts w:ascii="Lato" w:eastAsiaTheme="minorEastAsia" w:hAnsi="Lato" w:cstheme="minorBidi"/>
                <w:i w:val="0"/>
                <w:iCs w:val="0"/>
                <w:color w:val="auto"/>
                <w:sz w:val="12"/>
                <w:szCs w:val="12"/>
              </w:rPr>
            </w:pPr>
          </w:p>
          <w:p w14:paraId="6FD3AFBC" w14:textId="6DE25B1E" w:rsidR="006E5CE2" w:rsidRPr="0073446F" w:rsidRDefault="006E5CE2" w:rsidP="0073446F">
            <w:pPr>
              <w:pStyle w:val="Heading2"/>
              <w:spacing w:line="276" w:lineRule="auto"/>
              <w:rPr>
                <w:rStyle w:val="BookTitle"/>
                <w:rFonts w:ascii="Lato" w:eastAsiaTheme="minorEastAsia" w:hAnsi="Lato" w:cstheme="minorBidi"/>
                <w:i w:val="0"/>
                <w:iCs w:val="0"/>
                <w:color w:val="auto"/>
                <w:sz w:val="22"/>
                <w:szCs w:val="22"/>
              </w:rPr>
            </w:pPr>
            <w:r w:rsidRPr="0073446F">
              <w:rPr>
                <w:rStyle w:val="BookTitle"/>
                <w:rFonts w:ascii="Lato" w:eastAsiaTheme="minorEastAsia" w:hAnsi="Lato" w:cstheme="minorBidi"/>
                <w:i w:val="0"/>
                <w:iCs w:val="0"/>
                <w:color w:val="auto"/>
                <w:sz w:val="22"/>
                <w:szCs w:val="22"/>
              </w:rPr>
              <w:t>Key Elements</w:t>
            </w:r>
          </w:p>
          <w:p w14:paraId="2709B6A9" w14:textId="79871C81" w:rsidR="006E5CE2" w:rsidRPr="0073446F" w:rsidRDefault="006E5CE2" w:rsidP="0073446F">
            <w:pPr>
              <w:spacing w:line="276" w:lineRule="auto"/>
              <w:ind w:left="880" w:hanging="567"/>
              <w:rPr>
                <w:rFonts w:ascii="Lato" w:hAnsi="Lato"/>
              </w:rPr>
            </w:pPr>
            <w:r w:rsidRPr="0073446F">
              <w:rPr>
                <w:rFonts w:ascii="Lato" w:hAnsi="Lato"/>
              </w:rPr>
              <w:t xml:space="preserve">• </w:t>
            </w:r>
            <w:r w:rsidRPr="0073446F">
              <w:rPr>
                <w:rFonts w:ascii="Lato" w:hAnsi="Lato"/>
              </w:rPr>
              <w:tab/>
              <w:t>SME Support: Enables at-risk SMEs, particularly in priority sectors, to transfer apprentices to a Group Training Organisation (GTO)</w:t>
            </w:r>
            <w:r w:rsidR="003F1480">
              <w:rPr>
                <w:rFonts w:ascii="Lato" w:hAnsi="Lato"/>
              </w:rPr>
              <w:t xml:space="preserve"> through subsided hosting fees,</w:t>
            </w:r>
            <w:r w:rsidRPr="0073446F">
              <w:rPr>
                <w:rFonts w:ascii="Lato" w:hAnsi="Lato"/>
              </w:rPr>
              <w:t xml:space="preserve"> ensur</w:t>
            </w:r>
            <w:r w:rsidR="003F1480">
              <w:rPr>
                <w:rFonts w:ascii="Lato" w:hAnsi="Lato"/>
              </w:rPr>
              <w:t>ing</w:t>
            </w:r>
            <w:r w:rsidRPr="0073446F">
              <w:rPr>
                <w:rFonts w:ascii="Lato" w:hAnsi="Lato"/>
              </w:rPr>
              <w:t xml:space="preserve"> continuity and completion rates.</w:t>
            </w:r>
          </w:p>
          <w:p w14:paraId="3AB13282" w14:textId="19F4758E" w:rsidR="006E5CE2" w:rsidRPr="0073446F" w:rsidRDefault="006E5CE2" w:rsidP="0073446F">
            <w:pPr>
              <w:spacing w:line="276" w:lineRule="auto"/>
              <w:ind w:left="880" w:hanging="567"/>
              <w:rPr>
                <w:rFonts w:ascii="Lato" w:hAnsi="Lato"/>
              </w:rPr>
            </w:pPr>
            <w:r w:rsidRPr="0073446F">
              <w:rPr>
                <w:rFonts w:ascii="Lato" w:hAnsi="Lato"/>
              </w:rPr>
              <w:t xml:space="preserve">• </w:t>
            </w:r>
            <w:r w:rsidRPr="0073446F">
              <w:rPr>
                <w:rFonts w:ascii="Lato" w:hAnsi="Lato"/>
              </w:rPr>
              <w:tab/>
              <w:t xml:space="preserve">SBAT Engagement: </w:t>
            </w:r>
            <w:r w:rsidR="00F54C3E">
              <w:rPr>
                <w:rFonts w:ascii="Lato" w:hAnsi="Lato"/>
              </w:rPr>
              <w:t>Dedicates</w:t>
            </w:r>
            <w:r w:rsidRPr="0073446F">
              <w:rPr>
                <w:rFonts w:ascii="Lato" w:hAnsi="Lato"/>
              </w:rPr>
              <w:t xml:space="preserve"> liaison officers to support SBAT students, coordinating with schools and employers, and improve completion outcomes.</w:t>
            </w:r>
          </w:p>
          <w:p w14:paraId="3AEB7926" w14:textId="48BBC74A" w:rsidR="006E5CE2" w:rsidRPr="0073446F" w:rsidRDefault="006E5CE2" w:rsidP="0073446F">
            <w:pPr>
              <w:spacing w:line="276" w:lineRule="auto"/>
              <w:ind w:left="880" w:hanging="567"/>
              <w:rPr>
                <w:rFonts w:ascii="Lato" w:hAnsi="Lato"/>
              </w:rPr>
            </w:pPr>
            <w:r w:rsidRPr="0073446F">
              <w:rPr>
                <w:rFonts w:ascii="Lato" w:hAnsi="Lato"/>
              </w:rPr>
              <w:t xml:space="preserve">• </w:t>
            </w:r>
            <w:r w:rsidRPr="0073446F">
              <w:rPr>
                <w:rFonts w:ascii="Lato" w:hAnsi="Lato"/>
              </w:rPr>
              <w:tab/>
              <w:t>Mentoring and pastoral care: Provides targeted support to apprentices and trainees through mentoring and development of essential workplace behaviours.</w:t>
            </w:r>
          </w:p>
          <w:p w14:paraId="02DE7A03" w14:textId="77777777" w:rsidR="005E1C54" w:rsidRDefault="006E5CE2" w:rsidP="005E1C54">
            <w:pPr>
              <w:spacing w:line="276" w:lineRule="auto"/>
              <w:ind w:left="880" w:hanging="567"/>
              <w:rPr>
                <w:rFonts w:ascii="Lato" w:hAnsi="Lato"/>
              </w:rPr>
            </w:pPr>
            <w:r w:rsidRPr="0073446F">
              <w:rPr>
                <w:rFonts w:ascii="Lato" w:hAnsi="Lato"/>
              </w:rPr>
              <w:t xml:space="preserve">• </w:t>
            </w:r>
            <w:r w:rsidRPr="0073446F">
              <w:rPr>
                <w:rFonts w:ascii="Lato" w:hAnsi="Lato"/>
              </w:rPr>
              <w:tab/>
              <w:t>Priority cohorts: Focuses on people with disability, EAL/D learners, women in non-traditional trades, young people, mature-age learners, those at risk of disengagement, those facing socio-economic disadvantage and Aboriginal Territorians.</w:t>
            </w:r>
          </w:p>
          <w:p w14:paraId="7179796D" w14:textId="2AFB7E3E" w:rsidR="005E1C54" w:rsidRPr="00B24B6C" w:rsidRDefault="00137879" w:rsidP="00B24B6C">
            <w:pPr>
              <w:pStyle w:val="ImplementationPlan1"/>
              <w:rPr>
                <w:rStyle w:val="Strong"/>
                <w:b/>
                <w:bCs/>
              </w:rPr>
            </w:pPr>
            <w:r w:rsidRPr="00B24B6C">
              <w:rPr>
                <w:rStyle w:val="BookTitle"/>
                <w:b/>
                <w:bCs/>
                <w:i w:val="0"/>
                <w:iCs w:val="0"/>
                <w:spacing w:val="0"/>
              </w:rPr>
              <w:lastRenderedPageBreak/>
              <w:t xml:space="preserve">Action 4. </w:t>
            </w:r>
            <w:r w:rsidR="007C1CF3" w:rsidRPr="00B24B6C">
              <w:t>Comprehensive completions support</w:t>
            </w:r>
          </w:p>
          <w:p w14:paraId="716A52EC" w14:textId="0D5E893E" w:rsidR="00137879" w:rsidRPr="0073446F" w:rsidRDefault="000428F3" w:rsidP="0073446F">
            <w:pPr>
              <w:pStyle w:val="NoSpacing"/>
              <w:spacing w:line="276" w:lineRule="auto"/>
              <w:rPr>
                <w:rFonts w:ascii="Lato" w:eastAsia="MS Mincho" w:hAnsi="Lato" w:cstheme="minorHAnsi"/>
                <w:b/>
                <w:bCs/>
                <w:lang w:val="en-US" w:eastAsia="en-US"/>
              </w:rPr>
            </w:pPr>
            <w:r>
              <w:rPr>
                <w:rStyle w:val="BookTitle"/>
                <w:rFonts w:ascii="Lato" w:hAnsi="Lato"/>
              </w:rPr>
              <w:t xml:space="preserve">                       </w:t>
            </w:r>
            <w:r w:rsidR="00073325" w:rsidRPr="0073446F">
              <w:rPr>
                <w:rFonts w:ascii="Lato" w:hAnsi="Lato"/>
              </w:rPr>
              <w:t>(</w:t>
            </w:r>
            <w:r w:rsidR="002600EA" w:rsidRPr="0073446F">
              <w:rPr>
                <w:rFonts w:ascii="Lato" w:hAnsi="Lato"/>
              </w:rPr>
              <w:t>Upscaling Potential: Moderate)</w:t>
            </w:r>
          </w:p>
          <w:p w14:paraId="05B63F5B" w14:textId="77777777" w:rsidR="00C95F9E" w:rsidRPr="00DF7220" w:rsidRDefault="00C95F9E" w:rsidP="00C95F9E">
            <w:pPr>
              <w:keepNext/>
              <w:keepLines/>
              <w:spacing w:before="200" w:line="276" w:lineRule="auto"/>
              <w:outlineLvl w:val="2"/>
              <w:rPr>
                <w:rFonts w:ascii="Lato" w:eastAsia="MS Gothic" w:hAnsi="Lato" w:cstheme="minorHAnsi"/>
                <w:b/>
                <w:bCs/>
                <w:kern w:val="0"/>
                <w:lang w:val="en-US" w:eastAsia="en-US"/>
                <w14:ligatures w14:val="none"/>
              </w:rPr>
            </w:pPr>
            <w:r w:rsidRPr="00B1338B">
              <w:rPr>
                <w:rFonts w:ascii="Lato" w:eastAsia="MS Gothic" w:hAnsi="Lato" w:cstheme="minorHAnsi"/>
                <w:b/>
                <w:bCs/>
                <w:kern w:val="0"/>
                <w:lang w:val="en-US" w:eastAsia="en-US"/>
                <w14:ligatures w14:val="none"/>
              </w:rPr>
              <w:t>Implementation Approach</w:t>
            </w:r>
            <w:r>
              <w:rPr>
                <w:rFonts w:ascii="Lato" w:eastAsia="MS Gothic" w:hAnsi="Lato" w:cstheme="minorHAnsi"/>
                <w:b/>
                <w:bCs/>
                <w:kern w:val="0"/>
                <w:lang w:val="en-US" w:eastAsia="en-US"/>
                <w14:ligatures w14:val="none"/>
              </w:rPr>
              <w:t xml:space="preserve"> (New Initiative)</w:t>
            </w:r>
          </w:p>
          <w:p w14:paraId="415A1C96" w14:textId="7EC3C911" w:rsidR="000F3C49" w:rsidRDefault="000F3C49" w:rsidP="005A2DB9">
            <w:pPr>
              <w:pStyle w:val="Heading1"/>
              <w:spacing w:before="0" w:line="276" w:lineRule="auto"/>
              <w:rPr>
                <w:rFonts w:ascii="Lato" w:eastAsia="Calibri" w:hAnsi="Lato"/>
                <w:color w:val="auto"/>
                <w:kern w:val="0"/>
                <w:sz w:val="22"/>
                <w:szCs w:val="22"/>
                <w14:ligatures w14:val="none"/>
              </w:rPr>
            </w:pPr>
            <w:r>
              <w:rPr>
                <w:rFonts w:ascii="Lato" w:eastAsia="Calibri" w:hAnsi="Lato"/>
                <w:color w:val="auto"/>
                <w:kern w:val="0"/>
                <w:sz w:val="22"/>
                <w:szCs w:val="22"/>
              </w:rPr>
              <w:t xml:space="preserve">This initiative provides contestable funding to Registered Training Organisations (RTOs) to deliver programs and student support initiatives aimed at improving completion rates in priority industry qualifications. Funding may cover </w:t>
            </w:r>
            <w:r w:rsidR="004F4E08">
              <w:rPr>
                <w:rFonts w:ascii="Lato" w:eastAsia="Calibri" w:hAnsi="Lato"/>
                <w:color w:val="auto"/>
                <w:kern w:val="0"/>
                <w:sz w:val="22"/>
                <w:szCs w:val="22"/>
              </w:rPr>
              <w:t xml:space="preserve">transport, childcare, </w:t>
            </w:r>
            <w:r>
              <w:rPr>
                <w:rFonts w:ascii="Lato" w:eastAsia="Calibri" w:hAnsi="Lato"/>
                <w:color w:val="auto"/>
                <w:kern w:val="0"/>
                <w:sz w:val="22"/>
                <w:szCs w:val="22"/>
              </w:rPr>
              <w:t>mentoring, wellbeing support, and guidance on workplace behaviours. Programs will be informed by industry consultation and designed to strengthen engagement, attendance, and completion rates for priority cohorts.</w:t>
            </w:r>
          </w:p>
          <w:p w14:paraId="6869D369" w14:textId="77777777" w:rsidR="00C95F9E" w:rsidRPr="00B1338B" w:rsidRDefault="00C95F9E" w:rsidP="00C95F9E">
            <w:pPr>
              <w:spacing w:before="100" w:beforeAutospacing="1" w:after="100" w:afterAutospacing="1" w:line="276" w:lineRule="auto"/>
              <w:rPr>
                <w:rFonts w:ascii="Lato" w:eastAsia="Times New Roman" w:hAnsi="Lato" w:cs="Times New Roman"/>
                <w:kern w:val="0"/>
                <w:lang w:eastAsia="en-AU"/>
                <w14:ligatures w14:val="none"/>
              </w:rPr>
            </w:pPr>
            <w:r w:rsidRPr="00B1338B">
              <w:rPr>
                <w:rFonts w:ascii="Lato" w:eastAsia="Times New Roman" w:hAnsi="Lato" w:cs="Times New Roman"/>
                <w:kern w:val="0"/>
                <w:lang w:eastAsia="en-AU"/>
                <w14:ligatures w14:val="none"/>
              </w:rPr>
              <w:t>Funding will only be available for programs that meet relevant eligibility criteria. Successful applicants must demonstrate how their proposed wrap-around services will:</w:t>
            </w:r>
          </w:p>
          <w:p w14:paraId="3EE05197" w14:textId="72672A8E" w:rsidR="00C95F9E" w:rsidRPr="00B1338B" w:rsidRDefault="00C95F9E" w:rsidP="00073325">
            <w:pPr>
              <w:numPr>
                <w:ilvl w:val="0"/>
                <w:numId w:val="14"/>
              </w:numPr>
              <w:spacing w:before="100" w:beforeAutospacing="1" w:after="100" w:afterAutospacing="1" w:line="276" w:lineRule="auto"/>
              <w:rPr>
                <w:rFonts w:ascii="Lato" w:eastAsia="Times New Roman" w:hAnsi="Lato" w:cs="Times New Roman"/>
                <w:kern w:val="0"/>
                <w:lang w:eastAsia="en-AU"/>
                <w14:ligatures w14:val="none"/>
              </w:rPr>
            </w:pPr>
            <w:r w:rsidRPr="00B1338B">
              <w:rPr>
                <w:rFonts w:ascii="Lato" w:eastAsia="Times New Roman" w:hAnsi="Lato" w:cs="Times New Roman"/>
                <w:kern w:val="0"/>
                <w:lang w:eastAsia="en-AU"/>
                <w14:ligatures w14:val="none"/>
              </w:rPr>
              <w:t xml:space="preserve">Remove practical barriers to participation in remote and regional communities (e.g., transport, </w:t>
            </w:r>
            <w:r w:rsidR="003B2AB3">
              <w:rPr>
                <w:rFonts w:ascii="Lato" w:eastAsia="Times New Roman" w:hAnsi="Lato" w:cs="Times New Roman"/>
                <w:kern w:val="0"/>
                <w:lang w:eastAsia="en-AU"/>
                <w14:ligatures w14:val="none"/>
              </w:rPr>
              <w:t>childcare</w:t>
            </w:r>
            <w:r w:rsidRPr="00B1338B">
              <w:rPr>
                <w:rFonts w:ascii="Lato" w:eastAsia="Times New Roman" w:hAnsi="Lato" w:cs="Times New Roman"/>
                <w:kern w:val="0"/>
                <w:lang w:eastAsia="en-AU"/>
                <w14:ligatures w14:val="none"/>
              </w:rPr>
              <w:t>, personal protective equipment</w:t>
            </w:r>
            <w:r w:rsidR="000457B7">
              <w:rPr>
                <w:rFonts w:ascii="Lato" w:eastAsia="Times New Roman" w:hAnsi="Lato" w:cs="Times New Roman"/>
                <w:kern w:val="0"/>
                <w:lang w:eastAsia="en-AU"/>
                <w14:ligatures w14:val="none"/>
              </w:rPr>
              <w:t>, provision of meals during training</w:t>
            </w:r>
            <w:r w:rsidRPr="00B1338B">
              <w:rPr>
                <w:rFonts w:ascii="Lato" w:eastAsia="Times New Roman" w:hAnsi="Lato" w:cs="Times New Roman"/>
                <w:kern w:val="0"/>
                <w:lang w:eastAsia="en-AU"/>
                <w14:ligatures w14:val="none"/>
              </w:rPr>
              <w:t>)</w:t>
            </w:r>
          </w:p>
          <w:p w14:paraId="3EA6DDA8" w14:textId="77777777" w:rsidR="00C95F9E" w:rsidRPr="00B1338B" w:rsidRDefault="00C95F9E" w:rsidP="00073325">
            <w:pPr>
              <w:numPr>
                <w:ilvl w:val="0"/>
                <w:numId w:val="14"/>
              </w:numPr>
              <w:spacing w:before="100" w:beforeAutospacing="1" w:after="100" w:afterAutospacing="1" w:line="276" w:lineRule="auto"/>
              <w:rPr>
                <w:rFonts w:ascii="Lato" w:eastAsia="Times New Roman" w:hAnsi="Lato" w:cs="Times New Roman"/>
                <w:kern w:val="0"/>
                <w:lang w:eastAsia="en-AU"/>
                <w14:ligatures w14:val="none"/>
              </w:rPr>
            </w:pPr>
            <w:r w:rsidRPr="00B1338B">
              <w:rPr>
                <w:rFonts w:ascii="Lato" w:eastAsia="Times New Roman" w:hAnsi="Lato" w:cs="Times New Roman"/>
                <w:kern w:val="0"/>
                <w:lang w:eastAsia="en-AU"/>
                <w14:ligatures w14:val="none"/>
              </w:rPr>
              <w:t>Encourage consistent attendance and engagement</w:t>
            </w:r>
          </w:p>
          <w:p w14:paraId="22923AAB" w14:textId="77777777" w:rsidR="00C95F9E" w:rsidRPr="00B1338B" w:rsidRDefault="00C95F9E" w:rsidP="00073325">
            <w:pPr>
              <w:numPr>
                <w:ilvl w:val="0"/>
                <w:numId w:val="14"/>
              </w:numPr>
              <w:spacing w:before="100" w:beforeAutospacing="1" w:after="100" w:afterAutospacing="1" w:line="276" w:lineRule="auto"/>
              <w:rPr>
                <w:rFonts w:ascii="Lato" w:eastAsia="Times New Roman" w:hAnsi="Lato" w:cs="Times New Roman"/>
                <w:kern w:val="0"/>
                <w:lang w:eastAsia="en-AU"/>
                <w14:ligatures w14:val="none"/>
              </w:rPr>
            </w:pPr>
            <w:r w:rsidRPr="00B1338B">
              <w:rPr>
                <w:rFonts w:ascii="Lato" w:eastAsia="Times New Roman" w:hAnsi="Lato" w:cs="Times New Roman"/>
                <w:kern w:val="0"/>
                <w:lang w:eastAsia="en-AU"/>
                <w14:ligatures w14:val="none"/>
              </w:rPr>
              <w:t>Maximise completions through mentoring, pastoral care, and wellbeing support</w:t>
            </w:r>
          </w:p>
          <w:p w14:paraId="5EE17448" w14:textId="77777777" w:rsidR="00C95F9E" w:rsidRPr="00B1338B" w:rsidRDefault="00C95F9E" w:rsidP="00C95F9E">
            <w:pPr>
              <w:spacing w:before="100" w:beforeAutospacing="1" w:after="100" w:afterAutospacing="1" w:line="276" w:lineRule="auto"/>
              <w:rPr>
                <w:rFonts w:ascii="Lato" w:eastAsia="Times New Roman" w:hAnsi="Lato" w:cs="Times New Roman"/>
                <w:kern w:val="0"/>
                <w:lang w:eastAsia="en-AU"/>
                <w14:ligatures w14:val="none"/>
              </w:rPr>
            </w:pPr>
            <w:r w:rsidRPr="00B1338B">
              <w:rPr>
                <w:rFonts w:ascii="Lato" w:eastAsia="Times New Roman" w:hAnsi="Lato" w:cs="Times New Roman"/>
                <w:kern w:val="0"/>
                <w:lang w:eastAsia="en-AU"/>
                <w14:ligatures w14:val="none"/>
              </w:rPr>
              <w:t>These services will be tailored to individual learner needs, delivered face-to-face, and informed by local conditions and community consultation. Outcomes will be monitored to drive continuous improvement and inform future policy development.</w:t>
            </w:r>
          </w:p>
          <w:p w14:paraId="12EB4321" w14:textId="1EA51CDA" w:rsidR="00137879" w:rsidRPr="0073446F" w:rsidRDefault="00137879" w:rsidP="0073446F">
            <w:pPr>
              <w:pStyle w:val="NoSpacing"/>
              <w:spacing w:line="276" w:lineRule="auto"/>
              <w:rPr>
                <w:rFonts w:ascii="Lato" w:eastAsia="MS Mincho" w:hAnsi="Lato" w:cstheme="minorHAnsi"/>
                <w:b/>
                <w:bCs/>
                <w:lang w:val="en-US" w:eastAsia="en-US"/>
              </w:rPr>
            </w:pPr>
            <w:r w:rsidRPr="0073446F">
              <w:rPr>
                <w:rFonts w:ascii="Lato" w:eastAsia="MS Mincho" w:hAnsi="Lato" w:cstheme="minorHAnsi"/>
                <w:b/>
                <w:bCs/>
                <w:lang w:val="en-US" w:eastAsia="en-US"/>
              </w:rPr>
              <w:t>Key Elements</w:t>
            </w:r>
          </w:p>
          <w:p w14:paraId="71FEF21C" w14:textId="58A7AA92" w:rsidR="00D41D0B" w:rsidRPr="00A745F0" w:rsidRDefault="00D41D0B" w:rsidP="00073325">
            <w:pPr>
              <w:pStyle w:val="ListParagraph"/>
              <w:numPr>
                <w:ilvl w:val="0"/>
                <w:numId w:val="10"/>
              </w:numPr>
              <w:spacing w:line="276" w:lineRule="auto"/>
              <w:rPr>
                <w:rFonts w:ascii="Lato" w:eastAsia="MS Mincho" w:hAnsi="Lato" w:cstheme="minorHAnsi"/>
                <w:kern w:val="0"/>
                <w:lang w:val="en-US" w:eastAsia="en-US"/>
                <w14:ligatures w14:val="none"/>
              </w:rPr>
            </w:pPr>
            <w:r w:rsidRPr="00A745F0">
              <w:rPr>
                <w:rFonts w:ascii="Lato" w:eastAsia="MS Mincho" w:hAnsi="Lato" w:cstheme="minorHAnsi"/>
                <w:lang w:val="en-US" w:eastAsia="en-US"/>
              </w:rPr>
              <w:t xml:space="preserve">Capacity building for RTOs to deliver inclusive, </w:t>
            </w:r>
            <w:r w:rsidRPr="00A745F0">
              <w:rPr>
                <w:rFonts w:ascii="Lato" w:eastAsia="MS Mincho" w:hAnsi="Lato" w:cstheme="minorHAnsi"/>
                <w:lang w:eastAsia="en-US"/>
              </w:rPr>
              <w:t>community-responsive support</w:t>
            </w:r>
            <w:r w:rsidR="00E60577">
              <w:rPr>
                <w:rFonts w:ascii="Lato" w:eastAsia="MS Mincho" w:hAnsi="Lato" w:cstheme="minorHAnsi"/>
                <w:lang w:eastAsia="en-US"/>
              </w:rPr>
              <w:t xml:space="preserve"> in remote areas of the NT</w:t>
            </w:r>
            <w:r w:rsidRPr="00A745F0">
              <w:rPr>
                <w:rFonts w:ascii="Lato" w:eastAsia="MS Mincho" w:hAnsi="Lato" w:cstheme="minorHAnsi"/>
                <w:lang w:eastAsia="en-US"/>
              </w:rPr>
              <w:t>.</w:t>
            </w:r>
            <w:r w:rsidR="005564FE">
              <w:rPr>
                <w:rFonts w:ascii="Lato" w:eastAsia="MS Mincho" w:hAnsi="Lato" w:cstheme="minorHAnsi"/>
                <w:lang w:eastAsia="en-US"/>
              </w:rPr>
              <w:t xml:space="preserve"> </w:t>
            </w:r>
            <w:r w:rsidR="005564FE" w:rsidRPr="005564FE">
              <w:rPr>
                <w:rFonts w:ascii="Lato" w:eastAsia="MS Mincho" w:hAnsi="Lato" w:cstheme="minorHAnsi"/>
                <w:lang w:eastAsia="en-US"/>
              </w:rPr>
              <w:t xml:space="preserve">Capacity building refers to provider-facing </w:t>
            </w:r>
            <w:proofErr w:type="gramStart"/>
            <w:r w:rsidR="005564FE" w:rsidRPr="005564FE">
              <w:rPr>
                <w:rFonts w:ascii="Lato" w:eastAsia="MS Mincho" w:hAnsi="Lato" w:cstheme="minorHAnsi"/>
                <w:lang w:eastAsia="en-US"/>
              </w:rPr>
              <w:t>supports</w:t>
            </w:r>
            <w:proofErr w:type="gramEnd"/>
            <w:r w:rsidR="005564FE" w:rsidRPr="005564FE">
              <w:rPr>
                <w:rFonts w:ascii="Lato" w:eastAsia="MS Mincho" w:hAnsi="Lato" w:cstheme="minorHAnsi"/>
                <w:lang w:eastAsia="en-US"/>
              </w:rPr>
              <w:t xml:space="preserve"> such as staff training in </w:t>
            </w:r>
            <w:r w:rsidR="005564FE">
              <w:rPr>
                <w:rFonts w:ascii="Lato" w:eastAsia="MS Mincho" w:hAnsi="Lato" w:cstheme="minorHAnsi"/>
                <w:lang w:eastAsia="en-US"/>
              </w:rPr>
              <w:t>student wellbeing</w:t>
            </w:r>
            <w:r w:rsidR="005564FE" w:rsidRPr="005564FE">
              <w:rPr>
                <w:rFonts w:ascii="Lato" w:eastAsia="MS Mincho" w:hAnsi="Lato" w:cstheme="minorHAnsi"/>
                <w:lang w:eastAsia="en-US"/>
              </w:rPr>
              <w:t xml:space="preserve"> support and cultural safety, development of mentoring protocols, and creation of bilingual resources. It does not include infrastructure or capital works</w:t>
            </w:r>
          </w:p>
          <w:p w14:paraId="4867C697" w14:textId="388F87CA" w:rsidR="00D41D0B" w:rsidRPr="0073446F" w:rsidRDefault="00D41D0B" w:rsidP="00073325">
            <w:pPr>
              <w:pStyle w:val="NoSpacing"/>
              <w:numPr>
                <w:ilvl w:val="0"/>
                <w:numId w:val="10"/>
              </w:numPr>
              <w:spacing w:line="276" w:lineRule="auto"/>
              <w:rPr>
                <w:rFonts w:ascii="Lato" w:eastAsia="MS Mincho" w:hAnsi="Lato" w:cstheme="minorHAnsi"/>
                <w:lang w:val="en-US" w:eastAsia="en-US"/>
              </w:rPr>
            </w:pPr>
            <w:r w:rsidRPr="0073446F">
              <w:rPr>
                <w:rFonts w:ascii="Lato" w:eastAsia="MS Mincho" w:hAnsi="Lato" w:cstheme="minorHAnsi"/>
                <w:lang w:val="en-US" w:eastAsia="en-US"/>
              </w:rPr>
              <w:t>Provision of context-specific resources to support learner attendance and engagement in remote settings</w:t>
            </w:r>
          </w:p>
          <w:p w14:paraId="19143D4F" w14:textId="77777777" w:rsidR="00137879" w:rsidRPr="0073446F" w:rsidRDefault="00137879" w:rsidP="00073325">
            <w:pPr>
              <w:pStyle w:val="NoSpacing"/>
              <w:numPr>
                <w:ilvl w:val="0"/>
                <w:numId w:val="10"/>
              </w:numPr>
              <w:spacing w:line="276" w:lineRule="auto"/>
              <w:rPr>
                <w:rFonts w:ascii="Lato" w:eastAsia="MS Mincho" w:hAnsi="Lato" w:cstheme="minorHAnsi"/>
                <w:lang w:val="en-US" w:eastAsia="en-US"/>
              </w:rPr>
            </w:pPr>
            <w:r w:rsidRPr="0073446F">
              <w:rPr>
                <w:rFonts w:ascii="Lato" w:eastAsia="MS Mincho" w:hAnsi="Lato" w:cstheme="minorHAnsi"/>
                <w:lang w:val="en-US" w:eastAsia="en-US"/>
              </w:rPr>
              <w:t xml:space="preserve">Assignment of mentors or support officers to maintain engagement and resolve </w:t>
            </w:r>
            <w:r w:rsidRPr="0073446F">
              <w:rPr>
                <w:rFonts w:ascii="Lato" w:eastAsia="MS Mincho" w:hAnsi="Lato" w:cstheme="minorHAnsi"/>
                <w:lang w:val="en-US" w:eastAsia="en-US"/>
              </w:rPr>
              <w:br/>
              <w:t>participation issues.</w:t>
            </w:r>
          </w:p>
          <w:p w14:paraId="3880B50D" w14:textId="77777777" w:rsidR="00137879" w:rsidRPr="0073446F" w:rsidRDefault="00137879" w:rsidP="00073325">
            <w:pPr>
              <w:pStyle w:val="NoSpacing"/>
              <w:numPr>
                <w:ilvl w:val="0"/>
                <w:numId w:val="10"/>
              </w:numPr>
              <w:spacing w:line="276" w:lineRule="auto"/>
              <w:rPr>
                <w:rFonts w:ascii="Lato" w:eastAsia="MS Mincho" w:hAnsi="Lato" w:cstheme="minorHAnsi"/>
                <w:lang w:val="en-US" w:eastAsia="en-US"/>
              </w:rPr>
            </w:pPr>
            <w:r w:rsidRPr="0073446F">
              <w:rPr>
                <w:rFonts w:ascii="Lato" w:eastAsia="MS Mincho" w:hAnsi="Lato" w:cstheme="minorHAnsi"/>
                <w:lang w:val="en-US" w:eastAsia="en-US"/>
              </w:rPr>
              <w:t xml:space="preserve">Access to student wellbeing support and guidance on workplace </w:t>
            </w:r>
            <w:proofErr w:type="spellStart"/>
            <w:r w:rsidRPr="0073446F">
              <w:rPr>
                <w:rFonts w:ascii="Lato" w:eastAsia="MS Mincho" w:hAnsi="Lato" w:cstheme="minorHAnsi"/>
                <w:lang w:val="en-US" w:eastAsia="en-US"/>
              </w:rPr>
              <w:t>behaviours</w:t>
            </w:r>
            <w:proofErr w:type="spellEnd"/>
            <w:r w:rsidRPr="0073446F">
              <w:rPr>
                <w:rFonts w:ascii="Lato" w:eastAsia="MS Mincho" w:hAnsi="Lato" w:cstheme="minorHAnsi"/>
                <w:lang w:val="en-US" w:eastAsia="en-US"/>
              </w:rPr>
              <w:t>.</w:t>
            </w:r>
          </w:p>
          <w:p w14:paraId="229C3499" w14:textId="66673507" w:rsidR="0030477F" w:rsidRPr="0073446F" w:rsidRDefault="00137879" w:rsidP="00073325">
            <w:pPr>
              <w:pStyle w:val="NoSpacing"/>
              <w:numPr>
                <w:ilvl w:val="0"/>
                <w:numId w:val="9"/>
              </w:numPr>
              <w:spacing w:line="276" w:lineRule="auto"/>
              <w:rPr>
                <w:rFonts w:ascii="Lato" w:eastAsia="MS Mincho" w:hAnsi="Lato" w:cstheme="minorHAnsi"/>
                <w:lang w:val="en-US" w:eastAsia="en-US"/>
              </w:rPr>
            </w:pPr>
            <w:r w:rsidRPr="0073446F">
              <w:rPr>
                <w:rFonts w:ascii="Lato" w:eastAsia="MS Mincho" w:hAnsi="Lato" w:cstheme="minorHAnsi"/>
                <w:lang w:val="en-US" w:eastAsia="en-US"/>
              </w:rPr>
              <w:t>Support for developing routines and employability skills, building student confidence in workplace settings.</w:t>
            </w:r>
          </w:p>
          <w:p w14:paraId="09B5CBF4" w14:textId="76C9C9F6" w:rsidR="00D9417C" w:rsidRPr="00DF7220" w:rsidRDefault="00D9417C" w:rsidP="0073446F">
            <w:pPr>
              <w:pStyle w:val="NoSpacing"/>
              <w:shd w:val="clear" w:color="auto" w:fill="FFFFFF" w:themeFill="background1"/>
              <w:spacing w:line="276" w:lineRule="auto"/>
              <w:ind w:left="313"/>
              <w:rPr>
                <w:rFonts w:ascii="Lato" w:eastAsia="MS Mincho" w:hAnsi="Lato" w:cstheme="minorHAnsi"/>
                <w:lang w:eastAsia="en-US"/>
              </w:rPr>
            </w:pPr>
          </w:p>
          <w:p w14:paraId="5E662F04" w14:textId="77777777" w:rsidR="00B779FA" w:rsidRDefault="00B779FA">
            <w:pPr>
              <w:pStyle w:val="NoSpacing"/>
              <w:shd w:val="clear" w:color="auto" w:fill="FFFFFF" w:themeFill="background1"/>
              <w:ind w:left="313" w:hanging="142"/>
              <w:rPr>
                <w:rFonts w:ascii="Lato" w:eastAsia="MS Mincho" w:hAnsi="Lato" w:cstheme="minorHAnsi"/>
                <w:lang w:eastAsia="en-US"/>
              </w:rPr>
            </w:pPr>
          </w:p>
          <w:p w14:paraId="74B21CD6"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7C60D90D"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68F6CA75"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1C297CE6"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1D9C9441"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237F3DF7"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09F2F27E" w14:textId="77777777" w:rsidR="00DE0DD4" w:rsidRDefault="00DE0DD4">
            <w:pPr>
              <w:pStyle w:val="NoSpacing"/>
              <w:shd w:val="clear" w:color="auto" w:fill="FFFFFF" w:themeFill="background1"/>
              <w:ind w:left="313" w:hanging="142"/>
              <w:rPr>
                <w:rFonts w:ascii="Lato" w:eastAsia="MS Mincho" w:hAnsi="Lato" w:cstheme="minorHAnsi"/>
                <w:lang w:eastAsia="en-US"/>
              </w:rPr>
            </w:pPr>
          </w:p>
          <w:p w14:paraId="4A73AC14" w14:textId="77777777" w:rsidR="00B779FA" w:rsidRDefault="00B779FA">
            <w:pPr>
              <w:pStyle w:val="NoSpacing"/>
              <w:shd w:val="clear" w:color="auto" w:fill="FFFFFF" w:themeFill="background1"/>
              <w:ind w:left="313" w:hanging="142"/>
              <w:rPr>
                <w:rFonts w:ascii="Lato" w:eastAsia="MS Mincho" w:hAnsi="Lato" w:cstheme="minorHAnsi"/>
                <w:lang w:eastAsia="en-US"/>
              </w:rPr>
            </w:pPr>
          </w:p>
          <w:p w14:paraId="6D5050EA" w14:textId="38057E32" w:rsidR="00B779FA" w:rsidRPr="00B24B6C" w:rsidRDefault="00B779FA" w:rsidP="00B24B6C">
            <w:pPr>
              <w:pStyle w:val="ImplementationPlan1"/>
              <w:rPr>
                <w:rStyle w:val="BookTitle"/>
                <w:b/>
                <w:bCs/>
                <w:i w:val="0"/>
                <w:iCs w:val="0"/>
                <w:spacing w:val="0"/>
              </w:rPr>
            </w:pPr>
            <w:bookmarkStart w:id="1" w:name="_Hlk210729060"/>
            <w:r w:rsidRPr="00B24B6C">
              <w:rPr>
                <w:rStyle w:val="BookTitle"/>
                <w:b/>
                <w:bCs/>
                <w:i w:val="0"/>
                <w:iCs w:val="0"/>
                <w:spacing w:val="0"/>
              </w:rPr>
              <w:lastRenderedPageBreak/>
              <w:t>Action 1 to 4 - Performance Indicators</w:t>
            </w:r>
          </w:p>
          <w:p w14:paraId="3D3D0317"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Employer and Industry Engagement: Number of employers, SMEs, and industry partners actively participating in mentoring, onboarding, and training continuity initiatives.</w:t>
            </w:r>
          </w:p>
          <w:p w14:paraId="68AC5A5A"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Learner Participation and Retention: Enrolment and retention rates for apprentices, trainees, and priority cohorts across all supported pathways.</w:t>
            </w:r>
          </w:p>
          <w:p w14:paraId="37131619"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Completion Outcomes: Improvement in completion rates for apprenticeships and traineeships, particularly in priority industries and regional areas.</w:t>
            </w:r>
          </w:p>
          <w:p w14:paraId="72438A08"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Support Services Delivery: Uptake of mentoring, pastoral care, and wellbeing support by learners and employers.</w:t>
            </w:r>
          </w:p>
          <w:p w14:paraId="241343A7"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 xml:space="preserve">Stakeholder Collaboration: Evidence of partnerships and co-designed delivery models between employers, schools, RTOs, GTOs, and community </w:t>
            </w:r>
            <w:proofErr w:type="spellStart"/>
            <w:r w:rsidRPr="00B1338B">
              <w:rPr>
                <w:rFonts w:ascii="Lato" w:eastAsia="MS Mincho" w:hAnsi="Lato"/>
                <w:lang w:val="en-US" w:eastAsia="en-US"/>
              </w:rPr>
              <w:t>organisations</w:t>
            </w:r>
            <w:proofErr w:type="spellEnd"/>
            <w:r w:rsidRPr="00B1338B">
              <w:rPr>
                <w:rFonts w:ascii="Lato" w:eastAsia="MS Mincho" w:hAnsi="Lato"/>
                <w:lang w:val="en-US" w:eastAsia="en-US"/>
              </w:rPr>
              <w:t>.</w:t>
            </w:r>
          </w:p>
          <w:p w14:paraId="12172321" w14:textId="77777777" w:rsidR="00B779FA" w:rsidRDefault="00B779FA" w:rsidP="00B779FA">
            <w:pPr>
              <w:rPr>
                <w:rFonts w:ascii="Corbel" w:hAnsi="Corbel"/>
              </w:rPr>
            </w:pPr>
          </w:p>
          <w:p w14:paraId="1CAB6B14" w14:textId="2781D00B" w:rsidR="00B779FA" w:rsidRPr="00B24B6C" w:rsidRDefault="00B779FA" w:rsidP="00B24B6C">
            <w:pPr>
              <w:pStyle w:val="ImplementationPlan1"/>
              <w:rPr>
                <w:rStyle w:val="BookTitle"/>
                <w:b/>
                <w:bCs/>
                <w:i w:val="0"/>
                <w:iCs w:val="0"/>
                <w:spacing w:val="0"/>
              </w:rPr>
            </w:pPr>
            <w:r w:rsidRPr="00B24B6C">
              <w:rPr>
                <w:rStyle w:val="BookTitle"/>
                <w:b/>
                <w:bCs/>
                <w:i w:val="0"/>
                <w:iCs w:val="0"/>
                <w:spacing w:val="0"/>
              </w:rPr>
              <w:t>Action 1 to 4 - Evaluation Arrangements</w:t>
            </w:r>
          </w:p>
          <w:p w14:paraId="773799AE"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Progress Tracking: Monitor participation, retention, and completion rates for apprentices, trainees, and priority cohorts across all initiatives.</w:t>
            </w:r>
          </w:p>
          <w:p w14:paraId="2B0FA9FD"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Stakeholder Feedback: Collect input from learners, employers, training providers, and community partners to assess relevance and quality of support measures.</w:t>
            </w:r>
          </w:p>
          <w:p w14:paraId="12F91978" w14:textId="77777777" w:rsidR="00B779FA" w:rsidRPr="00B1338B"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Impact Assessment: Compare outcomes against baseline data to evaluate improvements in engagement, continuity, and completions.</w:t>
            </w:r>
          </w:p>
          <w:p w14:paraId="7952B9CD" w14:textId="77777777" w:rsidR="00B779FA" w:rsidRDefault="00B779FA" w:rsidP="00073325">
            <w:pPr>
              <w:pStyle w:val="NoSpacing"/>
              <w:numPr>
                <w:ilvl w:val="0"/>
                <w:numId w:val="11"/>
              </w:numPr>
              <w:spacing w:line="276" w:lineRule="auto"/>
              <w:rPr>
                <w:rFonts w:ascii="Lato" w:eastAsia="MS Mincho" w:hAnsi="Lato"/>
                <w:lang w:val="en-US" w:eastAsia="en-US"/>
              </w:rPr>
            </w:pPr>
            <w:r w:rsidRPr="00B1338B">
              <w:rPr>
                <w:rFonts w:ascii="Lato" w:eastAsia="MS Mincho" w:hAnsi="Lato"/>
                <w:lang w:val="en-US" w:eastAsia="en-US"/>
              </w:rPr>
              <w:t>Continuous Improvement: Use interim and final evaluations to identify lessons learned and inform adjustments or scaling of successful approaches.</w:t>
            </w:r>
          </w:p>
          <w:p w14:paraId="1C173F6D" w14:textId="77777777" w:rsidR="009B65B9" w:rsidRDefault="009B65B9" w:rsidP="009B65B9">
            <w:pPr>
              <w:pStyle w:val="NoSpacing"/>
              <w:spacing w:line="276" w:lineRule="auto"/>
              <w:rPr>
                <w:rFonts w:ascii="Lato" w:eastAsia="MS Mincho" w:hAnsi="Lato"/>
                <w:lang w:val="en-US" w:eastAsia="en-US"/>
              </w:rPr>
            </w:pPr>
          </w:p>
          <w:p w14:paraId="2D3572D9" w14:textId="77777777" w:rsidR="00B323DE" w:rsidRPr="00B24B6C" w:rsidRDefault="00B323DE" w:rsidP="00B24B6C">
            <w:pPr>
              <w:pStyle w:val="ImplementationPlan1"/>
              <w:rPr>
                <w:rStyle w:val="BookTitle"/>
                <w:b/>
                <w:bCs/>
                <w:i w:val="0"/>
                <w:iCs w:val="0"/>
                <w:spacing w:val="0"/>
              </w:rPr>
            </w:pPr>
            <w:r w:rsidRPr="00B24B6C">
              <w:rPr>
                <w:rStyle w:val="BookTitle"/>
                <w:b/>
                <w:bCs/>
                <w:i w:val="0"/>
                <w:iCs w:val="0"/>
                <w:spacing w:val="0"/>
              </w:rPr>
              <w:t>Activity Plans</w:t>
            </w:r>
          </w:p>
          <w:p w14:paraId="7683B650" w14:textId="31882629" w:rsidR="00B323DE" w:rsidRDefault="00B323DE" w:rsidP="00B323DE">
            <w:pPr>
              <w:spacing w:before="100" w:beforeAutospacing="1" w:line="276" w:lineRule="auto"/>
              <w:rPr>
                <w:rFonts w:ascii="Lato" w:eastAsia="Times New Roman" w:hAnsi="Lato" w:cs="Times New Roman"/>
                <w:kern w:val="0"/>
                <w:lang w:eastAsia="en-AU"/>
                <w14:ligatures w14:val="none"/>
              </w:rPr>
            </w:pPr>
            <w:r w:rsidRPr="00025619">
              <w:rPr>
                <w:rFonts w:ascii="Lato" w:eastAsia="Times New Roman" w:hAnsi="Lato" w:cs="Times New Roman"/>
                <w:kern w:val="0"/>
                <w:lang w:eastAsia="en-AU"/>
                <w14:ligatures w14:val="none"/>
              </w:rPr>
              <w:t>An Activity Plan will be developed for each of the four Action items (Actions 1–4).</w:t>
            </w:r>
            <w:r>
              <w:rPr>
                <w:rFonts w:ascii="Lato" w:eastAsia="Times New Roman" w:hAnsi="Lato" w:cs="Times New Roman"/>
                <w:kern w:val="0"/>
                <w:lang w:eastAsia="en-AU"/>
                <w14:ligatures w14:val="none"/>
              </w:rPr>
              <w:br/>
            </w:r>
          </w:p>
          <w:p w14:paraId="35F5FFD8" w14:textId="77777777" w:rsidR="00B323DE" w:rsidRPr="00025619" w:rsidRDefault="00B323DE" w:rsidP="00B323DE">
            <w:pPr>
              <w:spacing w:line="276" w:lineRule="auto"/>
              <w:rPr>
                <w:rFonts w:ascii="Lato" w:eastAsia="Times New Roman" w:hAnsi="Lato" w:cs="Times New Roman"/>
                <w:kern w:val="0"/>
                <w:lang w:eastAsia="en-AU"/>
                <w14:ligatures w14:val="none"/>
              </w:rPr>
            </w:pPr>
            <w:r w:rsidRPr="00025619">
              <w:rPr>
                <w:rFonts w:ascii="Lato" w:eastAsia="Times New Roman" w:hAnsi="Lato" w:cs="Times New Roman"/>
                <w:kern w:val="0"/>
                <w:lang w:eastAsia="en-AU"/>
                <w14:ligatures w14:val="none"/>
              </w:rPr>
              <w:t>Each plan will outline:</w:t>
            </w:r>
          </w:p>
          <w:p w14:paraId="3964C0C9" w14:textId="77777777" w:rsidR="00B323DE" w:rsidRDefault="00B323DE" w:rsidP="00B323DE">
            <w:pPr>
              <w:pStyle w:val="ListParagraph"/>
              <w:numPr>
                <w:ilvl w:val="0"/>
                <w:numId w:val="15"/>
              </w:numPr>
              <w:spacing w:before="120" w:line="276" w:lineRule="auto"/>
              <w:ind w:left="714" w:hanging="357"/>
              <w:rPr>
                <w:rFonts w:ascii="Lato" w:eastAsia="Times New Roman" w:hAnsi="Lato" w:cs="Times New Roman"/>
                <w:kern w:val="0"/>
                <w:lang w:eastAsia="en-AU"/>
                <w14:ligatures w14:val="none"/>
              </w:rPr>
            </w:pPr>
            <w:r w:rsidRPr="00025619">
              <w:rPr>
                <w:rFonts w:ascii="Lato" w:eastAsia="Times New Roman" w:hAnsi="Lato" w:cs="Times New Roman"/>
                <w:kern w:val="0"/>
                <w:lang w:eastAsia="en-AU"/>
                <w14:ligatures w14:val="none"/>
              </w:rPr>
              <w:t>Program objectives and rationale</w:t>
            </w:r>
          </w:p>
          <w:p w14:paraId="6944A526" w14:textId="77777777" w:rsidR="00B323DE" w:rsidRDefault="00B323DE" w:rsidP="00B323DE">
            <w:pPr>
              <w:pStyle w:val="ListParagraph"/>
              <w:numPr>
                <w:ilvl w:val="0"/>
                <w:numId w:val="15"/>
              </w:numPr>
              <w:spacing w:before="100" w:beforeAutospacing="1" w:after="100" w:afterAutospacing="1" w:line="276" w:lineRule="auto"/>
              <w:rPr>
                <w:rFonts w:ascii="Lato" w:eastAsia="Times New Roman" w:hAnsi="Lato" w:cs="Times New Roman"/>
                <w:kern w:val="0"/>
                <w:lang w:eastAsia="en-AU"/>
                <w14:ligatures w14:val="none"/>
              </w:rPr>
            </w:pPr>
            <w:r w:rsidRPr="00025619">
              <w:rPr>
                <w:rFonts w:ascii="Lato" w:eastAsia="Times New Roman" w:hAnsi="Lato" w:cs="Times New Roman"/>
                <w:kern w:val="0"/>
                <w:lang w:eastAsia="en-AU"/>
                <w14:ligatures w14:val="none"/>
              </w:rPr>
              <w:t>Key activities and implementation timelines</w:t>
            </w:r>
          </w:p>
          <w:p w14:paraId="71837EA7" w14:textId="77777777" w:rsidR="00B323DE" w:rsidRPr="00B323DE" w:rsidRDefault="00B323DE" w:rsidP="005A2DB9">
            <w:pPr>
              <w:pStyle w:val="ListParagraph"/>
              <w:numPr>
                <w:ilvl w:val="0"/>
                <w:numId w:val="15"/>
              </w:numPr>
              <w:spacing w:line="276" w:lineRule="auto"/>
              <w:rPr>
                <w:rFonts w:ascii="Lato" w:eastAsia="Times New Roman" w:hAnsi="Lato" w:cs="Times New Roman"/>
                <w:kern w:val="0"/>
                <w:lang w:eastAsia="en-AU"/>
                <w14:ligatures w14:val="none"/>
              </w:rPr>
            </w:pPr>
            <w:r w:rsidRPr="00B323DE">
              <w:rPr>
                <w:rFonts w:ascii="Lato" w:eastAsia="Times New Roman" w:hAnsi="Lato" w:cs="Times New Roman"/>
                <w:kern w:val="0"/>
                <w:lang w:eastAsia="en-AU"/>
                <w14:ligatures w14:val="none"/>
              </w:rPr>
              <w:t>Roles and responsibilities, including contributions from community organisations, Registered Training Organisations (RTOs), and employers</w:t>
            </w:r>
          </w:p>
          <w:p w14:paraId="5C9EB378" w14:textId="77777777" w:rsidR="00B323DE" w:rsidRPr="00B323DE" w:rsidRDefault="00B323DE" w:rsidP="005A2DB9">
            <w:pPr>
              <w:pStyle w:val="ListParagraph"/>
              <w:numPr>
                <w:ilvl w:val="0"/>
                <w:numId w:val="15"/>
              </w:numPr>
              <w:spacing w:line="276" w:lineRule="auto"/>
              <w:rPr>
                <w:rFonts w:ascii="Lato" w:eastAsia="Times New Roman" w:hAnsi="Lato" w:cs="Times New Roman"/>
                <w:kern w:val="0"/>
                <w:lang w:eastAsia="en-AU"/>
                <w14:ligatures w14:val="none"/>
              </w:rPr>
            </w:pPr>
            <w:r w:rsidRPr="00B323DE">
              <w:rPr>
                <w:rFonts w:ascii="Lato" w:eastAsia="Times New Roman" w:hAnsi="Lato" w:cs="Times New Roman"/>
                <w:kern w:val="0"/>
                <w:lang w:eastAsia="en-AU"/>
                <w14:ligatures w14:val="none"/>
              </w:rPr>
              <w:t xml:space="preserve">Budget breakdown, aligned to the funding allocations for each </w:t>
            </w:r>
          </w:p>
          <w:p w14:paraId="4F57E486" w14:textId="77777777" w:rsidR="00B323DE" w:rsidRPr="00B323DE" w:rsidRDefault="00B323DE" w:rsidP="005A2DB9">
            <w:pPr>
              <w:pStyle w:val="ListParagraph"/>
              <w:numPr>
                <w:ilvl w:val="0"/>
                <w:numId w:val="15"/>
              </w:numPr>
              <w:spacing w:line="276" w:lineRule="auto"/>
              <w:rPr>
                <w:rFonts w:ascii="Lato" w:eastAsia="Times New Roman" w:hAnsi="Lato" w:cs="Times New Roman"/>
                <w:kern w:val="0"/>
                <w:lang w:eastAsia="en-AU"/>
                <w14:ligatures w14:val="none"/>
              </w:rPr>
            </w:pPr>
            <w:r w:rsidRPr="00B323DE">
              <w:rPr>
                <w:rFonts w:ascii="Lato" w:eastAsia="Times New Roman" w:hAnsi="Lato" w:cs="Times New Roman"/>
                <w:kern w:val="0"/>
                <w:lang w:eastAsia="en-AU"/>
                <w14:ligatures w14:val="none"/>
              </w:rPr>
              <w:t>Action Risk management and mitigation strategies</w:t>
            </w:r>
          </w:p>
          <w:p w14:paraId="3D04F5B1" w14:textId="2E4A3D4B" w:rsidR="00B323DE" w:rsidRPr="00B323DE" w:rsidRDefault="00B323DE" w:rsidP="00B323DE">
            <w:pPr>
              <w:pStyle w:val="ListParagraph"/>
              <w:numPr>
                <w:ilvl w:val="0"/>
                <w:numId w:val="15"/>
              </w:numPr>
              <w:spacing w:before="100" w:beforeAutospacing="1" w:after="100" w:afterAutospacing="1" w:line="276" w:lineRule="auto"/>
              <w:rPr>
                <w:rFonts w:ascii="Lato" w:eastAsia="Times New Roman" w:hAnsi="Lato" w:cs="Times New Roman"/>
                <w:kern w:val="0"/>
                <w:lang w:eastAsia="en-AU"/>
                <w14:ligatures w14:val="none"/>
              </w:rPr>
            </w:pPr>
            <w:r w:rsidRPr="00B323DE">
              <w:rPr>
                <w:rFonts w:ascii="Lato" w:eastAsia="Times New Roman" w:hAnsi="Lato" w:cs="Times New Roman"/>
                <w:kern w:val="0"/>
                <w:lang w:eastAsia="en-AU"/>
                <w14:ligatures w14:val="none"/>
              </w:rPr>
              <w:t>Monitoring and evaluation framework, including key performance indicators (KPIs), learner outcomes, and employer feedback mechanisms</w:t>
            </w:r>
            <w:r w:rsidRPr="00B323DE">
              <w:rPr>
                <w:rFonts w:ascii="Lato" w:eastAsia="Times New Roman" w:hAnsi="Lato" w:cs="Times New Roman"/>
                <w:b/>
                <w:bCs/>
                <w:kern w:val="0"/>
                <w:lang w:eastAsia="en-AU"/>
                <w14:ligatures w14:val="none"/>
              </w:rPr>
              <w:t xml:space="preserve"> </w:t>
            </w:r>
          </w:p>
          <w:bookmarkEnd w:id="1"/>
          <w:p w14:paraId="7FDB9FA8" w14:textId="2D7913B9" w:rsidR="00150F0F" w:rsidRPr="0073446F" w:rsidRDefault="00150F0F" w:rsidP="0073446F">
            <w:pPr>
              <w:pStyle w:val="NoSpacing"/>
              <w:spacing w:line="276" w:lineRule="auto"/>
              <w:ind w:left="731" w:hanging="425"/>
              <w:rPr>
                <w:rStyle w:val="Strong"/>
                <w:rFonts w:ascii="Lato" w:hAnsi="Lato"/>
              </w:rPr>
            </w:pPr>
          </w:p>
        </w:tc>
      </w:tr>
    </w:tbl>
    <w:p w14:paraId="272E555F" w14:textId="28E68914" w:rsidR="00CE6CB7" w:rsidRDefault="00CE6CB7" w:rsidP="00FA5E66">
      <w:pPr>
        <w:rPr>
          <w:rFonts w:ascii="Corbel" w:hAnsi="Corbel"/>
        </w:rPr>
      </w:pPr>
    </w:p>
    <w:p w14:paraId="48F6B141" w14:textId="77777777" w:rsidR="008C097D" w:rsidRDefault="008C097D" w:rsidP="00FA5E66">
      <w:pPr>
        <w:rPr>
          <w:rFonts w:ascii="Corbel" w:hAnsi="Corbel"/>
        </w:rPr>
      </w:pPr>
    </w:p>
    <w:p w14:paraId="45465162" w14:textId="77777777" w:rsidR="008C097D" w:rsidRDefault="008C097D" w:rsidP="00FA5E66">
      <w:pPr>
        <w:rPr>
          <w:rFonts w:ascii="Corbel" w:hAnsi="Corbel"/>
        </w:rPr>
      </w:pPr>
    </w:p>
    <w:p w14:paraId="0D435A46" w14:textId="77777777" w:rsidR="008C097D" w:rsidRDefault="008C097D" w:rsidP="00FA5E66">
      <w:pPr>
        <w:rPr>
          <w:rFonts w:ascii="Corbel" w:hAnsi="Corbel"/>
        </w:rPr>
      </w:pPr>
    </w:p>
    <w:p w14:paraId="76736A55" w14:textId="77777777" w:rsidR="00B24B6C" w:rsidRDefault="00B24B6C" w:rsidP="00FA5E66">
      <w:pPr>
        <w:rPr>
          <w:rFonts w:ascii="Corbel" w:hAnsi="Corbel"/>
        </w:rPr>
      </w:pPr>
    </w:p>
    <w:p w14:paraId="78983068" w14:textId="77777777" w:rsidR="004E63C2" w:rsidRPr="00025619" w:rsidRDefault="004E63C2" w:rsidP="004E63C2">
      <w:pPr>
        <w:spacing w:line="276" w:lineRule="auto"/>
        <w:rPr>
          <w:rFonts w:ascii="Lato" w:hAnsi="Lato"/>
        </w:rPr>
      </w:pPr>
      <w:r w:rsidRPr="00B24B6C">
        <w:rPr>
          <w:rStyle w:val="ImplementationPlan1Char"/>
        </w:rPr>
        <w:lastRenderedPageBreak/>
        <w:t>Matched Funding Approach</w:t>
      </w:r>
      <w:r>
        <w:br/>
      </w:r>
      <w:r w:rsidRPr="005A2DB9">
        <w:rPr>
          <w:sz w:val="10"/>
          <w:szCs w:val="10"/>
        </w:rPr>
        <w:br/>
      </w:r>
      <w:r w:rsidRPr="00025619">
        <w:rPr>
          <w:rFonts w:ascii="Lato" w:hAnsi="Lato"/>
        </w:rPr>
        <w:t>The NT’s matched funding comprises approximately 60% new funding and 40% reprioritised NT VET expenditure tied specifically to the initiatives set out in this Implementation Plan. The NT will report annually on matched funding by Action and financial year, with CFO attestation, and will identify any elements from existing appropriations that are being reprioritised to support this Implementation Plan.</w:t>
      </w:r>
    </w:p>
    <w:tbl>
      <w:tblPr>
        <w:tblStyle w:val="TableGrid"/>
        <w:tblW w:w="0" w:type="auto"/>
        <w:tblLook w:val="04A0" w:firstRow="1" w:lastRow="0" w:firstColumn="1" w:lastColumn="0" w:noHBand="0" w:noVBand="1"/>
      </w:tblPr>
      <w:tblGrid>
        <w:gridCol w:w="1978"/>
        <w:gridCol w:w="1641"/>
        <w:gridCol w:w="1801"/>
        <w:gridCol w:w="1798"/>
        <w:gridCol w:w="1798"/>
      </w:tblGrid>
      <w:tr w:rsidR="004E63C2" w14:paraId="078826DE" w14:textId="77777777" w:rsidTr="00B24B6C">
        <w:tc>
          <w:tcPr>
            <w:tcW w:w="1980" w:type="dxa"/>
          </w:tcPr>
          <w:p w14:paraId="0185F488" w14:textId="77777777" w:rsidR="004E63C2" w:rsidRDefault="004E63C2" w:rsidP="00F8176F">
            <w:r>
              <w:t>Action</w:t>
            </w:r>
          </w:p>
        </w:tc>
        <w:tc>
          <w:tcPr>
            <w:tcW w:w="1629" w:type="dxa"/>
          </w:tcPr>
          <w:p w14:paraId="0B02A481" w14:textId="77777777" w:rsidR="004E63C2" w:rsidRDefault="004E63C2" w:rsidP="00F8176F">
            <w:r>
              <w:t>Commonwealth Investment ($)</w:t>
            </w:r>
          </w:p>
        </w:tc>
        <w:tc>
          <w:tcPr>
            <w:tcW w:w="1803" w:type="dxa"/>
          </w:tcPr>
          <w:p w14:paraId="7F6DAAF3" w14:textId="77777777" w:rsidR="004E63C2" w:rsidRDefault="004E63C2" w:rsidP="00F8176F">
            <w:r>
              <w:t>NT Investment ($)</w:t>
            </w:r>
          </w:p>
        </w:tc>
        <w:tc>
          <w:tcPr>
            <w:tcW w:w="1802" w:type="dxa"/>
          </w:tcPr>
          <w:p w14:paraId="2D441990" w14:textId="77777777" w:rsidR="004E63C2" w:rsidRDefault="004E63C2" w:rsidP="00F8176F">
            <w:r>
              <w:t>Planned Start</w:t>
            </w:r>
          </w:p>
        </w:tc>
        <w:tc>
          <w:tcPr>
            <w:tcW w:w="1802" w:type="dxa"/>
          </w:tcPr>
          <w:p w14:paraId="28956D20" w14:textId="77777777" w:rsidR="004E63C2" w:rsidRDefault="004E63C2" w:rsidP="00F8176F">
            <w:r>
              <w:t>Planned End</w:t>
            </w:r>
          </w:p>
        </w:tc>
      </w:tr>
      <w:tr w:rsidR="004E63C2" w14:paraId="702C6136" w14:textId="77777777" w:rsidTr="00B24B6C">
        <w:tc>
          <w:tcPr>
            <w:tcW w:w="1980" w:type="dxa"/>
          </w:tcPr>
          <w:p w14:paraId="0D47B5A5" w14:textId="77777777" w:rsidR="004E63C2" w:rsidRPr="005A2DB9" w:rsidRDefault="004E63C2" w:rsidP="00F8176F">
            <w:pPr>
              <w:rPr>
                <w:rFonts w:ascii="Lato" w:hAnsi="Lato"/>
              </w:rPr>
            </w:pPr>
            <w:r w:rsidRPr="005A2DB9">
              <w:rPr>
                <w:rFonts w:ascii="Lato" w:hAnsi="Lato"/>
              </w:rPr>
              <w:t>Action 1 – Industry-led work</w:t>
            </w:r>
            <w:r>
              <w:rPr>
                <w:rFonts w:ascii="Lato" w:hAnsi="Lato"/>
              </w:rPr>
              <w:t>forc</w:t>
            </w:r>
            <w:r w:rsidRPr="005A2DB9">
              <w:rPr>
                <w:rFonts w:ascii="Lato" w:hAnsi="Lato"/>
              </w:rPr>
              <w:t xml:space="preserve">e </w:t>
            </w:r>
            <w:r>
              <w:rPr>
                <w:rFonts w:ascii="Lato" w:hAnsi="Lato"/>
              </w:rPr>
              <w:t>support</w:t>
            </w:r>
          </w:p>
        </w:tc>
        <w:tc>
          <w:tcPr>
            <w:tcW w:w="1629" w:type="dxa"/>
          </w:tcPr>
          <w:p w14:paraId="131027C0" w14:textId="77777777" w:rsidR="004E63C2" w:rsidRPr="005A2DB9" w:rsidRDefault="004E63C2" w:rsidP="00F8176F">
            <w:pPr>
              <w:rPr>
                <w:rFonts w:ascii="Lato" w:hAnsi="Lato"/>
              </w:rPr>
            </w:pPr>
            <w:r w:rsidRPr="005A2DB9">
              <w:rPr>
                <w:rFonts w:ascii="Lato" w:hAnsi="Lato"/>
              </w:rPr>
              <w:t>$2,000,000</w:t>
            </w:r>
          </w:p>
        </w:tc>
        <w:tc>
          <w:tcPr>
            <w:tcW w:w="1803" w:type="dxa"/>
          </w:tcPr>
          <w:p w14:paraId="6DD1BC0D" w14:textId="77777777" w:rsidR="004E63C2" w:rsidRPr="005A2DB9" w:rsidRDefault="004E63C2" w:rsidP="00F8176F">
            <w:pPr>
              <w:rPr>
                <w:rFonts w:ascii="Lato" w:hAnsi="Lato"/>
              </w:rPr>
            </w:pPr>
            <w:r w:rsidRPr="005A2DB9">
              <w:rPr>
                <w:rFonts w:ascii="Lato" w:hAnsi="Lato"/>
              </w:rPr>
              <w:t>$2,000,000</w:t>
            </w:r>
          </w:p>
        </w:tc>
        <w:tc>
          <w:tcPr>
            <w:tcW w:w="1802" w:type="dxa"/>
          </w:tcPr>
          <w:p w14:paraId="22282D9E" w14:textId="77777777" w:rsidR="004E63C2" w:rsidRPr="005A2DB9" w:rsidRDefault="004E63C2" w:rsidP="00F8176F">
            <w:pPr>
              <w:rPr>
                <w:rFonts w:ascii="Lato" w:hAnsi="Lato"/>
              </w:rPr>
            </w:pPr>
            <w:r w:rsidRPr="005A2DB9">
              <w:rPr>
                <w:rFonts w:ascii="Lato" w:hAnsi="Lato"/>
              </w:rPr>
              <w:t>1 Mar 2026</w:t>
            </w:r>
          </w:p>
        </w:tc>
        <w:tc>
          <w:tcPr>
            <w:tcW w:w="1802" w:type="dxa"/>
          </w:tcPr>
          <w:p w14:paraId="7A6AD9A4" w14:textId="77777777" w:rsidR="004E63C2" w:rsidRPr="005A2DB9" w:rsidRDefault="004E63C2" w:rsidP="00F8176F">
            <w:pPr>
              <w:rPr>
                <w:rFonts w:ascii="Lato" w:hAnsi="Lato"/>
              </w:rPr>
            </w:pPr>
            <w:r w:rsidRPr="005A2DB9">
              <w:rPr>
                <w:rFonts w:ascii="Lato" w:hAnsi="Lato"/>
              </w:rPr>
              <w:t>31 Dec 2028</w:t>
            </w:r>
          </w:p>
        </w:tc>
      </w:tr>
      <w:tr w:rsidR="004E63C2" w14:paraId="10BDA191" w14:textId="77777777" w:rsidTr="00B24B6C">
        <w:tc>
          <w:tcPr>
            <w:tcW w:w="1980" w:type="dxa"/>
          </w:tcPr>
          <w:p w14:paraId="719A3F8A" w14:textId="77777777" w:rsidR="004E63C2" w:rsidRPr="005A2DB9" w:rsidRDefault="004E63C2" w:rsidP="00F8176F">
            <w:pPr>
              <w:rPr>
                <w:rFonts w:ascii="Lato" w:hAnsi="Lato"/>
              </w:rPr>
            </w:pPr>
            <w:r w:rsidRPr="005A2DB9">
              <w:rPr>
                <w:rFonts w:ascii="Lato" w:hAnsi="Lato"/>
              </w:rPr>
              <w:t>Action 2 – Youth &amp; priority cohort</w:t>
            </w:r>
            <w:r>
              <w:rPr>
                <w:rFonts w:ascii="Lato" w:hAnsi="Lato"/>
              </w:rPr>
              <w:t xml:space="preserve"> </w:t>
            </w:r>
            <w:r w:rsidRPr="005A2DB9">
              <w:rPr>
                <w:rFonts w:ascii="Lato" w:hAnsi="Lato"/>
              </w:rPr>
              <w:t xml:space="preserve">Certificate II pathways </w:t>
            </w:r>
          </w:p>
        </w:tc>
        <w:tc>
          <w:tcPr>
            <w:tcW w:w="1629" w:type="dxa"/>
          </w:tcPr>
          <w:p w14:paraId="458472C4" w14:textId="77777777" w:rsidR="004E63C2" w:rsidRPr="005A2DB9" w:rsidRDefault="004E63C2" w:rsidP="00F8176F">
            <w:pPr>
              <w:rPr>
                <w:rFonts w:ascii="Lato" w:hAnsi="Lato"/>
              </w:rPr>
            </w:pPr>
            <w:r w:rsidRPr="005A2DB9">
              <w:rPr>
                <w:rFonts w:ascii="Lato" w:hAnsi="Lato"/>
              </w:rPr>
              <w:t>$1,600,000</w:t>
            </w:r>
          </w:p>
        </w:tc>
        <w:tc>
          <w:tcPr>
            <w:tcW w:w="1803" w:type="dxa"/>
          </w:tcPr>
          <w:p w14:paraId="053396C2" w14:textId="77777777" w:rsidR="004E63C2" w:rsidRPr="005A2DB9" w:rsidRDefault="004E63C2" w:rsidP="00F8176F">
            <w:pPr>
              <w:rPr>
                <w:rFonts w:ascii="Lato" w:hAnsi="Lato"/>
              </w:rPr>
            </w:pPr>
            <w:r w:rsidRPr="005A2DB9">
              <w:rPr>
                <w:rFonts w:ascii="Lato" w:hAnsi="Lato"/>
              </w:rPr>
              <w:t>$1,600,000</w:t>
            </w:r>
          </w:p>
        </w:tc>
        <w:tc>
          <w:tcPr>
            <w:tcW w:w="1802" w:type="dxa"/>
          </w:tcPr>
          <w:p w14:paraId="272B43E1" w14:textId="77777777" w:rsidR="004E63C2" w:rsidRPr="005A2DB9" w:rsidRDefault="004E63C2" w:rsidP="00F8176F">
            <w:pPr>
              <w:rPr>
                <w:rFonts w:ascii="Lato" w:hAnsi="Lato"/>
              </w:rPr>
            </w:pPr>
            <w:r w:rsidRPr="005A2DB9">
              <w:rPr>
                <w:rFonts w:ascii="Lato" w:hAnsi="Lato"/>
              </w:rPr>
              <w:t>1 Apr 2026</w:t>
            </w:r>
          </w:p>
        </w:tc>
        <w:tc>
          <w:tcPr>
            <w:tcW w:w="1802" w:type="dxa"/>
          </w:tcPr>
          <w:p w14:paraId="41D7D971" w14:textId="77777777" w:rsidR="004E63C2" w:rsidRPr="005A2DB9" w:rsidRDefault="004E63C2" w:rsidP="00F8176F">
            <w:pPr>
              <w:rPr>
                <w:rFonts w:ascii="Lato" w:hAnsi="Lato"/>
              </w:rPr>
            </w:pPr>
            <w:r w:rsidRPr="005A2DB9">
              <w:rPr>
                <w:rFonts w:ascii="Lato" w:hAnsi="Lato"/>
              </w:rPr>
              <w:t>31 Dec 2028</w:t>
            </w:r>
          </w:p>
        </w:tc>
      </w:tr>
      <w:tr w:rsidR="004E63C2" w14:paraId="250D7B15" w14:textId="77777777" w:rsidTr="00B24B6C">
        <w:tc>
          <w:tcPr>
            <w:tcW w:w="1980" w:type="dxa"/>
          </w:tcPr>
          <w:p w14:paraId="55EBDF29" w14:textId="77777777" w:rsidR="004E63C2" w:rsidRPr="005A2DB9" w:rsidRDefault="004E63C2" w:rsidP="00F8176F">
            <w:pPr>
              <w:rPr>
                <w:rFonts w:ascii="Lato" w:hAnsi="Lato"/>
              </w:rPr>
            </w:pPr>
            <w:r w:rsidRPr="005A2DB9">
              <w:rPr>
                <w:rFonts w:ascii="Lato" w:hAnsi="Lato"/>
              </w:rPr>
              <w:t xml:space="preserve">Action 3 – </w:t>
            </w:r>
            <w:r>
              <w:rPr>
                <w:rFonts w:ascii="Lato" w:hAnsi="Lato"/>
              </w:rPr>
              <w:t>Small and Medium Enterprise (</w:t>
            </w:r>
            <w:r w:rsidRPr="005A2DB9">
              <w:rPr>
                <w:rFonts w:ascii="Lato" w:hAnsi="Lato"/>
              </w:rPr>
              <w:t>SME</w:t>
            </w:r>
            <w:r>
              <w:rPr>
                <w:rFonts w:ascii="Lato" w:hAnsi="Lato"/>
              </w:rPr>
              <w:t>)</w:t>
            </w:r>
            <w:r w:rsidRPr="005A2DB9">
              <w:rPr>
                <w:rFonts w:ascii="Lato" w:hAnsi="Lato"/>
              </w:rPr>
              <w:t xml:space="preserve"> continuity </w:t>
            </w:r>
            <w:r>
              <w:rPr>
                <w:rFonts w:ascii="Lato" w:hAnsi="Lato"/>
              </w:rPr>
              <w:t>and School Based Apprenticeships and Traineeships (SBA</w:t>
            </w:r>
            <w:r w:rsidRPr="005A2DB9">
              <w:rPr>
                <w:rFonts w:ascii="Lato" w:hAnsi="Lato"/>
              </w:rPr>
              <w:t>T</w:t>
            </w:r>
            <w:r>
              <w:rPr>
                <w:rFonts w:ascii="Lato" w:hAnsi="Lato"/>
              </w:rPr>
              <w:t>)</w:t>
            </w:r>
          </w:p>
        </w:tc>
        <w:tc>
          <w:tcPr>
            <w:tcW w:w="1629" w:type="dxa"/>
          </w:tcPr>
          <w:p w14:paraId="54DD1D88" w14:textId="77777777" w:rsidR="004E63C2" w:rsidRPr="005A2DB9" w:rsidRDefault="004E63C2" w:rsidP="00F8176F">
            <w:pPr>
              <w:rPr>
                <w:rFonts w:ascii="Lato" w:hAnsi="Lato"/>
              </w:rPr>
            </w:pPr>
            <w:r w:rsidRPr="005A2DB9">
              <w:rPr>
                <w:rFonts w:ascii="Lato" w:hAnsi="Lato"/>
              </w:rPr>
              <w:t>$1,000,000</w:t>
            </w:r>
          </w:p>
        </w:tc>
        <w:tc>
          <w:tcPr>
            <w:tcW w:w="1803" w:type="dxa"/>
          </w:tcPr>
          <w:p w14:paraId="41C2CAFD" w14:textId="77777777" w:rsidR="004E63C2" w:rsidRPr="005A2DB9" w:rsidRDefault="004E63C2" w:rsidP="00F8176F">
            <w:pPr>
              <w:rPr>
                <w:rFonts w:ascii="Lato" w:hAnsi="Lato"/>
              </w:rPr>
            </w:pPr>
            <w:r w:rsidRPr="005A2DB9">
              <w:rPr>
                <w:rFonts w:ascii="Lato" w:hAnsi="Lato"/>
              </w:rPr>
              <w:t>$1,000,000</w:t>
            </w:r>
          </w:p>
        </w:tc>
        <w:tc>
          <w:tcPr>
            <w:tcW w:w="1802" w:type="dxa"/>
          </w:tcPr>
          <w:p w14:paraId="68F22AEB" w14:textId="77777777" w:rsidR="004E63C2" w:rsidRPr="005A2DB9" w:rsidRDefault="004E63C2" w:rsidP="00F8176F">
            <w:pPr>
              <w:rPr>
                <w:rFonts w:ascii="Lato" w:hAnsi="Lato"/>
              </w:rPr>
            </w:pPr>
            <w:r w:rsidRPr="005A2DB9">
              <w:rPr>
                <w:rFonts w:ascii="Lato" w:hAnsi="Lato"/>
              </w:rPr>
              <w:t>1 Jul 2026</w:t>
            </w:r>
          </w:p>
        </w:tc>
        <w:tc>
          <w:tcPr>
            <w:tcW w:w="1802" w:type="dxa"/>
          </w:tcPr>
          <w:p w14:paraId="2D655F80" w14:textId="77777777" w:rsidR="004E63C2" w:rsidRPr="005A2DB9" w:rsidRDefault="004E63C2" w:rsidP="00F8176F">
            <w:pPr>
              <w:rPr>
                <w:rFonts w:ascii="Lato" w:hAnsi="Lato"/>
              </w:rPr>
            </w:pPr>
            <w:r w:rsidRPr="005A2DB9">
              <w:rPr>
                <w:rFonts w:ascii="Lato" w:hAnsi="Lato"/>
              </w:rPr>
              <w:t>31 Dec 2028</w:t>
            </w:r>
          </w:p>
        </w:tc>
      </w:tr>
      <w:tr w:rsidR="004E63C2" w14:paraId="2EF8724D" w14:textId="77777777" w:rsidTr="00B24B6C">
        <w:tc>
          <w:tcPr>
            <w:tcW w:w="1980" w:type="dxa"/>
          </w:tcPr>
          <w:p w14:paraId="11379658" w14:textId="77777777" w:rsidR="004E63C2" w:rsidRPr="005A2DB9" w:rsidRDefault="004E63C2" w:rsidP="00F8176F">
            <w:pPr>
              <w:rPr>
                <w:rFonts w:ascii="Lato" w:hAnsi="Lato"/>
              </w:rPr>
            </w:pPr>
            <w:r w:rsidRPr="005A2DB9">
              <w:rPr>
                <w:rFonts w:ascii="Lato" w:hAnsi="Lato"/>
              </w:rPr>
              <w:t>Action 4 – Comprehensive completions support</w:t>
            </w:r>
          </w:p>
        </w:tc>
        <w:tc>
          <w:tcPr>
            <w:tcW w:w="1629" w:type="dxa"/>
          </w:tcPr>
          <w:p w14:paraId="1C8F6CE9" w14:textId="77777777" w:rsidR="004E63C2" w:rsidRPr="005A2DB9" w:rsidRDefault="004E63C2" w:rsidP="00F8176F">
            <w:pPr>
              <w:rPr>
                <w:rFonts w:ascii="Lato" w:hAnsi="Lato"/>
              </w:rPr>
            </w:pPr>
            <w:r w:rsidRPr="005A2DB9">
              <w:rPr>
                <w:rFonts w:ascii="Lato" w:hAnsi="Lato"/>
              </w:rPr>
              <w:t>$600,000</w:t>
            </w:r>
          </w:p>
        </w:tc>
        <w:tc>
          <w:tcPr>
            <w:tcW w:w="1803" w:type="dxa"/>
          </w:tcPr>
          <w:p w14:paraId="4551F04D" w14:textId="77777777" w:rsidR="004E63C2" w:rsidRPr="005A2DB9" w:rsidRDefault="004E63C2" w:rsidP="00F8176F">
            <w:pPr>
              <w:rPr>
                <w:rFonts w:ascii="Lato" w:hAnsi="Lato"/>
              </w:rPr>
            </w:pPr>
            <w:r w:rsidRPr="005A2DB9">
              <w:rPr>
                <w:rFonts w:ascii="Lato" w:hAnsi="Lato"/>
              </w:rPr>
              <w:t>$600,000</w:t>
            </w:r>
          </w:p>
        </w:tc>
        <w:tc>
          <w:tcPr>
            <w:tcW w:w="1802" w:type="dxa"/>
          </w:tcPr>
          <w:p w14:paraId="737C82A6" w14:textId="77777777" w:rsidR="004E63C2" w:rsidRPr="005A2DB9" w:rsidRDefault="004E63C2" w:rsidP="00F8176F">
            <w:pPr>
              <w:rPr>
                <w:rFonts w:ascii="Lato" w:hAnsi="Lato"/>
              </w:rPr>
            </w:pPr>
            <w:r w:rsidRPr="005A2DB9">
              <w:rPr>
                <w:rFonts w:ascii="Lato" w:hAnsi="Lato"/>
              </w:rPr>
              <w:t>1 Jul 2026</w:t>
            </w:r>
          </w:p>
        </w:tc>
        <w:tc>
          <w:tcPr>
            <w:tcW w:w="1802" w:type="dxa"/>
          </w:tcPr>
          <w:p w14:paraId="0AAD21DB" w14:textId="77777777" w:rsidR="004E63C2" w:rsidRPr="005A2DB9" w:rsidRDefault="004E63C2" w:rsidP="00F8176F">
            <w:pPr>
              <w:rPr>
                <w:rFonts w:ascii="Lato" w:hAnsi="Lato"/>
              </w:rPr>
            </w:pPr>
            <w:r w:rsidRPr="005A2DB9">
              <w:rPr>
                <w:rFonts w:ascii="Lato" w:hAnsi="Lato"/>
              </w:rPr>
              <w:t>31 Dec 2028</w:t>
            </w:r>
          </w:p>
        </w:tc>
      </w:tr>
      <w:tr w:rsidR="004E63C2" w14:paraId="4BF33E78" w14:textId="77777777" w:rsidTr="00B24B6C">
        <w:tc>
          <w:tcPr>
            <w:tcW w:w="1980" w:type="dxa"/>
          </w:tcPr>
          <w:p w14:paraId="0C45C01A" w14:textId="77777777" w:rsidR="004E63C2" w:rsidRPr="005A2DB9" w:rsidRDefault="004E63C2" w:rsidP="00F8176F">
            <w:pPr>
              <w:rPr>
                <w:rFonts w:ascii="Lato" w:hAnsi="Lato"/>
              </w:rPr>
            </w:pPr>
            <w:r w:rsidRPr="005A2DB9">
              <w:rPr>
                <w:rFonts w:ascii="Lato" w:hAnsi="Lato"/>
              </w:rPr>
              <w:t>Total</w:t>
            </w:r>
          </w:p>
        </w:tc>
        <w:tc>
          <w:tcPr>
            <w:tcW w:w="1629" w:type="dxa"/>
          </w:tcPr>
          <w:p w14:paraId="6AE76DE6" w14:textId="77777777" w:rsidR="004E63C2" w:rsidRPr="005A2DB9" w:rsidRDefault="004E63C2" w:rsidP="00F8176F">
            <w:pPr>
              <w:rPr>
                <w:rFonts w:ascii="Lato" w:hAnsi="Lato"/>
              </w:rPr>
            </w:pPr>
            <w:r w:rsidRPr="005A2DB9">
              <w:rPr>
                <w:rFonts w:ascii="Lato" w:hAnsi="Lato"/>
              </w:rPr>
              <w:t>$5,200,000</w:t>
            </w:r>
          </w:p>
        </w:tc>
        <w:tc>
          <w:tcPr>
            <w:tcW w:w="1803" w:type="dxa"/>
          </w:tcPr>
          <w:p w14:paraId="4B700332" w14:textId="77777777" w:rsidR="004E63C2" w:rsidRPr="005A2DB9" w:rsidRDefault="004E63C2" w:rsidP="00F8176F">
            <w:pPr>
              <w:rPr>
                <w:rFonts w:ascii="Lato" w:hAnsi="Lato"/>
              </w:rPr>
            </w:pPr>
            <w:r w:rsidRPr="005A2DB9">
              <w:rPr>
                <w:rFonts w:ascii="Lato" w:hAnsi="Lato"/>
              </w:rPr>
              <w:t>$5,200,000</w:t>
            </w:r>
          </w:p>
        </w:tc>
        <w:tc>
          <w:tcPr>
            <w:tcW w:w="1802" w:type="dxa"/>
          </w:tcPr>
          <w:p w14:paraId="23376BB5" w14:textId="77777777" w:rsidR="004E63C2" w:rsidRPr="005A2DB9" w:rsidRDefault="004E63C2" w:rsidP="00F8176F">
            <w:pPr>
              <w:rPr>
                <w:rFonts w:ascii="Lato" w:hAnsi="Lato"/>
              </w:rPr>
            </w:pPr>
          </w:p>
        </w:tc>
        <w:tc>
          <w:tcPr>
            <w:tcW w:w="1802" w:type="dxa"/>
          </w:tcPr>
          <w:p w14:paraId="202BD0BA" w14:textId="77777777" w:rsidR="004E63C2" w:rsidRPr="005A2DB9" w:rsidRDefault="004E63C2" w:rsidP="00F8176F">
            <w:pPr>
              <w:rPr>
                <w:rFonts w:ascii="Lato" w:hAnsi="Lato"/>
              </w:rPr>
            </w:pPr>
          </w:p>
        </w:tc>
      </w:tr>
    </w:tbl>
    <w:p w14:paraId="103AEAF3" w14:textId="1EB30F20" w:rsidR="004E63C2" w:rsidRDefault="004E63C2" w:rsidP="004E63C2">
      <w:pPr>
        <w:pStyle w:val="NoSpacing"/>
        <w:spacing w:line="276" w:lineRule="auto"/>
        <w:rPr>
          <w:rFonts w:ascii="Lato" w:hAnsi="Lato"/>
        </w:rPr>
      </w:pPr>
    </w:p>
    <w:p w14:paraId="50EA858A" w14:textId="77777777" w:rsidR="00C9411A" w:rsidRPr="00417C51" w:rsidRDefault="00C9411A" w:rsidP="004E63C2">
      <w:pPr>
        <w:pStyle w:val="NoSpacing"/>
        <w:spacing w:line="276" w:lineRule="auto"/>
        <w:rPr>
          <w:rFonts w:ascii="Lato" w:hAnsi="Lato"/>
        </w:rPr>
      </w:pPr>
    </w:p>
    <w:tbl>
      <w:tblPr>
        <w:tblStyle w:val="TableGrid1"/>
        <w:tblW w:w="5000" w:type="pct"/>
        <w:tblLook w:val="04A0" w:firstRow="1" w:lastRow="0" w:firstColumn="1" w:lastColumn="0" w:noHBand="0" w:noVBand="1"/>
      </w:tblPr>
      <w:tblGrid>
        <w:gridCol w:w="2781"/>
        <w:gridCol w:w="1291"/>
        <w:gridCol w:w="1315"/>
        <w:gridCol w:w="1291"/>
        <w:gridCol w:w="1170"/>
        <w:gridCol w:w="1168"/>
      </w:tblGrid>
      <w:tr w:rsidR="004E63C2" w:rsidRPr="0051739D" w14:paraId="75F2E65A" w14:textId="77777777" w:rsidTr="00F8176F">
        <w:tc>
          <w:tcPr>
            <w:tcW w:w="1542" w:type="pct"/>
          </w:tcPr>
          <w:p w14:paraId="3F541A0F" w14:textId="41902553" w:rsidR="004E63C2" w:rsidRPr="00B1338B" w:rsidRDefault="004E63C2" w:rsidP="00F8176F">
            <w:pPr>
              <w:spacing w:line="276" w:lineRule="auto"/>
              <w:rPr>
                <w:rFonts w:ascii="Lato" w:eastAsia="Calibri" w:hAnsi="Lato" w:cs="Calibri"/>
                <w:b/>
                <w:bCs/>
                <w:color w:val="000000" w:themeColor="text1"/>
              </w:rPr>
            </w:pPr>
            <w:r w:rsidRPr="00B1338B">
              <w:rPr>
                <w:rFonts w:ascii="Lato" w:hAnsi="Lato"/>
                <w:b/>
                <w:bCs/>
                <w:i/>
                <w:iCs/>
                <w:color w:val="5B9BD5" w:themeColor="accent1"/>
              </w:rPr>
              <w:br w:type="page"/>
            </w:r>
            <w:r w:rsidRPr="00B1338B">
              <w:rPr>
                <w:rFonts w:ascii="Lato" w:eastAsia="Calibri" w:hAnsi="Lato" w:cs="Calibri"/>
                <w:b/>
                <w:bCs/>
                <w:color w:val="000000" w:themeColor="text1"/>
              </w:rPr>
              <w:t>Details of matched funding</w:t>
            </w:r>
            <w:r w:rsidR="000B58EA">
              <w:rPr>
                <w:rFonts w:ascii="Lato" w:eastAsia="Calibri" w:hAnsi="Lato" w:cs="Calibri"/>
                <w:b/>
                <w:bCs/>
                <w:color w:val="000000" w:themeColor="text1"/>
              </w:rPr>
              <w:t xml:space="preserve"> ($millions)</w:t>
            </w:r>
          </w:p>
        </w:tc>
        <w:tc>
          <w:tcPr>
            <w:tcW w:w="716" w:type="pct"/>
          </w:tcPr>
          <w:p w14:paraId="18788A9E" w14:textId="77777777" w:rsidR="004E63C2" w:rsidRPr="00B1338B" w:rsidRDefault="004E63C2" w:rsidP="00F8176F">
            <w:pPr>
              <w:spacing w:line="276" w:lineRule="auto"/>
              <w:jc w:val="both"/>
              <w:rPr>
                <w:rFonts w:ascii="Lato" w:eastAsia="Calibri" w:hAnsi="Lato" w:cs="Calibri"/>
                <w:b/>
                <w:bCs/>
                <w:color w:val="000000" w:themeColor="text1"/>
              </w:rPr>
            </w:pPr>
            <w:r w:rsidRPr="00B1338B">
              <w:rPr>
                <w:rFonts w:ascii="Lato" w:eastAsia="Calibri" w:hAnsi="Lato" w:cs="Calibri"/>
                <w:b/>
                <w:bCs/>
                <w:color w:val="000000" w:themeColor="text1"/>
              </w:rPr>
              <w:t>2025-26</w:t>
            </w:r>
          </w:p>
        </w:tc>
        <w:tc>
          <w:tcPr>
            <w:tcW w:w="729" w:type="pct"/>
          </w:tcPr>
          <w:p w14:paraId="636A88B7" w14:textId="77777777" w:rsidR="004E63C2" w:rsidRPr="00B1338B" w:rsidRDefault="004E63C2" w:rsidP="00F8176F">
            <w:pPr>
              <w:spacing w:line="276" w:lineRule="auto"/>
              <w:jc w:val="both"/>
              <w:rPr>
                <w:rFonts w:ascii="Lato" w:eastAsia="Calibri" w:hAnsi="Lato" w:cs="Calibri"/>
                <w:b/>
                <w:bCs/>
                <w:color w:val="000000" w:themeColor="text1"/>
              </w:rPr>
            </w:pPr>
            <w:r w:rsidRPr="00B1338B">
              <w:rPr>
                <w:rFonts w:ascii="Lato" w:eastAsia="Calibri" w:hAnsi="Lato" w:cs="Calibri"/>
                <w:b/>
                <w:bCs/>
                <w:color w:val="000000" w:themeColor="text1"/>
              </w:rPr>
              <w:t>2026-27</w:t>
            </w:r>
          </w:p>
        </w:tc>
        <w:tc>
          <w:tcPr>
            <w:tcW w:w="716" w:type="pct"/>
          </w:tcPr>
          <w:p w14:paraId="090BD2F7" w14:textId="77777777" w:rsidR="004E63C2" w:rsidRPr="00B1338B" w:rsidRDefault="004E63C2" w:rsidP="00F8176F">
            <w:pPr>
              <w:spacing w:line="276" w:lineRule="auto"/>
              <w:jc w:val="both"/>
              <w:rPr>
                <w:rFonts w:ascii="Lato" w:eastAsia="Calibri" w:hAnsi="Lato" w:cs="Calibri"/>
                <w:b/>
                <w:bCs/>
                <w:color w:val="000000" w:themeColor="text1"/>
              </w:rPr>
            </w:pPr>
            <w:r w:rsidRPr="00B1338B">
              <w:rPr>
                <w:rFonts w:ascii="Lato" w:eastAsia="Calibri" w:hAnsi="Lato" w:cs="Calibri"/>
                <w:b/>
                <w:bCs/>
                <w:color w:val="000000" w:themeColor="text1"/>
              </w:rPr>
              <w:t>2027-28</w:t>
            </w:r>
          </w:p>
        </w:tc>
        <w:tc>
          <w:tcPr>
            <w:tcW w:w="649" w:type="pct"/>
          </w:tcPr>
          <w:p w14:paraId="25A8F239" w14:textId="77777777" w:rsidR="004E63C2" w:rsidRPr="0051739D" w:rsidRDefault="004E63C2" w:rsidP="00F8176F">
            <w:pPr>
              <w:spacing w:line="276" w:lineRule="auto"/>
              <w:jc w:val="both"/>
              <w:rPr>
                <w:rFonts w:ascii="Lato" w:eastAsia="Calibri" w:hAnsi="Lato" w:cs="Calibri"/>
                <w:b/>
                <w:bCs/>
                <w:color w:val="000000" w:themeColor="text1"/>
              </w:rPr>
            </w:pPr>
            <w:r>
              <w:rPr>
                <w:rFonts w:ascii="Lato" w:eastAsia="Calibri" w:hAnsi="Lato" w:cs="Calibri"/>
                <w:b/>
                <w:bCs/>
                <w:color w:val="000000" w:themeColor="text1"/>
              </w:rPr>
              <w:t>2028-29</w:t>
            </w:r>
          </w:p>
        </w:tc>
        <w:tc>
          <w:tcPr>
            <w:tcW w:w="648" w:type="pct"/>
          </w:tcPr>
          <w:p w14:paraId="5D6139CA" w14:textId="77777777" w:rsidR="004E63C2" w:rsidRPr="00B1338B" w:rsidRDefault="004E63C2" w:rsidP="00F8176F">
            <w:pPr>
              <w:spacing w:line="276" w:lineRule="auto"/>
              <w:jc w:val="both"/>
              <w:rPr>
                <w:rFonts w:ascii="Lato" w:eastAsia="Calibri" w:hAnsi="Lato" w:cs="Calibri"/>
                <w:b/>
                <w:bCs/>
                <w:color w:val="000000" w:themeColor="text1"/>
              </w:rPr>
            </w:pPr>
            <w:r w:rsidRPr="00B1338B">
              <w:rPr>
                <w:rFonts w:ascii="Lato" w:eastAsia="Calibri" w:hAnsi="Lato" w:cs="Calibri"/>
                <w:b/>
                <w:bCs/>
                <w:color w:val="000000" w:themeColor="text1"/>
              </w:rPr>
              <w:t>Total</w:t>
            </w:r>
          </w:p>
        </w:tc>
      </w:tr>
      <w:tr w:rsidR="004E63C2" w:rsidRPr="0051739D" w14:paraId="1D2ED2B9" w14:textId="77777777" w:rsidTr="00F8176F">
        <w:tc>
          <w:tcPr>
            <w:tcW w:w="1542" w:type="pct"/>
          </w:tcPr>
          <w:p w14:paraId="027C0116" w14:textId="77777777" w:rsidR="004E63C2" w:rsidRPr="00B1338B" w:rsidRDefault="004E63C2" w:rsidP="00F8176F">
            <w:pPr>
              <w:spacing w:line="276" w:lineRule="auto"/>
              <w:rPr>
                <w:rFonts w:ascii="Lato" w:hAnsi="Lato"/>
                <w:b/>
                <w:bCs/>
                <w:i/>
                <w:iCs/>
                <w:color w:val="5B9BD5" w:themeColor="accent1"/>
              </w:rPr>
            </w:pPr>
            <w:r w:rsidRPr="00B1338B">
              <w:rPr>
                <w:rFonts w:ascii="Lato" w:hAnsi="Lato"/>
                <w:b/>
                <w:bCs/>
              </w:rPr>
              <w:t>Northern Territory contribution</w:t>
            </w:r>
          </w:p>
        </w:tc>
        <w:tc>
          <w:tcPr>
            <w:tcW w:w="716" w:type="pct"/>
          </w:tcPr>
          <w:p w14:paraId="6A425C2A" w14:textId="56580761"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$2.</w:t>
            </w:r>
            <w:r>
              <w:rPr>
                <w:rFonts w:ascii="Lato" w:eastAsia="Calibri" w:hAnsi="Lato" w:cs="Calibri"/>
                <w:color w:val="000000" w:themeColor="text1"/>
              </w:rPr>
              <w:t>52</w:t>
            </w:r>
          </w:p>
        </w:tc>
        <w:tc>
          <w:tcPr>
            <w:tcW w:w="729" w:type="pct"/>
          </w:tcPr>
          <w:p w14:paraId="0ED6B9CA" w14:textId="0A1FFC64"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$1.</w:t>
            </w:r>
            <w:r>
              <w:rPr>
                <w:rFonts w:ascii="Lato" w:eastAsia="Calibri" w:hAnsi="Lato" w:cs="Calibri"/>
                <w:color w:val="000000" w:themeColor="text1"/>
              </w:rPr>
              <w:t>68</w:t>
            </w:r>
          </w:p>
        </w:tc>
        <w:tc>
          <w:tcPr>
            <w:tcW w:w="716" w:type="pct"/>
          </w:tcPr>
          <w:p w14:paraId="5EA22E88" w14:textId="08224E3D"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w:t>
            </w:r>
            <w:r>
              <w:rPr>
                <w:rFonts w:ascii="Lato" w:eastAsia="Calibri" w:hAnsi="Lato" w:cs="Calibri"/>
                <w:color w:val="000000" w:themeColor="text1"/>
              </w:rPr>
              <w:t>0.75</w:t>
            </w:r>
          </w:p>
        </w:tc>
        <w:tc>
          <w:tcPr>
            <w:tcW w:w="649" w:type="pct"/>
          </w:tcPr>
          <w:p w14:paraId="0EE0016F" w14:textId="27203FB2" w:rsidR="004E63C2" w:rsidRPr="00B24B6C" w:rsidRDefault="004E63C2" w:rsidP="00F8176F">
            <w:pPr>
              <w:spacing w:line="276" w:lineRule="auto"/>
              <w:rPr>
                <w:rFonts w:ascii="Lato" w:eastAsia="Calibri" w:hAnsi="Lato" w:cs="Calibri"/>
                <w:color w:val="000000" w:themeColor="text1"/>
              </w:rPr>
            </w:pPr>
            <w:r w:rsidRPr="00B24B6C">
              <w:rPr>
                <w:rFonts w:ascii="Lato" w:eastAsia="Calibri" w:hAnsi="Lato" w:cs="Calibri"/>
                <w:color w:val="000000" w:themeColor="text1"/>
              </w:rPr>
              <w:t>$0.25</w:t>
            </w:r>
          </w:p>
        </w:tc>
        <w:tc>
          <w:tcPr>
            <w:tcW w:w="648" w:type="pct"/>
          </w:tcPr>
          <w:p w14:paraId="42A3B3A0" w14:textId="1B3858B9"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$5.2</w:t>
            </w:r>
            <w:r w:rsidR="00F212EF">
              <w:rPr>
                <w:rFonts w:ascii="Lato" w:eastAsia="Calibri" w:hAnsi="Lato" w:cs="Calibri"/>
                <w:b/>
                <w:bCs/>
                <w:color w:val="000000" w:themeColor="text1"/>
              </w:rPr>
              <w:t>0</w:t>
            </w:r>
          </w:p>
        </w:tc>
      </w:tr>
      <w:tr w:rsidR="004E63C2" w:rsidRPr="0051739D" w14:paraId="7E1E0F1F" w14:textId="77777777" w:rsidTr="00F8176F">
        <w:tc>
          <w:tcPr>
            <w:tcW w:w="1542" w:type="pct"/>
          </w:tcPr>
          <w:p w14:paraId="2856D5A1" w14:textId="77777777" w:rsidR="004E63C2" w:rsidRPr="00B1338B" w:rsidRDefault="004E63C2" w:rsidP="00F8176F">
            <w:pPr>
              <w:spacing w:line="276" w:lineRule="auto"/>
              <w:rPr>
                <w:rFonts w:ascii="Lato" w:hAnsi="Lato"/>
                <w:b/>
                <w:bCs/>
                <w:i/>
                <w:iCs/>
                <w:color w:val="5B9BD5" w:themeColor="accent1"/>
              </w:rPr>
            </w:pPr>
            <w:r w:rsidRPr="00B1338B">
              <w:rPr>
                <w:rFonts w:ascii="Lato" w:hAnsi="Lato"/>
                <w:b/>
                <w:bCs/>
              </w:rPr>
              <w:t>Commonwealth contribution</w:t>
            </w:r>
          </w:p>
        </w:tc>
        <w:tc>
          <w:tcPr>
            <w:tcW w:w="716" w:type="pct"/>
          </w:tcPr>
          <w:p w14:paraId="264E53D6" w14:textId="5BB06881"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$2.</w:t>
            </w:r>
            <w:r>
              <w:rPr>
                <w:rFonts w:ascii="Lato" w:eastAsia="Calibri" w:hAnsi="Lato" w:cs="Calibri"/>
                <w:color w:val="000000" w:themeColor="text1"/>
              </w:rPr>
              <w:t>52</w:t>
            </w:r>
          </w:p>
        </w:tc>
        <w:tc>
          <w:tcPr>
            <w:tcW w:w="729" w:type="pct"/>
          </w:tcPr>
          <w:p w14:paraId="25F3041F" w14:textId="19A5F8A7"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$1.</w:t>
            </w:r>
            <w:r>
              <w:rPr>
                <w:rFonts w:ascii="Lato" w:eastAsia="Calibri" w:hAnsi="Lato" w:cs="Calibri"/>
                <w:color w:val="000000" w:themeColor="text1"/>
              </w:rPr>
              <w:t>68</w:t>
            </w:r>
          </w:p>
        </w:tc>
        <w:tc>
          <w:tcPr>
            <w:tcW w:w="716" w:type="pct"/>
          </w:tcPr>
          <w:p w14:paraId="76F1E8C2" w14:textId="0F40E5B4"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color w:val="000000" w:themeColor="text1"/>
              </w:rPr>
              <w:t>$</w:t>
            </w:r>
            <w:r>
              <w:rPr>
                <w:rFonts w:ascii="Lato" w:eastAsia="Calibri" w:hAnsi="Lato" w:cs="Calibri"/>
                <w:color w:val="000000" w:themeColor="text1"/>
              </w:rPr>
              <w:t>0.75</w:t>
            </w:r>
          </w:p>
        </w:tc>
        <w:tc>
          <w:tcPr>
            <w:tcW w:w="649" w:type="pct"/>
          </w:tcPr>
          <w:p w14:paraId="397B4FF7" w14:textId="47B8E55C" w:rsidR="004E63C2" w:rsidRPr="00B24B6C" w:rsidRDefault="004E63C2" w:rsidP="00F8176F">
            <w:pPr>
              <w:spacing w:line="276" w:lineRule="auto"/>
              <w:rPr>
                <w:rFonts w:ascii="Lato" w:eastAsia="Calibri" w:hAnsi="Lato" w:cs="Calibri"/>
                <w:color w:val="000000" w:themeColor="text1"/>
              </w:rPr>
            </w:pPr>
            <w:r w:rsidRPr="00B24B6C">
              <w:rPr>
                <w:rFonts w:ascii="Lato" w:eastAsia="Calibri" w:hAnsi="Lato" w:cs="Calibri"/>
                <w:color w:val="000000" w:themeColor="text1"/>
              </w:rPr>
              <w:t>$0.25</w:t>
            </w:r>
          </w:p>
        </w:tc>
        <w:tc>
          <w:tcPr>
            <w:tcW w:w="648" w:type="pct"/>
          </w:tcPr>
          <w:p w14:paraId="4AB78960" w14:textId="1B43D264"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$5.2</w:t>
            </w:r>
            <w:r w:rsidR="00F212EF">
              <w:rPr>
                <w:rFonts w:ascii="Lato" w:eastAsia="Calibri" w:hAnsi="Lato" w:cs="Calibri"/>
                <w:b/>
                <w:bCs/>
                <w:color w:val="000000" w:themeColor="text1"/>
              </w:rPr>
              <w:t>0</w:t>
            </w:r>
          </w:p>
        </w:tc>
      </w:tr>
      <w:tr w:rsidR="004E63C2" w:rsidRPr="0051739D" w14:paraId="63CFB660" w14:textId="77777777" w:rsidTr="00F8176F">
        <w:tc>
          <w:tcPr>
            <w:tcW w:w="1542" w:type="pct"/>
          </w:tcPr>
          <w:p w14:paraId="62372400" w14:textId="77777777" w:rsidR="004E63C2" w:rsidRPr="00B1338B" w:rsidRDefault="004E63C2" w:rsidP="00F8176F">
            <w:pPr>
              <w:spacing w:line="276" w:lineRule="auto"/>
              <w:rPr>
                <w:rFonts w:ascii="Lato" w:hAnsi="Lato"/>
                <w:b/>
                <w:bCs/>
                <w:i/>
                <w:iCs/>
                <w:color w:val="5B9BD5" w:themeColor="accent1"/>
              </w:rPr>
            </w:pPr>
            <w:r w:rsidRPr="00B1338B">
              <w:rPr>
                <w:rFonts w:ascii="Lato" w:hAnsi="Lato"/>
                <w:b/>
                <w:bCs/>
              </w:rPr>
              <w:t>Total</w:t>
            </w:r>
          </w:p>
        </w:tc>
        <w:tc>
          <w:tcPr>
            <w:tcW w:w="716" w:type="pct"/>
          </w:tcPr>
          <w:p w14:paraId="786D0B0F" w14:textId="13EB033F"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$5.</w:t>
            </w:r>
            <w:r w:rsidR="00CA1CE7">
              <w:rPr>
                <w:rFonts w:ascii="Lato" w:eastAsia="Calibri" w:hAnsi="Lato" w:cs="Calibri"/>
                <w:b/>
                <w:bCs/>
                <w:color w:val="000000" w:themeColor="text1"/>
              </w:rPr>
              <w:t>0</w:t>
            </w:r>
            <w:r w:rsidRPr="00B1338B">
              <w:rPr>
                <w:rFonts w:ascii="Lato" w:eastAsia="Calibri" w:hAnsi="Lato" w:cs="Calibri"/>
                <w:b/>
                <w:bCs/>
                <w:color w:val="000000" w:themeColor="text1"/>
              </w:rPr>
              <w:t>4</w:t>
            </w:r>
          </w:p>
        </w:tc>
        <w:tc>
          <w:tcPr>
            <w:tcW w:w="729" w:type="pct"/>
          </w:tcPr>
          <w:p w14:paraId="0A4E3058" w14:textId="39E85537"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$3</w:t>
            </w:r>
            <w:r>
              <w:rPr>
                <w:rFonts w:ascii="Lato" w:eastAsia="Calibri" w:hAnsi="Lato" w:cs="Calibri"/>
                <w:b/>
                <w:bCs/>
                <w:color w:val="000000" w:themeColor="text1"/>
              </w:rPr>
              <w:t>.36</w:t>
            </w:r>
          </w:p>
        </w:tc>
        <w:tc>
          <w:tcPr>
            <w:tcW w:w="716" w:type="pct"/>
          </w:tcPr>
          <w:p w14:paraId="74A1570A" w14:textId="2119E3D7"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w:t>
            </w:r>
            <w:r>
              <w:rPr>
                <w:rFonts w:ascii="Lato" w:eastAsia="Calibri" w:hAnsi="Lato" w:cs="Calibri"/>
                <w:b/>
                <w:bCs/>
                <w:color w:val="000000" w:themeColor="text1"/>
              </w:rPr>
              <w:t>1.5</w:t>
            </w:r>
            <w:r w:rsidR="00F212EF">
              <w:rPr>
                <w:rFonts w:ascii="Lato" w:eastAsia="Calibri" w:hAnsi="Lato" w:cs="Calibri"/>
                <w:b/>
                <w:bCs/>
                <w:color w:val="000000" w:themeColor="text1"/>
              </w:rPr>
              <w:t>0</w:t>
            </w:r>
          </w:p>
        </w:tc>
        <w:tc>
          <w:tcPr>
            <w:tcW w:w="649" w:type="pct"/>
          </w:tcPr>
          <w:p w14:paraId="6C9507E0" w14:textId="7946862B" w:rsidR="004E63C2" w:rsidRPr="0051739D" w:rsidRDefault="004E63C2" w:rsidP="00F8176F">
            <w:pPr>
              <w:spacing w:line="276" w:lineRule="auto"/>
              <w:rPr>
                <w:rFonts w:ascii="Lato" w:eastAsia="Calibri" w:hAnsi="Lato" w:cs="Calibri"/>
                <w:b/>
                <w:bCs/>
                <w:color w:val="000000" w:themeColor="text1"/>
              </w:rPr>
            </w:pPr>
            <w:r>
              <w:rPr>
                <w:rFonts w:ascii="Lato" w:eastAsia="Calibri" w:hAnsi="Lato" w:cs="Calibri"/>
                <w:b/>
                <w:bCs/>
                <w:color w:val="000000" w:themeColor="text1"/>
              </w:rPr>
              <w:t>$0.5</w:t>
            </w:r>
            <w:r w:rsidR="00F212EF">
              <w:rPr>
                <w:rFonts w:ascii="Lato" w:eastAsia="Calibri" w:hAnsi="Lato" w:cs="Calibri"/>
                <w:b/>
                <w:bCs/>
                <w:color w:val="000000" w:themeColor="text1"/>
              </w:rPr>
              <w:t>0</w:t>
            </w:r>
          </w:p>
        </w:tc>
        <w:tc>
          <w:tcPr>
            <w:tcW w:w="648" w:type="pct"/>
          </w:tcPr>
          <w:p w14:paraId="2C5C1649" w14:textId="21962260" w:rsidR="004E63C2" w:rsidRPr="00B1338B" w:rsidRDefault="004E63C2" w:rsidP="00F8176F">
            <w:pPr>
              <w:spacing w:line="276" w:lineRule="auto"/>
              <w:rPr>
                <w:rFonts w:ascii="Lato" w:eastAsia="Calibri" w:hAnsi="Lato" w:cs="Calibri"/>
                <w:color w:val="000000" w:themeColor="text1"/>
              </w:rPr>
            </w:pPr>
            <w:r w:rsidRPr="00B1338B">
              <w:rPr>
                <w:rFonts w:ascii="Lato" w:eastAsia="Calibri" w:hAnsi="Lato" w:cs="Calibri"/>
                <w:b/>
                <w:bCs/>
                <w:color w:val="000000" w:themeColor="text1"/>
              </w:rPr>
              <w:t>$10.4</w:t>
            </w:r>
            <w:r w:rsidR="00AA6EB4">
              <w:rPr>
                <w:rFonts w:ascii="Lato" w:eastAsia="Calibri" w:hAnsi="Lato" w:cs="Calibri"/>
                <w:b/>
                <w:bCs/>
                <w:color w:val="000000" w:themeColor="text1"/>
              </w:rPr>
              <w:t>0</w:t>
            </w:r>
          </w:p>
        </w:tc>
      </w:tr>
    </w:tbl>
    <w:p w14:paraId="32946222" w14:textId="77777777" w:rsidR="004E63C2" w:rsidRDefault="004E63C2" w:rsidP="004E63C2">
      <w:pPr>
        <w:spacing w:line="276" w:lineRule="auto"/>
        <w:rPr>
          <w:rFonts w:ascii="Lato" w:eastAsia="MS Mincho" w:hAnsi="Lato" w:cs="Calibri"/>
          <w:b/>
          <w:bCs/>
        </w:rPr>
      </w:pPr>
    </w:p>
    <w:p w14:paraId="4BD15417" w14:textId="166996DD" w:rsidR="00E27790" w:rsidRDefault="000B58EA" w:rsidP="00E27790">
      <w:pPr>
        <w:rPr>
          <w:rStyle w:val="BookTitle"/>
          <w:i w:val="0"/>
          <w:iCs w:val="0"/>
          <w:color w:val="FF0000"/>
          <w:sz w:val="28"/>
          <w:szCs w:val="28"/>
        </w:rPr>
      </w:pPr>
      <w:r w:rsidRPr="00417C51">
        <w:rPr>
          <w:rFonts w:ascii="Lato" w:hAnsi="Lato"/>
        </w:rPr>
        <w:t>The Northern Territory Government will provide details of their matched funding contributions at the end of each financial year, commencing 1 January 2025 until 31 December 2028. Final payments under this implementation plan may be reduced where the total contribution by the Northern Territory Government over the life of the project does not align with the Commonwealth contribution.</w:t>
      </w:r>
    </w:p>
    <w:p w14:paraId="5BF55387" w14:textId="77777777" w:rsidR="0094208E" w:rsidRDefault="0094208E" w:rsidP="00FA5E66">
      <w:pPr>
        <w:rPr>
          <w:rFonts w:ascii="Lato" w:hAnsi="Lato"/>
          <w:b/>
          <w:bCs/>
        </w:rPr>
      </w:pPr>
    </w:p>
    <w:p w14:paraId="74F3F608" w14:textId="77777777" w:rsidR="007614CE" w:rsidRDefault="007614CE" w:rsidP="00FA5E66">
      <w:pPr>
        <w:rPr>
          <w:rFonts w:ascii="Lato" w:hAnsi="Lato"/>
          <w:b/>
          <w:bCs/>
        </w:rPr>
        <w:sectPr w:rsidR="007614CE" w:rsidSect="0094208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6B855BDC" w14:textId="77777777" w:rsidR="00F47EC0" w:rsidRDefault="00F47EC0" w:rsidP="00F47EC0">
      <w:pPr>
        <w:pStyle w:val="ImplementationPlan1"/>
        <w:keepNext/>
        <w:numPr>
          <w:ilvl w:val="0"/>
          <w:numId w:val="0"/>
        </w:numPr>
        <w:outlineLvl w:val="1"/>
      </w:pPr>
      <w:r>
        <w:lastRenderedPageBreak/>
        <w:t>Milestones and payments – IMPROVED COMPLETIONS</w:t>
      </w:r>
    </w:p>
    <w:tbl>
      <w:tblPr>
        <w:tblStyle w:val="TableGrid"/>
        <w:tblW w:w="5000" w:type="pct"/>
        <w:tblLook w:val="04A0" w:firstRow="1" w:lastRow="0" w:firstColumn="1" w:lastColumn="0" w:noHBand="0" w:noVBand="1"/>
      </w:tblPr>
      <w:tblGrid>
        <w:gridCol w:w="3682"/>
        <w:gridCol w:w="5668"/>
        <w:gridCol w:w="2829"/>
        <w:gridCol w:w="1769"/>
      </w:tblGrid>
      <w:tr w:rsidR="00F47EC0" w:rsidRPr="00DF7220" w14:paraId="32B8D8D8" w14:textId="77777777" w:rsidTr="0073446F">
        <w:tc>
          <w:tcPr>
            <w:tcW w:w="1320" w:type="pct"/>
          </w:tcPr>
          <w:p w14:paraId="7621E8DA" w14:textId="17B16F01" w:rsidR="00F47EC0" w:rsidRPr="00DF7220" w:rsidRDefault="00F47EC0" w:rsidP="0073446F">
            <w:pPr>
              <w:spacing w:line="276" w:lineRule="auto"/>
              <w:rPr>
                <w:rFonts w:ascii="Lato" w:hAnsi="Lato"/>
                <w:b/>
                <w:bCs/>
              </w:rPr>
            </w:pPr>
            <w:r w:rsidRPr="00DF7220">
              <w:rPr>
                <w:rFonts w:ascii="Lato" w:hAnsi="Lato"/>
                <w:b/>
                <w:bCs/>
              </w:rPr>
              <w:t>Milestone</w:t>
            </w:r>
          </w:p>
        </w:tc>
        <w:tc>
          <w:tcPr>
            <w:tcW w:w="2032" w:type="pct"/>
          </w:tcPr>
          <w:p w14:paraId="0DEEDC9F" w14:textId="0CFC40B3" w:rsidR="00F47EC0" w:rsidRPr="00DF7220" w:rsidRDefault="00F47EC0" w:rsidP="0073446F">
            <w:pPr>
              <w:spacing w:line="276" w:lineRule="auto"/>
              <w:rPr>
                <w:rFonts w:ascii="Lato" w:hAnsi="Lato"/>
                <w:b/>
                <w:bCs/>
              </w:rPr>
            </w:pPr>
            <w:r w:rsidRPr="00DF7220">
              <w:rPr>
                <w:rFonts w:ascii="Lato" w:hAnsi="Lato"/>
                <w:b/>
                <w:bCs/>
              </w:rPr>
              <w:t>Evidence</w:t>
            </w:r>
          </w:p>
        </w:tc>
        <w:tc>
          <w:tcPr>
            <w:tcW w:w="1014" w:type="pct"/>
          </w:tcPr>
          <w:p w14:paraId="1F92891E" w14:textId="444AC382" w:rsidR="00F47EC0" w:rsidRPr="00DF7220" w:rsidRDefault="00F47EC0" w:rsidP="0073446F">
            <w:pPr>
              <w:spacing w:line="276" w:lineRule="auto"/>
              <w:rPr>
                <w:rFonts w:ascii="Lato" w:hAnsi="Lato"/>
                <w:b/>
                <w:bCs/>
              </w:rPr>
            </w:pPr>
            <w:r w:rsidRPr="00DF7220">
              <w:rPr>
                <w:rFonts w:ascii="Lato" w:hAnsi="Lato"/>
                <w:b/>
                <w:bCs/>
              </w:rPr>
              <w:t>Payment Value Up To (Commonwealth funded)</w:t>
            </w:r>
          </w:p>
        </w:tc>
        <w:tc>
          <w:tcPr>
            <w:tcW w:w="634" w:type="pct"/>
          </w:tcPr>
          <w:p w14:paraId="53A31711" w14:textId="033B19B6" w:rsidR="00F47EC0" w:rsidRPr="00DF7220" w:rsidRDefault="00F47EC0" w:rsidP="0073446F">
            <w:pPr>
              <w:spacing w:line="276" w:lineRule="auto"/>
              <w:rPr>
                <w:rFonts w:ascii="Lato" w:hAnsi="Lato"/>
                <w:b/>
                <w:bCs/>
              </w:rPr>
            </w:pPr>
            <w:r w:rsidRPr="00DF7220">
              <w:rPr>
                <w:rFonts w:ascii="Lato" w:hAnsi="Lato"/>
                <w:b/>
                <w:bCs/>
              </w:rPr>
              <w:t>Commonwealth reporting period</w:t>
            </w:r>
          </w:p>
        </w:tc>
      </w:tr>
      <w:tr w:rsidR="00FA4163" w:rsidRPr="00FA4163" w14:paraId="70C1E3A6" w14:textId="77777777" w:rsidTr="0073446F">
        <w:tc>
          <w:tcPr>
            <w:tcW w:w="1320" w:type="pct"/>
            <w:tcBorders>
              <w:bottom w:val="single" w:sz="4" w:space="0" w:color="auto"/>
            </w:tcBorders>
          </w:tcPr>
          <w:p w14:paraId="462DC7C7" w14:textId="40F00265" w:rsidR="007E399A" w:rsidRDefault="00F47EC0" w:rsidP="00DF7220">
            <w:pPr>
              <w:spacing w:line="276" w:lineRule="auto"/>
              <w:rPr>
                <w:rFonts w:ascii="Lato" w:hAnsi="Lato" w:cstheme="minorHAnsi"/>
              </w:rPr>
            </w:pPr>
            <w:r w:rsidRPr="0073446F">
              <w:rPr>
                <w:rFonts w:ascii="Lato" w:hAnsi="Lato" w:cstheme="minorHAnsi"/>
              </w:rPr>
              <w:t>Milestone 1</w:t>
            </w:r>
            <w:r w:rsidR="007E399A">
              <w:rPr>
                <w:rFonts w:ascii="Lato" w:hAnsi="Lato" w:cstheme="minorHAnsi"/>
              </w:rPr>
              <w:t>.</w:t>
            </w:r>
          </w:p>
          <w:p w14:paraId="78639EFF" w14:textId="763CA174" w:rsidR="00F47EC0" w:rsidRPr="0073446F" w:rsidRDefault="004A5238" w:rsidP="0073446F">
            <w:pPr>
              <w:spacing w:line="276" w:lineRule="auto"/>
              <w:rPr>
                <w:rFonts w:ascii="Lato" w:hAnsi="Lato"/>
              </w:rPr>
            </w:pPr>
            <w:r w:rsidRPr="0073446F">
              <w:rPr>
                <w:rFonts w:ascii="Lato" w:hAnsi="Lato" w:cstheme="minorHAnsi"/>
              </w:rPr>
              <w:t>Initial payment on agreement of b</w:t>
            </w:r>
            <w:r w:rsidR="00F47EC0" w:rsidRPr="0073446F">
              <w:rPr>
                <w:rFonts w:ascii="Lato" w:hAnsi="Lato" w:cstheme="minorHAnsi"/>
              </w:rPr>
              <w:t xml:space="preserve">ilateral </w:t>
            </w:r>
            <w:r w:rsidRPr="0073446F">
              <w:rPr>
                <w:rFonts w:ascii="Lato" w:hAnsi="Lato" w:cstheme="minorHAnsi"/>
              </w:rPr>
              <w:t>i</w:t>
            </w:r>
            <w:r w:rsidR="00F47EC0" w:rsidRPr="0073446F">
              <w:rPr>
                <w:rFonts w:ascii="Lato" w:hAnsi="Lato" w:cstheme="minorHAnsi"/>
              </w:rPr>
              <w:t xml:space="preserve">mplementation </w:t>
            </w:r>
            <w:r w:rsidRPr="0073446F">
              <w:rPr>
                <w:rFonts w:ascii="Lato" w:hAnsi="Lato" w:cstheme="minorHAnsi"/>
              </w:rPr>
              <w:t>p</w:t>
            </w:r>
            <w:r w:rsidR="00F47EC0" w:rsidRPr="0073446F">
              <w:rPr>
                <w:rFonts w:ascii="Lato" w:hAnsi="Lato" w:cstheme="minorHAnsi"/>
              </w:rPr>
              <w:t>lan</w:t>
            </w:r>
            <w:r w:rsidR="00B51645">
              <w:rPr>
                <w:rFonts w:ascii="Lato" w:hAnsi="Lato" w:cstheme="minorHAnsi"/>
              </w:rPr>
              <w:t xml:space="preserve"> (BIP)</w:t>
            </w:r>
          </w:p>
        </w:tc>
        <w:tc>
          <w:tcPr>
            <w:tcW w:w="2032" w:type="pct"/>
            <w:tcBorders>
              <w:bottom w:val="single" w:sz="4" w:space="0" w:color="auto"/>
            </w:tcBorders>
          </w:tcPr>
          <w:p w14:paraId="09ABC13D" w14:textId="7AD74FE8" w:rsidR="00F47EC0" w:rsidRPr="0073446F" w:rsidRDefault="00F47EC0" w:rsidP="0073446F">
            <w:pPr>
              <w:spacing w:line="276" w:lineRule="auto"/>
              <w:rPr>
                <w:rFonts w:ascii="Lato" w:hAnsi="Lato"/>
              </w:rPr>
            </w:pPr>
            <w:r w:rsidRPr="0073446F">
              <w:rPr>
                <w:rFonts w:ascii="Lato" w:hAnsi="Lato" w:cstheme="minorHAnsi"/>
              </w:rPr>
              <w:t xml:space="preserve">1: Bilateral implementation plan agreed with </w:t>
            </w:r>
            <w:r w:rsidR="0094306A">
              <w:rPr>
                <w:rFonts w:ascii="Lato" w:hAnsi="Lato" w:cstheme="minorHAnsi"/>
              </w:rPr>
              <w:br/>
              <w:t xml:space="preserve">    </w:t>
            </w:r>
            <w:r w:rsidRPr="0073446F">
              <w:rPr>
                <w:rFonts w:ascii="Lato" w:hAnsi="Lato" w:cstheme="minorHAnsi"/>
              </w:rPr>
              <w:t>Commonwealth</w:t>
            </w:r>
            <w:r w:rsidR="00277D5E" w:rsidRPr="0073446F">
              <w:rPr>
                <w:rFonts w:ascii="Lato" w:eastAsiaTheme="minorHAnsi" w:hAnsi="Lato" w:cs="Aptos"/>
                <w:kern w:val="0"/>
                <w:lang w:eastAsia="en-US"/>
              </w:rPr>
              <w:t xml:space="preserve"> </w:t>
            </w:r>
          </w:p>
        </w:tc>
        <w:tc>
          <w:tcPr>
            <w:tcW w:w="1014" w:type="pct"/>
            <w:tcBorders>
              <w:bottom w:val="single" w:sz="4" w:space="0" w:color="auto"/>
            </w:tcBorders>
          </w:tcPr>
          <w:p w14:paraId="1D20E62D" w14:textId="6268C956" w:rsidR="00F47EC0" w:rsidRPr="0073446F" w:rsidRDefault="00F47EC0" w:rsidP="0073446F">
            <w:pPr>
              <w:spacing w:line="276" w:lineRule="auto"/>
              <w:rPr>
                <w:rFonts w:ascii="Lato" w:hAnsi="Lato" w:cstheme="minorHAnsi"/>
              </w:rPr>
            </w:pPr>
            <w:r w:rsidRPr="0073446F">
              <w:rPr>
                <w:rFonts w:ascii="Lato" w:hAnsi="Lato" w:cstheme="minorHAnsi"/>
              </w:rPr>
              <w:t>1: $</w:t>
            </w:r>
            <w:r w:rsidR="00262682" w:rsidRPr="0073446F">
              <w:rPr>
                <w:rFonts w:ascii="Lato" w:hAnsi="Lato" w:cstheme="minorHAnsi"/>
              </w:rPr>
              <w:t>52</w:t>
            </w:r>
            <w:r w:rsidR="0032386C" w:rsidRPr="0073446F">
              <w:rPr>
                <w:rFonts w:ascii="Lato" w:hAnsi="Lato" w:cstheme="minorHAnsi"/>
              </w:rPr>
              <w:t>0</w:t>
            </w:r>
            <w:r w:rsidRPr="0073446F">
              <w:rPr>
                <w:rFonts w:ascii="Lato" w:hAnsi="Lato" w:cstheme="minorHAnsi"/>
              </w:rPr>
              <w:t xml:space="preserve">,000 </w:t>
            </w:r>
          </w:p>
          <w:p w14:paraId="122B1BDA" w14:textId="77777777" w:rsidR="00F47EC0" w:rsidRPr="0073446F" w:rsidRDefault="00F47EC0" w:rsidP="0073446F">
            <w:pPr>
              <w:spacing w:line="276" w:lineRule="auto"/>
              <w:rPr>
                <w:rFonts w:ascii="Lato" w:hAnsi="Lato"/>
              </w:rPr>
            </w:pPr>
          </w:p>
        </w:tc>
        <w:tc>
          <w:tcPr>
            <w:tcW w:w="634" w:type="pct"/>
            <w:tcBorders>
              <w:bottom w:val="single" w:sz="4" w:space="0" w:color="auto"/>
            </w:tcBorders>
          </w:tcPr>
          <w:p w14:paraId="1AD822F5" w14:textId="4E8EF47D" w:rsidR="00F47EC0" w:rsidRPr="0073446F" w:rsidRDefault="00936F7B" w:rsidP="0073446F">
            <w:pPr>
              <w:spacing w:line="276" w:lineRule="auto"/>
              <w:rPr>
                <w:rFonts w:ascii="Lato" w:hAnsi="Lato"/>
              </w:rPr>
            </w:pPr>
            <w:r w:rsidRPr="0073446F">
              <w:rPr>
                <w:rFonts w:ascii="Lato" w:hAnsi="Lato"/>
              </w:rPr>
              <w:t>N/A</w:t>
            </w:r>
          </w:p>
        </w:tc>
      </w:tr>
      <w:tr w:rsidR="00FA4163" w:rsidRPr="00FA4163" w14:paraId="00688871" w14:textId="77777777" w:rsidTr="0073446F">
        <w:trPr>
          <w:trHeight w:val="1571"/>
        </w:trPr>
        <w:tc>
          <w:tcPr>
            <w:tcW w:w="1320" w:type="pct"/>
            <w:tcBorders>
              <w:bottom w:val="single" w:sz="4" w:space="0" w:color="auto"/>
            </w:tcBorders>
          </w:tcPr>
          <w:p w14:paraId="231090DF" w14:textId="77777777" w:rsidR="00D34A39" w:rsidRDefault="00F47EC0" w:rsidP="004310C0">
            <w:pPr>
              <w:spacing w:line="276" w:lineRule="auto"/>
              <w:rPr>
                <w:rFonts w:ascii="Lato" w:hAnsi="Lato"/>
              </w:rPr>
            </w:pPr>
            <w:r w:rsidRPr="0073446F">
              <w:rPr>
                <w:rFonts w:ascii="Lato" w:hAnsi="Lato"/>
              </w:rPr>
              <w:t>Milestone 2</w:t>
            </w:r>
            <w:r w:rsidR="004310C0" w:rsidRPr="00025619">
              <w:rPr>
                <w:rFonts w:ascii="Lato" w:hAnsi="Lato"/>
              </w:rPr>
              <w:t xml:space="preserve"> </w:t>
            </w:r>
          </w:p>
          <w:p w14:paraId="3C9D32C6" w14:textId="6CB518FF" w:rsidR="004310C0" w:rsidRDefault="004310C0" w:rsidP="004310C0">
            <w:pPr>
              <w:spacing w:line="276" w:lineRule="auto"/>
              <w:rPr>
                <w:rFonts w:ascii="Lato" w:hAnsi="Lato"/>
              </w:rPr>
            </w:pPr>
            <w:r w:rsidRPr="00025619">
              <w:rPr>
                <w:rFonts w:ascii="Lato" w:hAnsi="Lato"/>
              </w:rPr>
              <w:t xml:space="preserve">Commonwealth acceptance that NT has </w:t>
            </w:r>
            <w:r>
              <w:rPr>
                <w:rFonts w:ascii="Lato" w:hAnsi="Lato"/>
              </w:rPr>
              <w:t>implemented</w:t>
            </w:r>
            <w:r w:rsidRPr="00025619">
              <w:rPr>
                <w:rFonts w:ascii="Lato" w:hAnsi="Lato"/>
              </w:rPr>
              <w:t xml:space="preserve"> measures to support I</w:t>
            </w:r>
            <w:r w:rsidR="0059579E">
              <w:rPr>
                <w:rFonts w:ascii="Lato" w:hAnsi="Lato"/>
              </w:rPr>
              <w:t xml:space="preserve">mproved </w:t>
            </w:r>
            <w:r w:rsidRPr="00025619">
              <w:rPr>
                <w:rFonts w:ascii="Lato" w:hAnsi="Lato"/>
              </w:rPr>
              <w:t>C</w:t>
            </w:r>
            <w:r w:rsidR="0059579E">
              <w:rPr>
                <w:rFonts w:ascii="Lato" w:hAnsi="Lato"/>
              </w:rPr>
              <w:t>ompletions</w:t>
            </w:r>
            <w:r w:rsidRPr="00025619">
              <w:rPr>
                <w:rFonts w:ascii="Lato" w:hAnsi="Lato"/>
              </w:rPr>
              <w:t xml:space="preserve"> </w:t>
            </w:r>
            <w:r w:rsidR="00B51645">
              <w:rPr>
                <w:rFonts w:ascii="Lato" w:hAnsi="Lato"/>
              </w:rPr>
              <w:t xml:space="preserve">(IC) </w:t>
            </w:r>
            <w:r w:rsidRPr="00025619">
              <w:rPr>
                <w:rFonts w:ascii="Lato" w:hAnsi="Lato"/>
              </w:rPr>
              <w:t>to 3</w:t>
            </w:r>
            <w:r w:rsidR="007A06BD">
              <w:rPr>
                <w:rFonts w:ascii="Lato" w:hAnsi="Lato"/>
              </w:rPr>
              <w:t>1</w:t>
            </w:r>
            <w:r w:rsidRPr="00025619">
              <w:rPr>
                <w:rFonts w:ascii="Lato" w:hAnsi="Lato"/>
              </w:rPr>
              <w:t xml:space="preserve"> </w:t>
            </w:r>
            <w:r w:rsidR="007A06BD">
              <w:rPr>
                <w:rFonts w:ascii="Lato" w:hAnsi="Lato"/>
              </w:rPr>
              <w:t>March</w:t>
            </w:r>
            <w:r w:rsidR="007A06BD" w:rsidRPr="00025619">
              <w:rPr>
                <w:rFonts w:ascii="Lato" w:hAnsi="Lato"/>
              </w:rPr>
              <w:t xml:space="preserve"> </w:t>
            </w:r>
            <w:r w:rsidRPr="00025619">
              <w:rPr>
                <w:rFonts w:ascii="Lato" w:hAnsi="Lato"/>
              </w:rPr>
              <w:t>2026 by:</w:t>
            </w:r>
          </w:p>
          <w:p w14:paraId="59D967D0" w14:textId="0D3577E9" w:rsidR="004310C0" w:rsidRPr="0073446F" w:rsidRDefault="004310C0" w:rsidP="00073325">
            <w:pPr>
              <w:pStyle w:val="ListParagraph"/>
              <w:numPr>
                <w:ilvl w:val="0"/>
                <w:numId w:val="16"/>
              </w:numPr>
              <w:spacing w:line="276" w:lineRule="auto"/>
              <w:rPr>
                <w:rFonts w:ascii="Lato" w:hAnsi="Lato"/>
              </w:rPr>
            </w:pPr>
            <w:r w:rsidRPr="00025619">
              <w:rPr>
                <w:rFonts w:ascii="Lato" w:hAnsi="Lato"/>
              </w:rPr>
              <w:t xml:space="preserve">Commencement of Agreed </w:t>
            </w:r>
            <w:r>
              <w:rPr>
                <w:rFonts w:ascii="Lato" w:hAnsi="Lato"/>
              </w:rPr>
              <w:t>Actions 1-4</w:t>
            </w:r>
          </w:p>
          <w:p w14:paraId="59473E8E" w14:textId="6E3FBDDE" w:rsidR="00F47EC0" w:rsidRPr="0073446F" w:rsidRDefault="00F47EC0" w:rsidP="0073446F">
            <w:pPr>
              <w:spacing w:line="276" w:lineRule="auto"/>
              <w:rPr>
                <w:rFonts w:ascii="Lato" w:hAnsi="Lato"/>
              </w:rPr>
            </w:pPr>
          </w:p>
        </w:tc>
        <w:tc>
          <w:tcPr>
            <w:tcW w:w="2032" w:type="pct"/>
            <w:tcBorders>
              <w:bottom w:val="single" w:sz="4" w:space="0" w:color="auto"/>
            </w:tcBorders>
          </w:tcPr>
          <w:p w14:paraId="0D3CAC04" w14:textId="7B60CB0F" w:rsidR="004310C0" w:rsidRPr="00025619" w:rsidRDefault="00F47EC0" w:rsidP="004310C0">
            <w:pPr>
              <w:spacing w:line="276" w:lineRule="auto"/>
              <w:rPr>
                <w:rFonts w:ascii="Lato" w:eastAsiaTheme="minorHAnsi" w:hAnsi="Lato" w:cs="Aptos"/>
                <w:kern w:val="0"/>
                <w:lang w:eastAsia="en-US"/>
              </w:rPr>
            </w:pPr>
            <w:r w:rsidRPr="0073446F">
              <w:rPr>
                <w:rFonts w:ascii="Lato" w:hAnsi="Lato"/>
              </w:rPr>
              <w:t>2.</w:t>
            </w:r>
            <w:r w:rsidRPr="0073446F">
              <w:rPr>
                <w:rFonts w:ascii="Lato" w:eastAsiaTheme="minorHAnsi" w:hAnsi="Lato" w:cs="Aptos"/>
                <w:kern w:val="0"/>
                <w:lang w:eastAsia="en-US"/>
              </w:rPr>
              <w:t xml:space="preserve"> </w:t>
            </w:r>
            <w:r w:rsidR="004310C0">
              <w:rPr>
                <w:rFonts w:ascii="Lato" w:hAnsi="Lato"/>
              </w:rPr>
              <w:t>Progress</w:t>
            </w:r>
            <w:r w:rsidR="004310C0" w:rsidRPr="00025619">
              <w:rPr>
                <w:rFonts w:ascii="Lato" w:hAnsi="Lato"/>
              </w:rPr>
              <w:t xml:space="preserve"> report, signed by an NT Senior Skills Official, </w:t>
            </w:r>
            <w:r w:rsidR="004310C0">
              <w:rPr>
                <w:rFonts w:ascii="Lato" w:hAnsi="Lato"/>
              </w:rPr>
              <w:br/>
              <w:t xml:space="preserve">     </w:t>
            </w:r>
            <w:r w:rsidR="004310C0" w:rsidRPr="00025619">
              <w:rPr>
                <w:rFonts w:ascii="Lato" w:hAnsi="Lato"/>
              </w:rPr>
              <w:t xml:space="preserve">demonstrating implementation </w:t>
            </w:r>
            <w:r w:rsidR="004F4E08">
              <w:rPr>
                <w:rFonts w:ascii="Lato" w:hAnsi="Lato"/>
              </w:rPr>
              <w:t xml:space="preserve">or </w:t>
            </w:r>
            <w:r w:rsidR="004F4E08">
              <w:rPr>
                <w:rFonts w:ascii="Lato" w:hAnsi="Lato"/>
              </w:rPr>
              <w:br/>
              <w:t xml:space="preserve">     progress towards implementation, </w:t>
            </w:r>
            <w:r w:rsidR="004310C0" w:rsidRPr="00025619">
              <w:rPr>
                <w:rFonts w:ascii="Lato" w:hAnsi="Lato"/>
              </w:rPr>
              <w:t>of Actions 1–4 in</w:t>
            </w:r>
            <w:r w:rsidR="004F4E08">
              <w:rPr>
                <w:rFonts w:ascii="Lato" w:hAnsi="Lato"/>
              </w:rPr>
              <w:br/>
            </w:r>
            <w:r w:rsidR="004310C0" w:rsidRPr="00025619">
              <w:rPr>
                <w:rFonts w:ascii="Lato" w:hAnsi="Lato"/>
              </w:rPr>
              <w:t xml:space="preserve"> </w:t>
            </w:r>
            <w:r w:rsidR="004310C0">
              <w:rPr>
                <w:rFonts w:ascii="Lato" w:hAnsi="Lato"/>
              </w:rPr>
              <w:t xml:space="preserve">    </w:t>
            </w:r>
            <w:r w:rsidR="004310C0" w:rsidRPr="00B24B6C">
              <w:rPr>
                <w:rFonts w:ascii="Lato" w:eastAsia="Times New Roman" w:hAnsi="Lato" w:cs="Times New Roman"/>
                <w:kern w:val="0"/>
                <w:lang w:eastAsia="en-AU"/>
                <w14:ligatures w14:val="none"/>
              </w:rPr>
              <w:t>alignment with the IC BIP attaching evidence and</w:t>
            </w:r>
            <w:r w:rsidR="00BF51D8" w:rsidRPr="00B24B6C">
              <w:rPr>
                <w:rFonts w:ascii="Lato" w:eastAsia="Times New Roman" w:hAnsi="Lato" w:cs="Times New Roman"/>
                <w:kern w:val="0"/>
                <w:lang w:eastAsia="en-AU"/>
                <w14:ligatures w14:val="none"/>
              </w:rPr>
              <w:t>/or</w:t>
            </w:r>
            <w:r w:rsidR="009D3611">
              <w:rPr>
                <w:rFonts w:ascii="Lato" w:eastAsia="Times New Roman" w:hAnsi="Lato" w:cs="Times New Roman"/>
                <w:kern w:val="0"/>
                <w:lang w:eastAsia="en-AU"/>
                <w14:ligatures w14:val="none"/>
              </w:rPr>
              <w:t xml:space="preserve"> progress of:</w:t>
            </w:r>
          </w:p>
          <w:p w14:paraId="6B9FD836" w14:textId="47CCB71D" w:rsidR="004310C0" w:rsidRPr="00B24B6C" w:rsidRDefault="004310C0" w:rsidP="00B24B6C">
            <w:pPr>
              <w:pStyle w:val="ListParagraph"/>
              <w:numPr>
                <w:ilvl w:val="0"/>
                <w:numId w:val="16"/>
              </w:numPr>
              <w:spacing w:line="276" w:lineRule="auto"/>
              <w:rPr>
                <w:rFonts w:ascii="Lato" w:hAnsi="Lato"/>
              </w:rPr>
            </w:pPr>
            <w:r w:rsidRPr="00B24B6C">
              <w:rPr>
                <w:rFonts w:ascii="Lato" w:hAnsi="Lato"/>
              </w:rPr>
              <w:t>stakeholder engagement</w:t>
            </w:r>
            <w:r w:rsidR="00396711">
              <w:rPr>
                <w:rFonts w:ascii="Lato" w:hAnsi="Lato"/>
              </w:rPr>
              <w:t xml:space="preserve"> </w:t>
            </w:r>
            <w:r w:rsidR="00396711" w:rsidRPr="0073446F">
              <w:rPr>
                <w:rFonts w:ascii="Lato" w:eastAsia="Times New Roman" w:hAnsi="Lato" w:cs="Times New Roman"/>
                <w:kern w:val="0"/>
                <w:lang w:eastAsia="en-AU"/>
                <w14:ligatures w14:val="none"/>
              </w:rPr>
              <w:t>(e.g., consultations completed, feedback incorporated, partnerships formalised)</w:t>
            </w:r>
            <w:r w:rsidRPr="00B24B6C">
              <w:rPr>
                <w:rFonts w:ascii="Lato" w:hAnsi="Lato"/>
              </w:rPr>
              <w:t>,</w:t>
            </w:r>
          </w:p>
          <w:p w14:paraId="6E3689BF" w14:textId="3C551C6F" w:rsidR="004310C0" w:rsidRPr="00B24B6C" w:rsidRDefault="004310C0" w:rsidP="00B24B6C">
            <w:pPr>
              <w:pStyle w:val="ListParagraph"/>
              <w:numPr>
                <w:ilvl w:val="0"/>
                <w:numId w:val="16"/>
              </w:numPr>
              <w:spacing w:line="276" w:lineRule="auto"/>
              <w:rPr>
                <w:rFonts w:ascii="Lato" w:hAnsi="Lato"/>
              </w:rPr>
            </w:pPr>
            <w:r w:rsidRPr="00B24B6C">
              <w:rPr>
                <w:rFonts w:ascii="Lato" w:hAnsi="Lato"/>
              </w:rPr>
              <w:t>evidence of project commencement (e.g.</w:t>
            </w:r>
            <w:r w:rsidR="001D1CAF">
              <w:rPr>
                <w:rFonts w:ascii="Lato" w:hAnsi="Lato"/>
              </w:rPr>
              <w:t xml:space="preserve"> </w:t>
            </w:r>
            <w:r w:rsidRPr="00B24B6C">
              <w:rPr>
                <w:rFonts w:ascii="Lato" w:hAnsi="Lato"/>
              </w:rPr>
              <w:t xml:space="preserve"> Expression of Interest </w:t>
            </w:r>
            <w:proofErr w:type="gramStart"/>
            <w:r w:rsidRPr="00B24B6C">
              <w:rPr>
                <w:rFonts w:ascii="Lato" w:hAnsi="Lato"/>
              </w:rPr>
              <w:t xml:space="preserve">requests,   </w:t>
            </w:r>
            <w:proofErr w:type="gramEnd"/>
            <w:r w:rsidRPr="00B24B6C">
              <w:rPr>
                <w:rFonts w:ascii="Lato" w:hAnsi="Lato"/>
              </w:rPr>
              <w:t xml:space="preserve">        advertising)</w:t>
            </w:r>
          </w:p>
          <w:p w14:paraId="1D37B31E" w14:textId="0D9FCB0B" w:rsidR="007123EE" w:rsidRPr="00B24B6C" w:rsidRDefault="00A04AEB" w:rsidP="00B24B6C">
            <w:pPr>
              <w:pStyle w:val="ListParagraph"/>
              <w:numPr>
                <w:ilvl w:val="0"/>
                <w:numId w:val="16"/>
              </w:numPr>
              <w:spacing w:line="276" w:lineRule="auto"/>
              <w:rPr>
                <w:rFonts w:eastAsia="Times New Roman" w:cs="Times New Roman"/>
                <w:bCs/>
                <w:color w:val="000000"/>
                <w:kern w:val="0"/>
                <w:lang w:eastAsia="en-AU"/>
                <w14:ligatures w14:val="none"/>
              </w:rPr>
            </w:pPr>
            <w:r>
              <w:rPr>
                <w:rFonts w:ascii="Lato" w:hAnsi="Lato"/>
              </w:rPr>
              <w:t>Four</w:t>
            </w:r>
            <w:r w:rsidR="004310C0" w:rsidRPr="00B24B6C">
              <w:rPr>
                <w:rFonts w:ascii="Lato" w:hAnsi="Lato"/>
              </w:rPr>
              <w:t xml:space="preserve"> activity plans </w:t>
            </w:r>
            <w:r w:rsidRPr="00B24B6C">
              <w:rPr>
                <w:rFonts w:ascii="Lato" w:hAnsi="Lato"/>
              </w:rPr>
              <w:t xml:space="preserve">for Actions 1-4 </w:t>
            </w:r>
          </w:p>
        </w:tc>
        <w:tc>
          <w:tcPr>
            <w:tcW w:w="1014" w:type="pct"/>
            <w:tcBorders>
              <w:bottom w:val="single" w:sz="4" w:space="0" w:color="auto"/>
            </w:tcBorders>
          </w:tcPr>
          <w:p w14:paraId="7CDF3E17" w14:textId="77777777" w:rsidR="00F47EC0" w:rsidRPr="0073446F" w:rsidRDefault="00F47EC0" w:rsidP="0073446F">
            <w:pPr>
              <w:spacing w:line="276" w:lineRule="auto"/>
              <w:rPr>
                <w:rFonts w:ascii="Lato" w:hAnsi="Lato"/>
              </w:rPr>
            </w:pPr>
            <w:r w:rsidRPr="0073446F">
              <w:rPr>
                <w:rFonts w:ascii="Lato" w:hAnsi="Lato"/>
              </w:rPr>
              <w:t>2: $</w:t>
            </w:r>
            <w:r w:rsidRPr="0073446F">
              <w:rPr>
                <w:rFonts w:ascii="Lato" w:hAnsi="Lato" w:cstheme="minorHAnsi"/>
              </w:rPr>
              <w:t>2,000,000</w:t>
            </w:r>
          </w:p>
        </w:tc>
        <w:tc>
          <w:tcPr>
            <w:tcW w:w="634" w:type="pct"/>
            <w:tcBorders>
              <w:bottom w:val="single" w:sz="4" w:space="0" w:color="auto"/>
            </w:tcBorders>
          </w:tcPr>
          <w:p w14:paraId="1B5E0167" w14:textId="4BF87DE8" w:rsidR="00F47EC0" w:rsidRPr="0073446F" w:rsidRDefault="008277F3" w:rsidP="0073446F">
            <w:pPr>
              <w:spacing w:line="276" w:lineRule="auto"/>
              <w:rPr>
                <w:rFonts w:ascii="Lato" w:hAnsi="Lato"/>
              </w:rPr>
            </w:pPr>
            <w:r w:rsidRPr="0073446F">
              <w:rPr>
                <w:rFonts w:ascii="Lato" w:hAnsi="Lato"/>
              </w:rPr>
              <w:t xml:space="preserve">31 </w:t>
            </w:r>
            <w:r w:rsidR="00F47EC0" w:rsidRPr="0073446F">
              <w:rPr>
                <w:rFonts w:ascii="Lato" w:hAnsi="Lato"/>
              </w:rPr>
              <w:t>March 2026</w:t>
            </w:r>
          </w:p>
        </w:tc>
      </w:tr>
      <w:tr w:rsidR="001D1CAF" w:rsidRPr="00FA4163" w14:paraId="0A99BAB9" w14:textId="77777777" w:rsidTr="0073446F">
        <w:trPr>
          <w:trHeight w:val="1571"/>
        </w:trPr>
        <w:tc>
          <w:tcPr>
            <w:tcW w:w="1320" w:type="pct"/>
            <w:tcBorders>
              <w:bottom w:val="single" w:sz="4" w:space="0" w:color="auto"/>
            </w:tcBorders>
          </w:tcPr>
          <w:p w14:paraId="77C7D3CC" w14:textId="77777777" w:rsidR="001D1CAF" w:rsidRDefault="001D1CAF" w:rsidP="001D1CAF">
            <w:pPr>
              <w:spacing w:line="276" w:lineRule="auto"/>
              <w:rPr>
                <w:rFonts w:ascii="Lato" w:hAnsi="Lato"/>
              </w:rPr>
            </w:pPr>
            <w:r w:rsidRPr="0073446F">
              <w:rPr>
                <w:rFonts w:ascii="Lato" w:hAnsi="Lato"/>
              </w:rPr>
              <w:t>Milestone 3.</w:t>
            </w:r>
          </w:p>
          <w:p w14:paraId="48152B3A" w14:textId="77777777" w:rsidR="001D1CAF" w:rsidRPr="0073446F" w:rsidRDefault="001D1CAF" w:rsidP="001D1CAF">
            <w:pPr>
              <w:spacing w:line="276" w:lineRule="auto"/>
              <w:rPr>
                <w:rFonts w:ascii="Lato" w:hAnsi="Lato"/>
              </w:rPr>
            </w:pPr>
            <w:r w:rsidRPr="0073446F">
              <w:rPr>
                <w:rFonts w:ascii="Lato" w:hAnsi="Lato"/>
              </w:rPr>
              <w:t xml:space="preserve">Commonwealth acceptance that NT has </w:t>
            </w:r>
            <w:r>
              <w:rPr>
                <w:rFonts w:ascii="Lato" w:hAnsi="Lato"/>
              </w:rPr>
              <w:t>progressed</w:t>
            </w:r>
            <w:r w:rsidRPr="0073446F">
              <w:rPr>
                <w:rFonts w:ascii="Lato" w:hAnsi="Lato"/>
              </w:rPr>
              <w:t xml:space="preserve"> measures to support IC to 30 September 2026 by:</w:t>
            </w:r>
          </w:p>
          <w:p w14:paraId="2E418403" w14:textId="6F281C1F" w:rsidR="001D1CAF" w:rsidRPr="0073446F" w:rsidRDefault="001D1CAF" w:rsidP="00B24B6C">
            <w:pPr>
              <w:pStyle w:val="Bullet"/>
            </w:pPr>
            <w:r>
              <w:t>Progression</w:t>
            </w:r>
            <w:r w:rsidRPr="0073446F">
              <w:t xml:space="preserve"> of Agreed </w:t>
            </w:r>
            <w:r>
              <w:t>Actions 1-4</w:t>
            </w:r>
          </w:p>
        </w:tc>
        <w:tc>
          <w:tcPr>
            <w:tcW w:w="2032" w:type="pct"/>
            <w:tcBorders>
              <w:bottom w:val="single" w:sz="4" w:space="0" w:color="auto"/>
            </w:tcBorders>
          </w:tcPr>
          <w:p w14:paraId="70CBB91C" w14:textId="1D9FD6F2" w:rsidR="001D1CAF" w:rsidRPr="0073446F" w:rsidRDefault="001D1CAF" w:rsidP="001D1CAF">
            <w:pPr>
              <w:pStyle w:val="ListParagraph"/>
              <w:numPr>
                <w:ilvl w:val="0"/>
                <w:numId w:val="17"/>
              </w:numPr>
              <w:spacing w:before="100" w:beforeAutospacing="1" w:after="100" w:afterAutospacing="1"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Annual report, signed by an NT Senior Skills Official, demonstrating progression of Actions 1–4 in alignment with the IC BIP</w:t>
            </w:r>
            <w:r w:rsidR="00D47EDE">
              <w:rPr>
                <w:rFonts w:ascii="Lato" w:eastAsia="Times New Roman" w:hAnsi="Lato" w:cs="Times New Roman"/>
                <w:kern w:val="0"/>
                <w:lang w:eastAsia="en-AU"/>
                <w14:ligatures w14:val="none"/>
              </w:rPr>
              <w:t xml:space="preserve"> and attaching evidence </w:t>
            </w:r>
            <w:r w:rsidR="00BF51D8">
              <w:rPr>
                <w:rFonts w:ascii="Lato" w:eastAsia="Times New Roman" w:hAnsi="Lato" w:cs="Times New Roman"/>
                <w:kern w:val="0"/>
                <w:lang w:eastAsia="en-AU"/>
                <w14:ligatures w14:val="none"/>
              </w:rPr>
              <w:t>and/</w:t>
            </w:r>
            <w:r w:rsidR="001C2EC6">
              <w:rPr>
                <w:rFonts w:ascii="Lato" w:eastAsia="Times New Roman" w:hAnsi="Lato" w:cs="Times New Roman"/>
                <w:kern w:val="0"/>
                <w:lang w:eastAsia="en-AU"/>
                <w14:ligatures w14:val="none"/>
              </w:rPr>
              <w:t>or</w:t>
            </w:r>
            <w:r w:rsidR="00D47EDE">
              <w:rPr>
                <w:rFonts w:ascii="Lato" w:eastAsia="Times New Roman" w:hAnsi="Lato" w:cs="Times New Roman"/>
                <w:kern w:val="0"/>
                <w:lang w:eastAsia="en-AU"/>
                <w14:ligatures w14:val="none"/>
              </w:rPr>
              <w:t xml:space="preserve"> progress </w:t>
            </w:r>
            <w:r w:rsidRPr="0073446F">
              <w:rPr>
                <w:rFonts w:ascii="Lato" w:eastAsia="Times New Roman" w:hAnsi="Lato" w:cs="Times New Roman"/>
                <w:kern w:val="0"/>
                <w:lang w:eastAsia="en-AU"/>
                <w14:ligatures w14:val="none"/>
              </w:rPr>
              <w:t>of:</w:t>
            </w:r>
          </w:p>
          <w:p w14:paraId="52895E15" w14:textId="77777777" w:rsidR="001D1CAF" w:rsidRPr="0073446F" w:rsidRDefault="001D1CAF" w:rsidP="001D1CAF">
            <w:pPr>
              <w:numPr>
                <w:ilvl w:val="0"/>
                <w:numId w:val="18"/>
              </w:numPr>
              <w:spacing w:before="100" w:beforeAutospacing="1" w:after="100" w:afterAutospacing="1"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Stakeholder engagement progress (e.g., consultations completed, feedback incorporated, partnerships formalised)</w:t>
            </w:r>
          </w:p>
          <w:p w14:paraId="7AEB2FA8" w14:textId="77777777" w:rsidR="001D1CAF" w:rsidRDefault="001D1CAF" w:rsidP="001D1CAF">
            <w:pPr>
              <w:numPr>
                <w:ilvl w:val="0"/>
                <w:numId w:val="18"/>
              </w:numPr>
              <w:spacing w:before="100" w:beforeAutospacing="1" w:after="100" w:afterAutospacing="1"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lastRenderedPageBreak/>
              <w:t>Progress against project deliverables, such as contracts executed, activities underway, or measurable outputs achieved</w:t>
            </w:r>
          </w:p>
          <w:p w14:paraId="2B902CAE" w14:textId="16B8C662" w:rsidR="001D1CAF" w:rsidRPr="0073446F" w:rsidRDefault="00D24E3E" w:rsidP="001D1CAF">
            <w:pPr>
              <w:numPr>
                <w:ilvl w:val="0"/>
                <w:numId w:val="18"/>
              </w:numPr>
              <w:spacing w:before="100" w:beforeAutospacing="1" w:after="100" w:afterAutospacing="1" w:line="276" w:lineRule="auto"/>
              <w:rPr>
                <w:rFonts w:ascii="Lato" w:eastAsia="Times New Roman" w:hAnsi="Lato" w:cs="Times New Roman"/>
                <w:kern w:val="0"/>
                <w:lang w:eastAsia="en-AU"/>
                <w14:ligatures w14:val="none"/>
              </w:rPr>
            </w:pPr>
            <w:r>
              <w:rPr>
                <w:rFonts w:ascii="Lato" w:eastAsia="Times New Roman" w:hAnsi="Lato" w:cs="Times New Roman"/>
                <w:kern w:val="0"/>
                <w:lang w:eastAsia="en-AU"/>
                <w14:ligatures w14:val="none"/>
              </w:rPr>
              <w:t>Four u</w:t>
            </w:r>
            <w:r w:rsidR="001D1CAF" w:rsidRPr="00AC3F81">
              <w:rPr>
                <w:rFonts w:ascii="Lato" w:eastAsia="Times New Roman" w:hAnsi="Lato" w:cs="Times New Roman"/>
                <w:kern w:val="0"/>
                <w:lang w:eastAsia="en-AU"/>
                <w14:ligatures w14:val="none"/>
              </w:rPr>
              <w:t>pdated Action</w:t>
            </w:r>
            <w:r>
              <w:rPr>
                <w:rFonts w:ascii="Lato" w:eastAsia="Times New Roman" w:hAnsi="Lato" w:cs="Times New Roman"/>
                <w:kern w:val="0"/>
                <w:lang w:eastAsia="en-AU"/>
                <w14:ligatures w14:val="none"/>
              </w:rPr>
              <w:t>s 1-4</w:t>
            </w:r>
            <w:r w:rsidR="001D1CAF" w:rsidRPr="00AC3F81">
              <w:rPr>
                <w:rFonts w:ascii="Lato" w:eastAsia="Times New Roman" w:hAnsi="Lato" w:cs="Times New Roman"/>
                <w:kern w:val="0"/>
                <w:lang w:eastAsia="en-AU"/>
                <w14:ligatures w14:val="none"/>
              </w:rPr>
              <w:t xml:space="preserve"> activity plans, showing milestones reached and next steps</w:t>
            </w:r>
          </w:p>
          <w:p w14:paraId="22722D26" w14:textId="77777777" w:rsidR="001D1CAF" w:rsidRPr="0073446F" w:rsidRDefault="001D1CAF" w:rsidP="001D1CAF">
            <w:pPr>
              <w:spacing w:line="276" w:lineRule="auto"/>
              <w:rPr>
                <w:rFonts w:ascii="Lato" w:hAnsi="Lato"/>
              </w:rPr>
            </w:pPr>
          </w:p>
        </w:tc>
        <w:tc>
          <w:tcPr>
            <w:tcW w:w="1014" w:type="pct"/>
            <w:tcBorders>
              <w:bottom w:val="single" w:sz="4" w:space="0" w:color="auto"/>
            </w:tcBorders>
          </w:tcPr>
          <w:p w14:paraId="113ADE47" w14:textId="550ED15F" w:rsidR="001D1CAF" w:rsidRPr="0073446F" w:rsidRDefault="001D1CAF" w:rsidP="001D1CAF">
            <w:pPr>
              <w:spacing w:line="276" w:lineRule="auto"/>
              <w:rPr>
                <w:rFonts w:ascii="Lato" w:hAnsi="Lato"/>
              </w:rPr>
            </w:pPr>
            <w:r w:rsidRPr="0073446F">
              <w:rPr>
                <w:rFonts w:ascii="Lato" w:hAnsi="Lato"/>
              </w:rPr>
              <w:lastRenderedPageBreak/>
              <w:t>3: $1,680,000</w:t>
            </w:r>
          </w:p>
        </w:tc>
        <w:tc>
          <w:tcPr>
            <w:tcW w:w="634" w:type="pct"/>
            <w:tcBorders>
              <w:bottom w:val="single" w:sz="4" w:space="0" w:color="auto"/>
            </w:tcBorders>
          </w:tcPr>
          <w:p w14:paraId="34831243" w14:textId="77777777" w:rsidR="001D1CAF" w:rsidRDefault="001D1CAF" w:rsidP="001D1CAF">
            <w:pPr>
              <w:spacing w:line="276" w:lineRule="auto"/>
              <w:rPr>
                <w:rFonts w:ascii="Lato" w:hAnsi="Lato"/>
              </w:rPr>
            </w:pPr>
            <w:r w:rsidRPr="0073446F">
              <w:rPr>
                <w:rFonts w:ascii="Lato" w:hAnsi="Lato"/>
              </w:rPr>
              <w:t>30 September 2026</w:t>
            </w:r>
          </w:p>
          <w:p w14:paraId="23606BA2" w14:textId="77777777" w:rsidR="001D1CAF" w:rsidRDefault="001D1CAF" w:rsidP="001D1CAF">
            <w:pPr>
              <w:spacing w:line="276" w:lineRule="auto"/>
              <w:rPr>
                <w:rFonts w:ascii="Lato" w:hAnsi="Lato"/>
              </w:rPr>
            </w:pPr>
          </w:p>
          <w:p w14:paraId="1A6E0A9C" w14:textId="77777777" w:rsidR="001D1CAF" w:rsidRPr="0073446F" w:rsidRDefault="001D1CAF" w:rsidP="001D1CAF">
            <w:pPr>
              <w:spacing w:line="276" w:lineRule="auto"/>
              <w:rPr>
                <w:rFonts w:ascii="Lato" w:hAnsi="Lato"/>
              </w:rPr>
            </w:pPr>
          </w:p>
        </w:tc>
      </w:tr>
      <w:tr w:rsidR="001D1CAF" w:rsidRPr="00FA4163" w14:paraId="6236E783" w14:textId="77777777" w:rsidTr="0073446F">
        <w:trPr>
          <w:trHeight w:val="1571"/>
        </w:trPr>
        <w:tc>
          <w:tcPr>
            <w:tcW w:w="1320" w:type="pct"/>
            <w:tcBorders>
              <w:bottom w:val="single" w:sz="4" w:space="0" w:color="auto"/>
            </w:tcBorders>
          </w:tcPr>
          <w:p w14:paraId="07CC9144" w14:textId="77777777" w:rsidR="001D1CAF" w:rsidRPr="0073446F" w:rsidRDefault="001D1CAF" w:rsidP="001D1CAF">
            <w:pPr>
              <w:spacing w:line="276" w:lineRule="auto"/>
              <w:rPr>
                <w:rFonts w:ascii="Lato" w:hAnsi="Lato"/>
              </w:rPr>
            </w:pPr>
            <w:r w:rsidRPr="0073446F">
              <w:rPr>
                <w:rFonts w:ascii="Lato" w:hAnsi="Lato"/>
              </w:rPr>
              <w:t xml:space="preserve">Milestone 4. </w:t>
            </w:r>
          </w:p>
          <w:p w14:paraId="4DED8B1C" w14:textId="1B1386CB" w:rsidR="001D1CAF" w:rsidRPr="0073446F" w:rsidRDefault="001D1CAF" w:rsidP="001D1CAF">
            <w:pPr>
              <w:spacing w:line="276" w:lineRule="auto"/>
              <w:rPr>
                <w:rFonts w:ascii="Lato" w:hAnsi="Lato"/>
              </w:rPr>
            </w:pPr>
            <w:r w:rsidRPr="0073446F">
              <w:rPr>
                <w:rFonts w:ascii="Lato" w:hAnsi="Lato"/>
              </w:rPr>
              <w:t xml:space="preserve">Commonwealth acceptance that NT has operated measures to support IC to </w:t>
            </w:r>
            <w:r>
              <w:rPr>
                <w:rFonts w:ascii="Lato" w:hAnsi="Lato"/>
              </w:rPr>
              <w:t>30 September</w:t>
            </w:r>
            <w:r w:rsidR="00D24E3E">
              <w:rPr>
                <w:rFonts w:ascii="Lato" w:hAnsi="Lato"/>
              </w:rPr>
              <w:t xml:space="preserve"> </w:t>
            </w:r>
            <w:r w:rsidRPr="0073446F">
              <w:rPr>
                <w:rFonts w:ascii="Lato" w:hAnsi="Lato"/>
              </w:rPr>
              <w:t>202</w:t>
            </w:r>
            <w:r w:rsidR="00D24E3E">
              <w:rPr>
                <w:rFonts w:ascii="Lato" w:hAnsi="Lato"/>
              </w:rPr>
              <w:t>7</w:t>
            </w:r>
            <w:r w:rsidRPr="0073446F">
              <w:rPr>
                <w:rFonts w:ascii="Lato" w:hAnsi="Lato"/>
              </w:rPr>
              <w:t xml:space="preserve"> by:</w:t>
            </w:r>
            <w:r>
              <w:rPr>
                <w:rFonts w:ascii="Lato" w:hAnsi="Lato"/>
              </w:rPr>
              <w:br/>
            </w:r>
          </w:p>
          <w:p w14:paraId="2CFE8DDC" w14:textId="77777777" w:rsidR="001D1CAF" w:rsidRDefault="001D1CAF" w:rsidP="001D1CAF">
            <w:pPr>
              <w:pStyle w:val="ListParagraph"/>
              <w:numPr>
                <w:ilvl w:val="0"/>
                <w:numId w:val="13"/>
              </w:numPr>
              <w:spacing w:line="276" w:lineRule="auto"/>
              <w:rPr>
                <w:rFonts w:ascii="Lato" w:hAnsi="Lato"/>
              </w:rPr>
            </w:pPr>
            <w:r>
              <w:rPr>
                <w:rFonts w:ascii="Lato" w:hAnsi="Lato"/>
              </w:rPr>
              <w:t>Continuation</w:t>
            </w:r>
            <w:r w:rsidRPr="00025619">
              <w:rPr>
                <w:rFonts w:ascii="Lato" w:hAnsi="Lato"/>
              </w:rPr>
              <w:t xml:space="preserve"> of Agreed </w:t>
            </w:r>
            <w:r>
              <w:rPr>
                <w:rFonts w:ascii="Lato" w:hAnsi="Lato"/>
              </w:rPr>
              <w:t>Actions 1-4</w:t>
            </w:r>
          </w:p>
          <w:p w14:paraId="495544E6" w14:textId="77777777" w:rsidR="001D1CAF" w:rsidRDefault="001D1CAF" w:rsidP="001D1CAF">
            <w:pPr>
              <w:pStyle w:val="ListParagraph"/>
              <w:numPr>
                <w:ilvl w:val="0"/>
                <w:numId w:val="13"/>
              </w:numPr>
              <w:spacing w:line="276" w:lineRule="auto"/>
              <w:rPr>
                <w:rFonts w:ascii="Lato" w:hAnsi="Lato"/>
              </w:rPr>
            </w:pPr>
            <w:r w:rsidRPr="0073446F">
              <w:rPr>
                <w:rFonts w:ascii="Lato" w:hAnsi="Lato"/>
              </w:rPr>
              <w:t xml:space="preserve">Evaluation of </w:t>
            </w:r>
            <w:r>
              <w:rPr>
                <w:rFonts w:ascii="Lato" w:hAnsi="Lato"/>
              </w:rPr>
              <w:t>progress and outcomes for Actions 1-4</w:t>
            </w:r>
            <w:r w:rsidRPr="0073446F">
              <w:rPr>
                <w:rFonts w:ascii="Lato" w:hAnsi="Lato"/>
              </w:rPr>
              <w:t xml:space="preserve"> </w:t>
            </w:r>
            <w:r>
              <w:rPr>
                <w:rFonts w:ascii="Lato" w:hAnsi="Lato"/>
              </w:rPr>
              <w:t>to date</w:t>
            </w:r>
          </w:p>
          <w:p w14:paraId="284DAADA" w14:textId="77426623" w:rsidR="001D1CAF" w:rsidRPr="00B24B6C" w:rsidRDefault="001D1CAF" w:rsidP="00B24B6C">
            <w:pPr>
              <w:pStyle w:val="ListParagraph"/>
              <w:numPr>
                <w:ilvl w:val="0"/>
                <w:numId w:val="13"/>
              </w:numPr>
              <w:spacing w:line="276" w:lineRule="auto"/>
              <w:rPr>
                <w:rFonts w:ascii="Lato" w:hAnsi="Lato"/>
              </w:rPr>
            </w:pPr>
            <w:r w:rsidRPr="00B24B6C">
              <w:rPr>
                <w:rFonts w:ascii="Lato" w:hAnsi="Lato"/>
              </w:rPr>
              <w:t>Provision of initial recommendation on upscaling opportunities</w:t>
            </w:r>
          </w:p>
        </w:tc>
        <w:tc>
          <w:tcPr>
            <w:tcW w:w="2032" w:type="pct"/>
            <w:tcBorders>
              <w:bottom w:val="single" w:sz="4" w:space="0" w:color="auto"/>
            </w:tcBorders>
          </w:tcPr>
          <w:p w14:paraId="488D325D" w14:textId="7166C192" w:rsidR="001D1CAF" w:rsidRDefault="001D1CAF" w:rsidP="001D1CAF">
            <w:pPr>
              <w:spacing w:line="276" w:lineRule="auto"/>
              <w:rPr>
                <w:rFonts w:ascii="Lato" w:hAnsi="Lato"/>
              </w:rPr>
            </w:pPr>
            <w:r w:rsidRPr="0073446F">
              <w:rPr>
                <w:rFonts w:ascii="Lato" w:hAnsi="Lato"/>
              </w:rPr>
              <w:t xml:space="preserve">4. </w:t>
            </w:r>
            <w:r>
              <w:rPr>
                <w:rFonts w:ascii="Lato" w:hAnsi="Lato"/>
              </w:rPr>
              <w:t>Progress</w:t>
            </w:r>
            <w:r w:rsidRPr="0073446F">
              <w:rPr>
                <w:rFonts w:ascii="Lato" w:hAnsi="Lato"/>
              </w:rPr>
              <w:t xml:space="preserve"> report </w:t>
            </w:r>
            <w:r w:rsidRPr="0073446F">
              <w:rPr>
                <w:rFonts w:ascii="Lato" w:eastAsiaTheme="minorHAnsi" w:hAnsi="Lato" w:cs="Aptos"/>
                <w:kern w:val="0"/>
                <w:lang w:eastAsia="en-US"/>
              </w:rPr>
              <w:t xml:space="preserve">signed by an NT Senior Skills </w:t>
            </w:r>
            <w:r>
              <w:rPr>
                <w:rFonts w:ascii="Lato" w:eastAsiaTheme="minorHAnsi" w:hAnsi="Lato" w:cs="Aptos"/>
                <w:kern w:val="0"/>
                <w:lang w:eastAsia="en-US"/>
              </w:rPr>
              <w:br/>
              <w:t xml:space="preserve">    </w:t>
            </w:r>
            <w:r w:rsidRPr="0073446F">
              <w:rPr>
                <w:rFonts w:ascii="Lato" w:eastAsiaTheme="minorHAnsi" w:hAnsi="Lato" w:cs="Aptos"/>
                <w:kern w:val="0"/>
                <w:lang w:eastAsia="en-US"/>
              </w:rPr>
              <w:t xml:space="preserve">Official, demonstrating </w:t>
            </w:r>
            <w:r w:rsidRPr="0073446F">
              <w:rPr>
                <w:rFonts w:ascii="Lato" w:hAnsi="Lato"/>
              </w:rPr>
              <w:t xml:space="preserve">progress against performance </w:t>
            </w:r>
            <w:r>
              <w:rPr>
                <w:rFonts w:ascii="Lato" w:hAnsi="Lato"/>
              </w:rPr>
              <w:br/>
              <w:t xml:space="preserve">    </w:t>
            </w:r>
            <w:r w:rsidRPr="0073446F">
              <w:rPr>
                <w:rFonts w:ascii="Lato" w:hAnsi="Lato"/>
              </w:rPr>
              <w:t xml:space="preserve">indicators outlined in Actions 1 – </w:t>
            </w:r>
            <w:r w:rsidR="00AD52C5">
              <w:rPr>
                <w:rFonts w:ascii="Lato" w:hAnsi="Lato"/>
              </w:rPr>
              <w:t>4.</w:t>
            </w:r>
          </w:p>
          <w:p w14:paraId="6BD1F92B" w14:textId="77777777" w:rsidR="001D1CAF" w:rsidRDefault="001D1CAF" w:rsidP="001D1CAF">
            <w:pPr>
              <w:spacing w:line="276" w:lineRule="auto"/>
              <w:rPr>
                <w:rFonts w:ascii="Lato" w:hAnsi="Lato"/>
              </w:rPr>
            </w:pPr>
          </w:p>
          <w:p w14:paraId="7150C939" w14:textId="77777777" w:rsidR="001D1CAF" w:rsidRDefault="001D1CAF" w:rsidP="001D1CAF">
            <w:pPr>
              <w:spacing w:line="276" w:lineRule="auto"/>
              <w:rPr>
                <w:rFonts w:ascii="Lato" w:hAnsi="Lato"/>
              </w:rPr>
            </w:pPr>
            <w:r>
              <w:rPr>
                <w:rFonts w:ascii="Lato" w:hAnsi="Lato"/>
              </w:rPr>
              <w:t xml:space="preserve">    </w:t>
            </w:r>
            <w:r w:rsidRPr="00025619">
              <w:rPr>
                <w:rFonts w:ascii="Lato" w:hAnsi="Lato"/>
              </w:rPr>
              <w:t xml:space="preserve">Annual report, signed by an NT Senior Skills Official, </w:t>
            </w:r>
            <w:r>
              <w:rPr>
                <w:rFonts w:ascii="Lato" w:hAnsi="Lato"/>
              </w:rPr>
              <w:br/>
              <w:t xml:space="preserve">    </w:t>
            </w:r>
            <w:r w:rsidRPr="00025619">
              <w:rPr>
                <w:rFonts w:ascii="Lato" w:hAnsi="Lato"/>
              </w:rPr>
              <w:t>demonstrating</w:t>
            </w:r>
            <w:r>
              <w:rPr>
                <w:rFonts w:ascii="Lato" w:hAnsi="Lato"/>
              </w:rPr>
              <w:t>:</w:t>
            </w:r>
          </w:p>
          <w:p w14:paraId="43449168" w14:textId="59D981C5" w:rsidR="001D1CAF" w:rsidRPr="0073446F" w:rsidRDefault="001D1CAF" w:rsidP="001D1CAF">
            <w:pPr>
              <w:pStyle w:val="ListParagraph"/>
              <w:numPr>
                <w:ilvl w:val="0"/>
                <w:numId w:val="13"/>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Progression and evaluation of Actions 1–4 in alignment with the IC BIP and Action Plans 1–4 </w:t>
            </w:r>
            <w:r w:rsidR="00AD52C5">
              <w:rPr>
                <w:rFonts w:ascii="Lato" w:eastAsia="Times New Roman" w:hAnsi="Lato" w:cs="Times New Roman"/>
                <w:kern w:val="0"/>
                <w:lang w:eastAsia="en-AU"/>
                <w14:ligatures w14:val="none"/>
              </w:rPr>
              <w:t>activity plans</w:t>
            </w:r>
          </w:p>
          <w:p w14:paraId="388B2CCE" w14:textId="77777777" w:rsidR="001D1CAF" w:rsidRPr="0073446F" w:rsidRDefault="001D1CAF" w:rsidP="001D1CAF">
            <w:pPr>
              <w:pStyle w:val="ListParagraph"/>
              <w:numPr>
                <w:ilvl w:val="0"/>
                <w:numId w:val="13"/>
              </w:numPr>
              <w:spacing w:line="276" w:lineRule="auto"/>
              <w:rPr>
                <w:rFonts w:ascii="Lato" w:hAnsi="Lato"/>
              </w:rPr>
            </w:pPr>
            <w:r w:rsidRPr="0073446F">
              <w:rPr>
                <w:rFonts w:ascii="Lato" w:eastAsia="Times New Roman" w:hAnsi="Lato" w:cs="Times New Roman"/>
                <w:kern w:val="0"/>
                <w:lang w:eastAsia="en-AU"/>
                <w14:ligatures w14:val="none"/>
              </w:rPr>
              <w:t>Identification of initial recommendations for upscaling opportunities</w:t>
            </w:r>
            <w:r w:rsidRPr="0073446F">
              <w:rPr>
                <w:rFonts w:ascii="Lato" w:hAnsi="Lato"/>
              </w:rPr>
              <w:t>.</w:t>
            </w:r>
          </w:p>
          <w:p w14:paraId="46A02FA8" w14:textId="77777777" w:rsidR="001D1CAF" w:rsidRPr="0073446F" w:rsidRDefault="001D1CAF" w:rsidP="001D1CAF">
            <w:pPr>
              <w:spacing w:line="276" w:lineRule="auto"/>
              <w:rPr>
                <w:rFonts w:ascii="Lato" w:hAnsi="Lato"/>
              </w:rPr>
            </w:pPr>
          </w:p>
        </w:tc>
        <w:tc>
          <w:tcPr>
            <w:tcW w:w="1014" w:type="pct"/>
            <w:tcBorders>
              <w:bottom w:val="single" w:sz="4" w:space="0" w:color="auto"/>
            </w:tcBorders>
          </w:tcPr>
          <w:p w14:paraId="4E42B580" w14:textId="77777777" w:rsidR="001D1CAF" w:rsidRDefault="001D1CAF" w:rsidP="001D1CAF">
            <w:pPr>
              <w:spacing w:line="276" w:lineRule="auto"/>
              <w:rPr>
                <w:rFonts w:ascii="Lato" w:hAnsi="Lato"/>
              </w:rPr>
            </w:pPr>
          </w:p>
          <w:p w14:paraId="7039C118" w14:textId="77777777" w:rsidR="001D1CAF" w:rsidRDefault="001D1CAF" w:rsidP="001D1CAF">
            <w:pPr>
              <w:spacing w:line="276" w:lineRule="auto"/>
              <w:rPr>
                <w:rFonts w:ascii="Lato" w:hAnsi="Lato"/>
              </w:rPr>
            </w:pPr>
          </w:p>
          <w:p w14:paraId="72B1AE80" w14:textId="77777777" w:rsidR="001D1CAF" w:rsidRDefault="001D1CAF" w:rsidP="001D1CAF">
            <w:pPr>
              <w:spacing w:line="276" w:lineRule="auto"/>
              <w:rPr>
                <w:rFonts w:ascii="Lato" w:hAnsi="Lato"/>
              </w:rPr>
            </w:pPr>
          </w:p>
          <w:p w14:paraId="25805D36" w14:textId="77777777" w:rsidR="001D1CAF" w:rsidRDefault="001D1CAF" w:rsidP="001D1CAF">
            <w:pPr>
              <w:spacing w:line="276" w:lineRule="auto"/>
              <w:rPr>
                <w:rFonts w:ascii="Lato" w:hAnsi="Lato"/>
              </w:rPr>
            </w:pPr>
          </w:p>
          <w:p w14:paraId="0A511E4B" w14:textId="4884AC12" w:rsidR="001D1CAF" w:rsidRPr="0073446F" w:rsidRDefault="001D1CAF" w:rsidP="001D1CAF">
            <w:pPr>
              <w:spacing w:line="276" w:lineRule="auto"/>
              <w:rPr>
                <w:rFonts w:ascii="Lato" w:hAnsi="Lato"/>
              </w:rPr>
            </w:pPr>
            <w:r>
              <w:rPr>
                <w:rFonts w:ascii="Lato" w:hAnsi="Lato"/>
              </w:rPr>
              <w:t>4</w:t>
            </w:r>
            <w:r w:rsidRPr="0073446F">
              <w:rPr>
                <w:rFonts w:ascii="Lato" w:hAnsi="Lato"/>
              </w:rPr>
              <w:t>: $750,000</w:t>
            </w:r>
          </w:p>
        </w:tc>
        <w:tc>
          <w:tcPr>
            <w:tcW w:w="634" w:type="pct"/>
            <w:tcBorders>
              <w:bottom w:val="single" w:sz="4" w:space="0" w:color="auto"/>
            </w:tcBorders>
          </w:tcPr>
          <w:p w14:paraId="24CA0502" w14:textId="77777777" w:rsidR="001D1CAF" w:rsidRDefault="001D1CAF" w:rsidP="001D1CAF">
            <w:pPr>
              <w:spacing w:line="276" w:lineRule="auto"/>
              <w:rPr>
                <w:rFonts w:ascii="Lato" w:hAnsi="Lato"/>
              </w:rPr>
            </w:pPr>
          </w:p>
          <w:p w14:paraId="752EE8BA" w14:textId="77777777" w:rsidR="001D1CAF" w:rsidRDefault="001D1CAF" w:rsidP="001D1CAF">
            <w:pPr>
              <w:spacing w:line="276" w:lineRule="auto"/>
              <w:rPr>
                <w:rFonts w:ascii="Lato" w:hAnsi="Lato"/>
              </w:rPr>
            </w:pPr>
          </w:p>
          <w:p w14:paraId="23A320F5" w14:textId="77777777" w:rsidR="001D1CAF" w:rsidRDefault="001D1CAF" w:rsidP="001D1CAF">
            <w:pPr>
              <w:spacing w:line="276" w:lineRule="auto"/>
              <w:rPr>
                <w:rFonts w:ascii="Lato" w:hAnsi="Lato"/>
              </w:rPr>
            </w:pPr>
          </w:p>
          <w:p w14:paraId="4434145F" w14:textId="77777777" w:rsidR="001D1CAF" w:rsidRDefault="001D1CAF" w:rsidP="001D1CAF">
            <w:pPr>
              <w:spacing w:line="276" w:lineRule="auto"/>
              <w:rPr>
                <w:rFonts w:ascii="Lato" w:hAnsi="Lato"/>
              </w:rPr>
            </w:pPr>
            <w:r w:rsidRPr="00025619">
              <w:rPr>
                <w:rFonts w:ascii="Lato" w:hAnsi="Lato"/>
              </w:rPr>
              <w:t>30 September 202</w:t>
            </w:r>
            <w:r>
              <w:rPr>
                <w:rFonts w:ascii="Lato" w:hAnsi="Lato"/>
              </w:rPr>
              <w:t>7</w:t>
            </w:r>
          </w:p>
          <w:p w14:paraId="6503EA0D" w14:textId="77777777" w:rsidR="001D1CAF" w:rsidRPr="0073446F" w:rsidRDefault="001D1CAF" w:rsidP="001D1CAF">
            <w:pPr>
              <w:spacing w:line="276" w:lineRule="auto"/>
              <w:rPr>
                <w:rFonts w:ascii="Lato" w:hAnsi="Lato"/>
              </w:rPr>
            </w:pPr>
          </w:p>
        </w:tc>
      </w:tr>
      <w:tr w:rsidR="001D1CAF" w:rsidRPr="00FA4163" w14:paraId="2CFDEB8D" w14:textId="77777777" w:rsidTr="0073446F">
        <w:trPr>
          <w:trHeight w:val="1571"/>
        </w:trPr>
        <w:tc>
          <w:tcPr>
            <w:tcW w:w="1320" w:type="pct"/>
            <w:tcBorders>
              <w:bottom w:val="single" w:sz="4" w:space="0" w:color="auto"/>
            </w:tcBorders>
          </w:tcPr>
          <w:p w14:paraId="700C7FEA" w14:textId="77777777" w:rsidR="001D1CAF" w:rsidRPr="0073446F" w:rsidRDefault="001D1CAF" w:rsidP="001D1CAF">
            <w:pPr>
              <w:spacing w:line="276" w:lineRule="auto"/>
              <w:rPr>
                <w:rFonts w:ascii="Lato" w:hAnsi="Lato"/>
              </w:rPr>
            </w:pPr>
            <w:r w:rsidRPr="0073446F">
              <w:rPr>
                <w:rFonts w:ascii="Lato" w:hAnsi="Lato"/>
              </w:rPr>
              <w:t xml:space="preserve">Milestone 5. </w:t>
            </w:r>
          </w:p>
          <w:p w14:paraId="2A94168A" w14:textId="35F76BE9" w:rsidR="001D1CAF" w:rsidRPr="0073446F" w:rsidRDefault="001D1CAF" w:rsidP="001D1CAF">
            <w:pPr>
              <w:spacing w:line="276" w:lineRule="auto"/>
              <w:rPr>
                <w:rFonts w:ascii="Lato" w:hAnsi="Lato" w:cstheme="minorHAnsi"/>
              </w:rPr>
            </w:pPr>
            <w:r w:rsidRPr="0073446F">
              <w:rPr>
                <w:rFonts w:ascii="Lato" w:hAnsi="Lato" w:cstheme="minorHAnsi"/>
              </w:rPr>
              <w:t xml:space="preserve">Commonwealth acceptance of the NT’s final report on implemented measures supporting IC to 31 December </w:t>
            </w:r>
            <w:r w:rsidR="00D24E3E">
              <w:rPr>
                <w:rFonts w:ascii="Lato" w:hAnsi="Lato" w:cstheme="minorHAnsi"/>
              </w:rPr>
              <w:t xml:space="preserve">2028 </w:t>
            </w:r>
            <w:r>
              <w:rPr>
                <w:rFonts w:ascii="Lato" w:hAnsi="Lato" w:cstheme="minorHAnsi"/>
              </w:rPr>
              <w:t>demonstrated through</w:t>
            </w:r>
            <w:r w:rsidRPr="0073446F">
              <w:rPr>
                <w:rFonts w:ascii="Lato" w:hAnsi="Lato" w:cstheme="minorHAnsi"/>
              </w:rPr>
              <w:t>:</w:t>
            </w:r>
            <w:r>
              <w:rPr>
                <w:rFonts w:ascii="Lato" w:hAnsi="Lato" w:cstheme="minorHAnsi"/>
              </w:rPr>
              <w:br/>
            </w:r>
          </w:p>
          <w:p w14:paraId="20440CE6" w14:textId="0E318095" w:rsidR="001D1CAF" w:rsidRPr="0073446F" w:rsidRDefault="001D1CAF" w:rsidP="00B24B6C">
            <w:pPr>
              <w:pStyle w:val="Bullet"/>
            </w:pPr>
            <w:r w:rsidRPr="00F82B18">
              <w:t>Submiss</w:t>
            </w:r>
            <w:r>
              <w:t>ion of</w:t>
            </w:r>
            <w:r w:rsidRPr="007E399A">
              <w:t xml:space="preserve"> </w:t>
            </w:r>
            <w:r w:rsidRPr="0073446F">
              <w:t xml:space="preserve">Final Outcomes Report </w:t>
            </w:r>
          </w:p>
        </w:tc>
        <w:tc>
          <w:tcPr>
            <w:tcW w:w="2032" w:type="pct"/>
            <w:tcBorders>
              <w:bottom w:val="single" w:sz="4" w:space="0" w:color="auto"/>
            </w:tcBorders>
          </w:tcPr>
          <w:p w14:paraId="1C1E7C71" w14:textId="77777777" w:rsidR="001D1CAF" w:rsidRDefault="001D1CAF" w:rsidP="001D1CAF">
            <w:pPr>
              <w:spacing w:line="276" w:lineRule="auto"/>
              <w:rPr>
                <w:rFonts w:ascii="Lato" w:hAnsi="Lato"/>
              </w:rPr>
            </w:pPr>
            <w:r w:rsidRPr="0073446F">
              <w:rPr>
                <w:rFonts w:ascii="Lato" w:hAnsi="Lato"/>
              </w:rPr>
              <w:t xml:space="preserve">5. </w:t>
            </w:r>
            <w:r>
              <w:rPr>
                <w:rFonts w:ascii="Lato" w:hAnsi="Lato"/>
              </w:rPr>
              <w:t>Progress</w:t>
            </w:r>
            <w:r w:rsidRPr="00025619">
              <w:rPr>
                <w:rFonts w:ascii="Lato" w:hAnsi="Lato"/>
              </w:rPr>
              <w:t xml:space="preserve"> report </w:t>
            </w:r>
            <w:r w:rsidRPr="00025619">
              <w:rPr>
                <w:rFonts w:ascii="Lato" w:eastAsiaTheme="minorHAnsi" w:hAnsi="Lato" w:cs="Aptos"/>
                <w:kern w:val="0"/>
                <w:lang w:eastAsia="en-US"/>
              </w:rPr>
              <w:t xml:space="preserve">signed by an NT Senior Skills </w:t>
            </w:r>
            <w:r>
              <w:rPr>
                <w:rFonts w:ascii="Lato" w:eastAsiaTheme="minorHAnsi" w:hAnsi="Lato" w:cs="Aptos"/>
                <w:kern w:val="0"/>
                <w:lang w:eastAsia="en-US"/>
              </w:rPr>
              <w:br/>
              <w:t xml:space="preserve">    </w:t>
            </w:r>
            <w:r w:rsidRPr="00025619">
              <w:rPr>
                <w:rFonts w:ascii="Lato" w:eastAsiaTheme="minorHAnsi" w:hAnsi="Lato" w:cs="Aptos"/>
                <w:kern w:val="0"/>
                <w:lang w:eastAsia="en-US"/>
              </w:rPr>
              <w:t xml:space="preserve">Official, demonstrating </w:t>
            </w:r>
            <w:r w:rsidRPr="00025619">
              <w:rPr>
                <w:rFonts w:ascii="Lato" w:hAnsi="Lato"/>
              </w:rPr>
              <w:t xml:space="preserve">progress against performance </w:t>
            </w:r>
            <w:r>
              <w:rPr>
                <w:rFonts w:ascii="Lato" w:hAnsi="Lato"/>
              </w:rPr>
              <w:br/>
              <w:t xml:space="preserve">    </w:t>
            </w:r>
            <w:r w:rsidRPr="00025619">
              <w:rPr>
                <w:rFonts w:ascii="Lato" w:hAnsi="Lato"/>
              </w:rPr>
              <w:t xml:space="preserve">indicators </w:t>
            </w:r>
            <w:r>
              <w:rPr>
                <w:rFonts w:ascii="Lato" w:hAnsi="Lato"/>
              </w:rPr>
              <w:t>for</w:t>
            </w:r>
            <w:r w:rsidRPr="00025619">
              <w:rPr>
                <w:rFonts w:ascii="Lato" w:hAnsi="Lato"/>
              </w:rPr>
              <w:t xml:space="preserve"> Actions 1 – 4.</w:t>
            </w:r>
          </w:p>
          <w:p w14:paraId="5898CA40" w14:textId="77777777" w:rsidR="001D1CAF" w:rsidRDefault="001D1CAF" w:rsidP="001D1CAF">
            <w:pPr>
              <w:spacing w:line="276" w:lineRule="auto"/>
              <w:rPr>
                <w:rFonts w:ascii="Lato" w:hAnsi="Lato"/>
              </w:rPr>
            </w:pPr>
          </w:p>
          <w:p w14:paraId="7893D2DC" w14:textId="77777777" w:rsidR="001D1CAF" w:rsidRDefault="001D1CAF" w:rsidP="001D1CAF">
            <w:pPr>
              <w:spacing w:line="276" w:lineRule="auto"/>
              <w:rPr>
                <w:rFonts w:ascii="Lato" w:eastAsiaTheme="minorHAnsi" w:hAnsi="Lato" w:cs="Aptos"/>
                <w:kern w:val="0"/>
                <w:lang w:eastAsia="en-US"/>
              </w:rPr>
            </w:pPr>
            <w:r>
              <w:rPr>
                <w:rFonts w:ascii="Lato" w:hAnsi="Lato"/>
              </w:rPr>
              <w:t xml:space="preserve">    </w:t>
            </w:r>
            <w:r w:rsidRPr="0073446F">
              <w:rPr>
                <w:rFonts w:ascii="Lato" w:hAnsi="Lato"/>
              </w:rPr>
              <w:t xml:space="preserve">Final report to the Commonwealth, </w:t>
            </w:r>
            <w:r w:rsidRPr="0073446F">
              <w:rPr>
                <w:rFonts w:ascii="Lato" w:eastAsiaTheme="minorHAnsi" w:hAnsi="Lato" w:cs="Aptos"/>
                <w:kern w:val="0"/>
                <w:lang w:eastAsia="en-US"/>
              </w:rPr>
              <w:t xml:space="preserve">signed by an NT </w:t>
            </w:r>
            <w:r>
              <w:rPr>
                <w:rFonts w:ascii="Lato" w:eastAsiaTheme="minorHAnsi" w:hAnsi="Lato" w:cs="Aptos"/>
                <w:kern w:val="0"/>
                <w:lang w:eastAsia="en-US"/>
              </w:rPr>
              <w:br/>
              <w:t xml:space="preserve">    </w:t>
            </w:r>
            <w:r w:rsidRPr="0073446F">
              <w:rPr>
                <w:rFonts w:ascii="Lato" w:eastAsiaTheme="minorHAnsi" w:hAnsi="Lato" w:cs="Aptos"/>
                <w:kern w:val="0"/>
                <w:lang w:eastAsia="en-US"/>
              </w:rPr>
              <w:t>Senior Skills Official</w:t>
            </w:r>
            <w:r>
              <w:rPr>
                <w:rFonts w:ascii="Lato" w:eastAsiaTheme="minorHAnsi" w:hAnsi="Lato" w:cs="Aptos"/>
                <w:kern w:val="0"/>
                <w:lang w:eastAsia="en-US"/>
              </w:rPr>
              <w:t xml:space="preserve"> providing:</w:t>
            </w:r>
          </w:p>
          <w:p w14:paraId="5A0D4B6A" w14:textId="77777777" w:rsidR="001D1CAF" w:rsidRPr="0073446F" w:rsidRDefault="001D1CAF" w:rsidP="001D1CAF">
            <w:pPr>
              <w:pStyle w:val="ListParagraph"/>
              <w:numPr>
                <w:ilvl w:val="0"/>
                <w:numId w:val="13"/>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Summary of project outcomes and student impacts </w:t>
            </w:r>
          </w:p>
          <w:p w14:paraId="4B130756" w14:textId="77777777" w:rsidR="001D1CAF" w:rsidRPr="0073446F" w:rsidRDefault="001D1CAF" w:rsidP="001D1CAF">
            <w:pPr>
              <w:pStyle w:val="ListParagraph"/>
              <w:numPr>
                <w:ilvl w:val="0"/>
                <w:numId w:val="13"/>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t xml:space="preserve">Evaluation of Actions 1–4 and lessons learned </w:t>
            </w:r>
          </w:p>
          <w:p w14:paraId="71C36155" w14:textId="77777777" w:rsidR="004629D4" w:rsidRDefault="001D1CAF" w:rsidP="001D1CAF">
            <w:pPr>
              <w:pStyle w:val="ListParagraph"/>
              <w:numPr>
                <w:ilvl w:val="0"/>
                <w:numId w:val="13"/>
              </w:numPr>
              <w:spacing w:line="276" w:lineRule="auto"/>
              <w:rPr>
                <w:rFonts w:ascii="Lato" w:eastAsia="Times New Roman" w:hAnsi="Lato" w:cs="Times New Roman"/>
                <w:kern w:val="0"/>
                <w:lang w:eastAsia="en-AU"/>
                <w14:ligatures w14:val="none"/>
              </w:rPr>
            </w:pPr>
            <w:r w:rsidRPr="0073446F">
              <w:rPr>
                <w:rFonts w:ascii="Lato" w:eastAsia="Times New Roman" w:hAnsi="Lato" w:cs="Times New Roman"/>
                <w:kern w:val="0"/>
                <w:lang w:eastAsia="en-AU"/>
                <w14:ligatures w14:val="none"/>
              </w:rPr>
              <w:lastRenderedPageBreak/>
              <w:t>Recommendations for upscaling opportunities</w:t>
            </w:r>
          </w:p>
          <w:p w14:paraId="6DAFA380" w14:textId="463D1D6B" w:rsidR="001D1CAF" w:rsidRPr="00B24B6C" w:rsidRDefault="001D1CAF" w:rsidP="00B24B6C">
            <w:pPr>
              <w:pStyle w:val="ListParagraph"/>
              <w:numPr>
                <w:ilvl w:val="0"/>
                <w:numId w:val="13"/>
              </w:numPr>
              <w:spacing w:line="276" w:lineRule="auto"/>
              <w:rPr>
                <w:rFonts w:ascii="Lato" w:eastAsia="Times New Roman" w:hAnsi="Lato" w:cs="Times New Roman"/>
                <w:kern w:val="0"/>
                <w:lang w:eastAsia="en-AU"/>
                <w14:ligatures w14:val="none"/>
              </w:rPr>
            </w:pPr>
            <w:r w:rsidRPr="00B24B6C">
              <w:rPr>
                <w:rFonts w:ascii="Lato" w:eastAsia="Times New Roman" w:hAnsi="Lato" w:cs="Times New Roman"/>
                <w:kern w:val="0"/>
                <w:lang w:eastAsia="en-AU"/>
                <w14:ligatures w14:val="none"/>
              </w:rPr>
              <w:t>Contribution to the national evidence base (shared with J</w:t>
            </w:r>
            <w:r w:rsidR="005F2890">
              <w:rPr>
                <w:rFonts w:ascii="Lato" w:eastAsia="Times New Roman" w:hAnsi="Lato" w:cs="Times New Roman"/>
                <w:kern w:val="0"/>
                <w:lang w:eastAsia="en-AU"/>
                <w14:ligatures w14:val="none"/>
              </w:rPr>
              <w:t xml:space="preserve">obs and </w:t>
            </w:r>
            <w:r w:rsidRPr="00B24B6C">
              <w:rPr>
                <w:rFonts w:ascii="Lato" w:eastAsia="Times New Roman" w:hAnsi="Lato" w:cs="Times New Roman"/>
                <w:kern w:val="0"/>
                <w:lang w:eastAsia="en-AU"/>
                <w14:ligatures w14:val="none"/>
              </w:rPr>
              <w:t>S</w:t>
            </w:r>
            <w:r w:rsidR="005F2890">
              <w:rPr>
                <w:rFonts w:ascii="Lato" w:eastAsia="Times New Roman" w:hAnsi="Lato" w:cs="Times New Roman"/>
                <w:kern w:val="0"/>
                <w:lang w:eastAsia="en-AU"/>
                <w14:ligatures w14:val="none"/>
              </w:rPr>
              <w:t xml:space="preserve">kills </w:t>
            </w:r>
            <w:r w:rsidRPr="00B24B6C">
              <w:rPr>
                <w:rFonts w:ascii="Lato" w:eastAsia="Times New Roman" w:hAnsi="Lato" w:cs="Times New Roman"/>
                <w:kern w:val="0"/>
                <w:lang w:eastAsia="en-AU"/>
                <w14:ligatures w14:val="none"/>
              </w:rPr>
              <w:t>A</w:t>
            </w:r>
            <w:r w:rsidR="005F2890">
              <w:rPr>
                <w:rFonts w:ascii="Lato" w:eastAsia="Times New Roman" w:hAnsi="Lato" w:cs="Times New Roman"/>
                <w:kern w:val="0"/>
                <w:lang w:eastAsia="en-AU"/>
                <w14:ligatures w14:val="none"/>
              </w:rPr>
              <w:t>ustralia</w:t>
            </w:r>
            <w:r w:rsidRPr="00B24B6C">
              <w:rPr>
                <w:rFonts w:ascii="Lato" w:eastAsia="Times New Roman" w:hAnsi="Lato" w:cs="Times New Roman"/>
                <w:kern w:val="0"/>
                <w:lang w:eastAsia="en-AU"/>
                <w14:ligatures w14:val="none"/>
              </w:rPr>
              <w:t xml:space="preserve"> and </w:t>
            </w:r>
            <w:r w:rsidR="005F2890" w:rsidRPr="005F2890">
              <w:rPr>
                <w:rFonts w:ascii="Lato" w:eastAsia="Times New Roman" w:hAnsi="Lato" w:cs="Times New Roman"/>
                <w:kern w:val="0"/>
                <w:lang w:eastAsia="en-AU"/>
                <w14:ligatures w14:val="none"/>
              </w:rPr>
              <w:t>National Centre for Vocational Education Research</w:t>
            </w:r>
            <w:r w:rsidRPr="00B24B6C">
              <w:rPr>
                <w:rFonts w:ascii="Lato" w:eastAsia="Times New Roman" w:hAnsi="Lato" w:cs="Times New Roman"/>
                <w:kern w:val="0"/>
                <w:lang w:eastAsia="en-AU"/>
                <w14:ligatures w14:val="none"/>
              </w:rPr>
              <w:t>)</w:t>
            </w:r>
          </w:p>
        </w:tc>
        <w:tc>
          <w:tcPr>
            <w:tcW w:w="1014" w:type="pct"/>
            <w:tcBorders>
              <w:bottom w:val="single" w:sz="4" w:space="0" w:color="auto"/>
            </w:tcBorders>
          </w:tcPr>
          <w:p w14:paraId="07F6CCC9" w14:textId="77777777" w:rsidR="001D1CAF" w:rsidRDefault="001D1CAF" w:rsidP="001D1CAF">
            <w:pPr>
              <w:spacing w:line="276" w:lineRule="auto"/>
              <w:rPr>
                <w:rFonts w:ascii="Lato" w:hAnsi="Lato"/>
              </w:rPr>
            </w:pPr>
          </w:p>
          <w:p w14:paraId="221AEC66" w14:textId="77777777" w:rsidR="001D1CAF" w:rsidRDefault="001D1CAF" w:rsidP="001D1CAF">
            <w:pPr>
              <w:spacing w:line="276" w:lineRule="auto"/>
              <w:rPr>
                <w:rFonts w:ascii="Lato" w:hAnsi="Lato"/>
              </w:rPr>
            </w:pPr>
          </w:p>
          <w:p w14:paraId="7DEBD36D" w14:textId="77777777" w:rsidR="001D1CAF" w:rsidRDefault="001D1CAF" w:rsidP="001D1CAF">
            <w:pPr>
              <w:spacing w:line="276" w:lineRule="auto"/>
              <w:rPr>
                <w:rFonts w:ascii="Lato" w:hAnsi="Lato"/>
              </w:rPr>
            </w:pPr>
          </w:p>
          <w:p w14:paraId="5B1AFCA6" w14:textId="77777777" w:rsidR="001D1CAF" w:rsidRDefault="001D1CAF" w:rsidP="001D1CAF">
            <w:pPr>
              <w:spacing w:line="276" w:lineRule="auto"/>
              <w:rPr>
                <w:rFonts w:ascii="Lato" w:hAnsi="Lato"/>
              </w:rPr>
            </w:pPr>
          </w:p>
          <w:p w14:paraId="06205E70" w14:textId="355B567B" w:rsidR="001D1CAF" w:rsidRPr="0073446F" w:rsidRDefault="001D1CAF" w:rsidP="001D1CAF">
            <w:pPr>
              <w:spacing w:line="276" w:lineRule="auto"/>
              <w:rPr>
                <w:rFonts w:ascii="Lato" w:hAnsi="Lato"/>
              </w:rPr>
            </w:pPr>
            <w:r>
              <w:rPr>
                <w:rFonts w:ascii="Lato" w:hAnsi="Lato"/>
              </w:rPr>
              <w:t>5</w:t>
            </w:r>
            <w:r w:rsidRPr="0073446F">
              <w:rPr>
                <w:rFonts w:ascii="Lato" w:hAnsi="Lato"/>
              </w:rPr>
              <w:t>: $250,000</w:t>
            </w:r>
          </w:p>
        </w:tc>
        <w:tc>
          <w:tcPr>
            <w:tcW w:w="634" w:type="pct"/>
            <w:tcBorders>
              <w:bottom w:val="single" w:sz="4" w:space="0" w:color="auto"/>
            </w:tcBorders>
          </w:tcPr>
          <w:p w14:paraId="0C116EEC" w14:textId="77777777" w:rsidR="001D1CAF" w:rsidRDefault="001D1CAF" w:rsidP="001D1CAF">
            <w:pPr>
              <w:spacing w:line="276" w:lineRule="auto"/>
              <w:rPr>
                <w:rFonts w:ascii="Lato" w:hAnsi="Lato"/>
              </w:rPr>
            </w:pPr>
          </w:p>
          <w:p w14:paraId="13D91D18" w14:textId="77777777" w:rsidR="001D1CAF" w:rsidRDefault="001D1CAF" w:rsidP="001D1CAF">
            <w:pPr>
              <w:spacing w:line="276" w:lineRule="auto"/>
              <w:rPr>
                <w:rFonts w:ascii="Lato" w:hAnsi="Lato"/>
              </w:rPr>
            </w:pPr>
          </w:p>
          <w:p w14:paraId="0B3DCE88" w14:textId="77777777" w:rsidR="001D1CAF" w:rsidRDefault="001D1CAF" w:rsidP="001D1CAF">
            <w:pPr>
              <w:spacing w:line="276" w:lineRule="auto"/>
              <w:rPr>
                <w:rFonts w:ascii="Lato" w:hAnsi="Lato"/>
              </w:rPr>
            </w:pPr>
          </w:p>
          <w:p w14:paraId="22D3A8C2" w14:textId="5D28DC58" w:rsidR="001D1CAF" w:rsidRPr="0073446F" w:rsidRDefault="001D1CAF" w:rsidP="001D1CAF">
            <w:pPr>
              <w:spacing w:line="276" w:lineRule="auto"/>
              <w:rPr>
                <w:rFonts w:ascii="Lato" w:hAnsi="Lato"/>
              </w:rPr>
            </w:pPr>
            <w:r w:rsidRPr="0073446F">
              <w:rPr>
                <w:rFonts w:ascii="Lato" w:hAnsi="Lato"/>
              </w:rPr>
              <w:t>31 December 2028</w:t>
            </w:r>
          </w:p>
        </w:tc>
      </w:tr>
      <w:tr w:rsidR="001D1CAF" w:rsidRPr="00FA4163" w14:paraId="7CBB8349" w14:textId="77777777" w:rsidTr="00B24B6C">
        <w:trPr>
          <w:trHeight w:val="395"/>
        </w:trPr>
        <w:tc>
          <w:tcPr>
            <w:tcW w:w="1320" w:type="pct"/>
            <w:tcBorders>
              <w:bottom w:val="single" w:sz="4" w:space="0" w:color="auto"/>
            </w:tcBorders>
          </w:tcPr>
          <w:p w14:paraId="1F424B23" w14:textId="307B4774" w:rsidR="001D1CAF" w:rsidRPr="0073446F" w:rsidRDefault="001D1CAF" w:rsidP="00B24B6C">
            <w:pPr>
              <w:pStyle w:val="Bullet"/>
              <w:numPr>
                <w:ilvl w:val="0"/>
                <w:numId w:val="0"/>
              </w:numPr>
              <w:ind w:left="520" w:hanging="520"/>
            </w:pPr>
          </w:p>
        </w:tc>
        <w:tc>
          <w:tcPr>
            <w:tcW w:w="2032" w:type="pct"/>
            <w:tcBorders>
              <w:bottom w:val="single" w:sz="4" w:space="0" w:color="auto"/>
            </w:tcBorders>
          </w:tcPr>
          <w:p w14:paraId="4D4934C9" w14:textId="652491E9" w:rsidR="001D1CAF" w:rsidRPr="0073446F" w:rsidRDefault="001D1CAF" w:rsidP="001D1CAF">
            <w:pPr>
              <w:spacing w:line="276" w:lineRule="auto"/>
              <w:rPr>
                <w:rFonts w:ascii="Lato" w:hAnsi="Lato"/>
              </w:rPr>
            </w:pPr>
            <w:r w:rsidRPr="003F7CAB">
              <w:rPr>
                <w:rFonts w:ascii="Lato" w:hAnsi="Lato"/>
                <w:b/>
                <w:bCs/>
              </w:rPr>
              <w:t>Total</w:t>
            </w:r>
          </w:p>
        </w:tc>
        <w:tc>
          <w:tcPr>
            <w:tcW w:w="1014" w:type="pct"/>
            <w:tcBorders>
              <w:bottom w:val="single" w:sz="4" w:space="0" w:color="auto"/>
            </w:tcBorders>
          </w:tcPr>
          <w:p w14:paraId="0C7AF045" w14:textId="4FF8BF4B" w:rsidR="001D1CAF" w:rsidRPr="0073446F" w:rsidRDefault="001D1CAF" w:rsidP="001D1CAF">
            <w:pPr>
              <w:spacing w:line="276" w:lineRule="auto"/>
              <w:rPr>
                <w:rFonts w:ascii="Lato" w:hAnsi="Lato"/>
              </w:rPr>
            </w:pPr>
            <w:r w:rsidRPr="003F7CAB">
              <w:rPr>
                <w:rFonts w:ascii="Lato" w:hAnsi="Lato"/>
                <w:b/>
                <w:bCs/>
              </w:rPr>
              <w:t>$</w:t>
            </w:r>
            <w:r>
              <w:rPr>
                <w:rFonts w:ascii="Lato" w:hAnsi="Lato"/>
                <w:b/>
                <w:bCs/>
              </w:rPr>
              <w:t>5,200,000</w:t>
            </w:r>
          </w:p>
        </w:tc>
        <w:tc>
          <w:tcPr>
            <w:tcW w:w="634" w:type="pct"/>
            <w:tcBorders>
              <w:bottom w:val="single" w:sz="4" w:space="0" w:color="auto"/>
            </w:tcBorders>
          </w:tcPr>
          <w:p w14:paraId="63603419" w14:textId="77777777" w:rsidR="001D1CAF" w:rsidRPr="0073446F" w:rsidRDefault="001D1CAF" w:rsidP="001D1CAF">
            <w:pPr>
              <w:spacing w:line="276" w:lineRule="auto"/>
              <w:rPr>
                <w:rFonts w:ascii="Lato" w:hAnsi="Lato"/>
              </w:rPr>
            </w:pPr>
          </w:p>
        </w:tc>
      </w:tr>
    </w:tbl>
    <w:p w14:paraId="361DADD1" w14:textId="60D15C8D" w:rsidR="009A5987" w:rsidRDefault="009A5987">
      <w:pPr>
        <w:sectPr w:rsidR="009A5987" w:rsidSect="00F47EC0">
          <w:pgSz w:w="16838" w:h="11906" w:orient="landscape"/>
          <w:pgMar w:top="1440" w:right="1440" w:bottom="1440" w:left="1440" w:header="708" w:footer="708" w:gutter="0"/>
          <w:cols w:space="708"/>
          <w:docGrid w:linePitch="360"/>
        </w:sectPr>
      </w:pPr>
    </w:p>
    <w:p w14:paraId="1F975CEE" w14:textId="7DEA796E" w:rsidR="009A5987" w:rsidRPr="00D56365" w:rsidRDefault="009A5987" w:rsidP="009A5987">
      <w:pPr>
        <w:ind w:left="-142"/>
        <w:rPr>
          <w:rFonts w:ascii="Corbel" w:hAnsi="Corbel"/>
          <w:lang w:val="en-GB"/>
        </w:rPr>
      </w:pPr>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0CD4E238" w14:textId="77777777" w:rsidR="009A5987" w:rsidRPr="00D56365" w:rsidRDefault="009A5987" w:rsidP="009A5987">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9A5987" w:rsidRPr="00D56365" w14:paraId="30FCC936" w14:textId="77777777">
        <w:trPr>
          <w:cantSplit/>
          <w:jc w:val="center"/>
        </w:trPr>
        <w:tc>
          <w:tcPr>
            <w:tcW w:w="4536" w:type="dxa"/>
          </w:tcPr>
          <w:p w14:paraId="5DF723F5" w14:textId="77777777" w:rsidR="009A5987" w:rsidRPr="00D56365" w:rsidRDefault="009A598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6D2B4EE2" w14:textId="77777777" w:rsidR="009A5987" w:rsidRPr="00D56365" w:rsidRDefault="009A5987">
            <w:pPr>
              <w:pStyle w:val="LineForSignature"/>
              <w:rPr>
                <w:rFonts w:ascii="Corbel" w:hAnsi="Corbel"/>
              </w:rPr>
            </w:pPr>
            <w:r w:rsidRPr="00D56365">
              <w:rPr>
                <w:rFonts w:ascii="Corbel" w:hAnsi="Corbel"/>
              </w:rPr>
              <w:br/>
            </w:r>
            <w:r w:rsidRPr="00D56365">
              <w:rPr>
                <w:rFonts w:ascii="Corbel" w:hAnsi="Corbel"/>
              </w:rPr>
              <w:tab/>
            </w:r>
          </w:p>
          <w:p w14:paraId="317E2EFC" w14:textId="77777777" w:rsidR="009A5987" w:rsidRPr="00D56365" w:rsidRDefault="009A5987">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50DD4F30" w14:textId="77777777" w:rsidR="009A5987" w:rsidRPr="00D56365" w:rsidRDefault="009A5987">
            <w:pPr>
              <w:pStyle w:val="Position"/>
              <w:rPr>
                <w:lang w:val="en-GB"/>
              </w:rPr>
            </w:pPr>
            <w:r w:rsidRPr="00D56365">
              <w:rPr>
                <w:lang w:val="en-GB"/>
              </w:rPr>
              <w:t xml:space="preserve">Minister for </w:t>
            </w:r>
            <w:r>
              <w:rPr>
                <w:lang w:val="en-GB"/>
              </w:rPr>
              <w:t>Skills and Training</w:t>
            </w:r>
          </w:p>
          <w:p w14:paraId="5533D5E1" w14:textId="0F4F9EC4" w:rsidR="009A5987" w:rsidRPr="00D56365" w:rsidRDefault="009A5987">
            <w:pPr>
              <w:pStyle w:val="SingleParagraph"/>
              <w:tabs>
                <w:tab w:val="num" w:pos="1134"/>
              </w:tabs>
              <w:spacing w:after="240"/>
              <w:rPr>
                <w:b/>
                <w:lang w:val="en-GB"/>
              </w:rPr>
            </w:pPr>
            <w:r>
              <w:rPr>
                <w:lang w:val="en-GB"/>
              </w:rPr>
              <w:t xml:space="preserve">      /      </w:t>
            </w:r>
            <w:proofErr w:type="gramStart"/>
            <w:r>
              <w:rPr>
                <w:lang w:val="en-GB"/>
              </w:rPr>
              <w:t>/  202</w:t>
            </w:r>
            <w:r w:rsidR="00073325">
              <w:rPr>
                <w:lang w:val="en-GB"/>
              </w:rPr>
              <w:t>5</w:t>
            </w:r>
            <w:proofErr w:type="gramEnd"/>
          </w:p>
        </w:tc>
        <w:tc>
          <w:tcPr>
            <w:tcW w:w="283" w:type="dxa"/>
          </w:tcPr>
          <w:p w14:paraId="40A0F2BA" w14:textId="77777777" w:rsidR="009A5987" w:rsidRPr="00D56365" w:rsidRDefault="009A5987">
            <w:pPr>
              <w:pStyle w:val="Signed"/>
              <w:rPr>
                <w:rStyle w:val="SignedBold"/>
                <w:rFonts w:ascii="Corbel" w:hAnsi="Corbel"/>
                <w:b w:val="0"/>
                <w:bCs w:val="0"/>
              </w:rPr>
            </w:pPr>
          </w:p>
        </w:tc>
        <w:tc>
          <w:tcPr>
            <w:tcW w:w="4536" w:type="dxa"/>
          </w:tcPr>
          <w:p w14:paraId="798CA92D" w14:textId="7B5B3C36" w:rsidR="009A5987" w:rsidRPr="00D56365" w:rsidRDefault="009A598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r>
            <w:r w:rsidR="00E73651">
              <w:rPr>
                <w:rFonts w:ascii="Corbel" w:hAnsi="Corbel"/>
              </w:rPr>
              <w:t>Northern Territory</w:t>
            </w:r>
            <w:r w:rsidRPr="00D56365">
              <w:rPr>
                <w:rFonts w:ascii="Corbel" w:hAnsi="Corbel"/>
              </w:rPr>
              <w:t xml:space="preserve"> by</w:t>
            </w:r>
            <w:r>
              <w:rPr>
                <w:rFonts w:ascii="Corbel" w:hAnsi="Corbel"/>
              </w:rPr>
              <w:t xml:space="preserve"> </w:t>
            </w:r>
          </w:p>
          <w:p w14:paraId="24431ADC" w14:textId="77777777" w:rsidR="009A5987" w:rsidRPr="00D56365" w:rsidRDefault="009A5987">
            <w:pPr>
              <w:pStyle w:val="LineForSignature"/>
              <w:rPr>
                <w:rFonts w:ascii="Corbel" w:hAnsi="Corbel"/>
              </w:rPr>
            </w:pPr>
            <w:r w:rsidRPr="00D56365">
              <w:rPr>
                <w:rFonts w:ascii="Corbel" w:hAnsi="Corbel"/>
              </w:rPr>
              <w:br/>
            </w:r>
            <w:r w:rsidRPr="00D56365">
              <w:rPr>
                <w:rFonts w:ascii="Corbel" w:hAnsi="Corbel"/>
              </w:rPr>
              <w:tab/>
            </w:r>
          </w:p>
          <w:p w14:paraId="3D6A38F9" w14:textId="579DA456" w:rsidR="009A5987" w:rsidRPr="00D56365" w:rsidRDefault="009A5987">
            <w:pPr>
              <w:pStyle w:val="SingleParagraph"/>
              <w:rPr>
                <w:rStyle w:val="Bold"/>
              </w:rPr>
            </w:pPr>
            <w:r w:rsidRPr="00D56365">
              <w:rPr>
                <w:rStyle w:val="Bold"/>
              </w:rPr>
              <w:t xml:space="preserve">The Honourable </w:t>
            </w:r>
            <w:r w:rsidR="00E73651">
              <w:rPr>
                <w:rStyle w:val="Bold"/>
              </w:rPr>
              <w:t>Jo Hersey MLA</w:t>
            </w:r>
          </w:p>
          <w:p w14:paraId="2F187423" w14:textId="1576D305" w:rsidR="009A5987" w:rsidRPr="00D56365" w:rsidRDefault="009A5987">
            <w:pPr>
              <w:pStyle w:val="Position"/>
              <w:rPr>
                <w:lang w:val="en-GB"/>
              </w:rPr>
            </w:pPr>
            <w:r w:rsidRPr="00D56365">
              <w:rPr>
                <w:lang w:val="en-GB"/>
              </w:rPr>
              <w:t xml:space="preserve">Minister for </w:t>
            </w:r>
            <w:r w:rsidR="00E73651">
              <w:rPr>
                <w:lang w:val="en-GB"/>
              </w:rPr>
              <w:t>Education and Training</w:t>
            </w:r>
            <w:r w:rsidRPr="00D56365">
              <w:rPr>
                <w:lang w:val="en-GB"/>
              </w:rPr>
              <w:t xml:space="preserve"> </w:t>
            </w:r>
          </w:p>
          <w:p w14:paraId="582C27B9" w14:textId="678C59A6" w:rsidR="009A5987" w:rsidRPr="00396903" w:rsidRDefault="009A5987">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073325">
              <w:rPr>
                <w:rFonts w:ascii="Corbel" w:hAnsi="Corbel"/>
                <w:lang w:val="en-GB"/>
              </w:rPr>
              <w:t>5</w:t>
            </w:r>
            <w:proofErr w:type="gramEnd"/>
          </w:p>
        </w:tc>
      </w:tr>
    </w:tbl>
    <w:p w14:paraId="6CBFF0C2" w14:textId="77777777" w:rsidR="009A5987" w:rsidRDefault="009A5987" w:rsidP="009A5987">
      <w:pPr>
        <w:rPr>
          <w:rFonts w:ascii="Corbel" w:hAnsi="Corbel"/>
          <w:b/>
          <w:bCs/>
        </w:rPr>
      </w:pPr>
    </w:p>
    <w:p w14:paraId="2890AAD0" w14:textId="4A02F71F" w:rsidR="00F75C73" w:rsidRPr="004022D6" w:rsidRDefault="00F75C73" w:rsidP="007929C1">
      <w:pPr>
        <w:rPr>
          <w:rFonts w:ascii="Corbel" w:hAnsi="Corbel"/>
          <w:b/>
          <w:bCs/>
        </w:rPr>
      </w:pPr>
    </w:p>
    <w:sectPr w:rsidR="00F75C73" w:rsidRPr="004022D6" w:rsidSect="00CB4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45D5" w14:textId="77777777" w:rsidR="00C92D83" w:rsidRDefault="00C92D83">
      <w:pPr>
        <w:spacing w:after="0" w:line="240" w:lineRule="auto"/>
      </w:pPr>
      <w:r>
        <w:separator/>
      </w:r>
    </w:p>
  </w:endnote>
  <w:endnote w:type="continuationSeparator" w:id="0">
    <w:p w14:paraId="6C23D900" w14:textId="77777777" w:rsidR="00C92D83" w:rsidRDefault="00C92D83">
      <w:pPr>
        <w:spacing w:after="0" w:line="240" w:lineRule="auto"/>
      </w:pPr>
      <w:r>
        <w:continuationSeparator/>
      </w:r>
    </w:p>
  </w:endnote>
  <w:endnote w:type="continuationNotice" w:id="1">
    <w:p w14:paraId="217E90C8" w14:textId="77777777" w:rsidR="00C92D83" w:rsidRDefault="00C92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B43B" w14:textId="42F2DC64" w:rsidR="0046423D" w:rsidRDefault="007B6CD9">
    <w:pPr>
      <w:pStyle w:val="Footer"/>
    </w:pPr>
    <w:r>
      <w:rPr>
        <w:noProof/>
        <w14:ligatures w14:val="none"/>
      </w:rPr>
      <mc:AlternateContent>
        <mc:Choice Requires="wps">
          <w:drawing>
            <wp:anchor distT="0" distB="0" distL="0" distR="0" simplePos="0" relativeHeight="251658247" behindDoc="0" locked="0" layoutInCell="1" allowOverlap="1" wp14:anchorId="79FDBB45" wp14:editId="288A89C8">
              <wp:simplePos x="635" y="635"/>
              <wp:positionH relativeFrom="page">
                <wp:align>center</wp:align>
              </wp:positionH>
              <wp:positionV relativeFrom="page">
                <wp:align>bottom</wp:align>
              </wp:positionV>
              <wp:extent cx="551815" cy="391160"/>
              <wp:effectExtent l="0" t="0" r="635" b="0"/>
              <wp:wrapNone/>
              <wp:docPr id="160094977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32B1D9" w14:textId="55DD8B87"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DBB45" id="_x0000_t202" coordsize="21600,21600" o:spt="202" path="m,l,21600r21600,l21600,xe">
              <v:stroke joinstyle="miter"/>
              <v:path gradientshapeok="t" o:connecttype="rect"/>
            </v:shapetype>
            <v:shape id="Text Box 8" o:spid="_x0000_s1028"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A32B1D9" w14:textId="55DD8B87"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C498" w14:textId="69FE2396" w:rsidR="0046423D" w:rsidRDefault="00000000">
    <w:pPr>
      <w:pStyle w:val="Footer"/>
      <w:pBdr>
        <w:top w:val="single" w:sz="4" w:space="1" w:color="D9D9D9" w:themeColor="background1" w:themeShade="D9"/>
      </w:pBdr>
      <w:jc w:val="right"/>
    </w:pPr>
    <w:sdt>
      <w:sdtPr>
        <w:id w:val="-1777396302"/>
        <w:docPartObj>
          <w:docPartGallery w:val="Page Numbers (Bottom of Page)"/>
          <w:docPartUnique/>
        </w:docPartObj>
      </w:sdtPr>
      <w:sdtEndPr>
        <w:rPr>
          <w:color w:val="7F7F7F" w:themeColor="background1" w:themeShade="7F"/>
          <w:spacing w:val="60"/>
        </w:rPr>
      </w:sdtEndPr>
      <w:sdtContent>
        <w:r w:rsidR="0046423D">
          <w:fldChar w:fldCharType="begin"/>
        </w:r>
        <w:r w:rsidR="0046423D">
          <w:instrText xml:space="preserve"> PAGE   \* MERGEFORMAT </w:instrText>
        </w:r>
        <w:r w:rsidR="0046423D">
          <w:fldChar w:fldCharType="separate"/>
        </w:r>
        <w:r w:rsidR="0046423D">
          <w:rPr>
            <w:noProof/>
          </w:rPr>
          <w:t>2</w:t>
        </w:r>
        <w:r w:rsidR="0046423D">
          <w:rPr>
            <w:noProof/>
          </w:rPr>
          <w:fldChar w:fldCharType="end"/>
        </w:r>
        <w:r w:rsidR="0046423D">
          <w:t xml:space="preserve"> | </w:t>
        </w:r>
        <w:r w:rsidR="0046423D">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33B8" w14:textId="214B5B6E" w:rsidR="0046423D" w:rsidRDefault="007B6CD9">
    <w:pPr>
      <w:pStyle w:val="Footer"/>
    </w:pPr>
    <w:r>
      <w:rPr>
        <w:noProof/>
        <w14:ligatures w14:val="none"/>
      </w:rPr>
      <mc:AlternateContent>
        <mc:Choice Requires="wps">
          <w:drawing>
            <wp:anchor distT="0" distB="0" distL="0" distR="0" simplePos="0" relativeHeight="251658246" behindDoc="0" locked="0" layoutInCell="1" allowOverlap="1" wp14:anchorId="62FF598F" wp14:editId="3489157D">
              <wp:simplePos x="635" y="635"/>
              <wp:positionH relativeFrom="page">
                <wp:align>center</wp:align>
              </wp:positionH>
              <wp:positionV relativeFrom="page">
                <wp:align>bottom</wp:align>
              </wp:positionV>
              <wp:extent cx="551815" cy="391160"/>
              <wp:effectExtent l="0" t="0" r="635" b="0"/>
              <wp:wrapNone/>
              <wp:docPr id="6803810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76FF3B" w14:textId="0E2A5D44"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F598F" id="_x0000_t202" coordsize="21600,21600" o:spt="202" path="m,l,21600r21600,l21600,xe">
              <v:stroke joinstyle="miter"/>
              <v:path gradientshapeok="t" o:connecttype="rect"/>
            </v:shapetype>
            <v:shape id="Text Box 7" o:spid="_x0000_s1031"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3676FF3B" w14:textId="0E2A5D44"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4D18" w14:textId="7CE01F99" w:rsidR="007B6CD9" w:rsidRDefault="007B6CD9">
    <w:pPr>
      <w:pStyle w:val="Footer"/>
    </w:pPr>
    <w:r>
      <w:rPr>
        <w:noProof/>
        <w14:ligatures w14:val="none"/>
      </w:rPr>
      <mc:AlternateContent>
        <mc:Choice Requires="wps">
          <w:drawing>
            <wp:anchor distT="0" distB="0" distL="0" distR="0" simplePos="0" relativeHeight="251658250" behindDoc="0" locked="0" layoutInCell="1" allowOverlap="1" wp14:anchorId="3D29191C" wp14:editId="756FDAE7">
              <wp:simplePos x="635" y="635"/>
              <wp:positionH relativeFrom="page">
                <wp:align>center</wp:align>
              </wp:positionH>
              <wp:positionV relativeFrom="page">
                <wp:align>bottom</wp:align>
              </wp:positionV>
              <wp:extent cx="551815" cy="391160"/>
              <wp:effectExtent l="0" t="0" r="635" b="0"/>
              <wp:wrapNone/>
              <wp:docPr id="6748890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D6A17E" w14:textId="4BFE3936"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9191C" id="_x0000_t202" coordsize="21600,21600" o:spt="202" path="m,l,21600r21600,l21600,xe">
              <v:stroke joinstyle="miter"/>
              <v:path gradientshapeok="t" o:connecttype="rect"/>
            </v:shapetype>
            <v:shape id="Text Box 11" o:spid="_x0000_s1033"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33D6A17E" w14:textId="4BFE3936"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4E28" w14:textId="7C36FFC3" w:rsidR="007357B4" w:rsidRDefault="007B6CD9">
    <w:pPr>
      <w:pStyle w:val="Footer"/>
      <w:jc w:val="center"/>
    </w:pPr>
    <w:r>
      <w:rPr>
        <w:noProof/>
        <w14:ligatures w14:val="none"/>
      </w:rPr>
      <mc:AlternateContent>
        <mc:Choice Requires="wps">
          <w:drawing>
            <wp:anchor distT="0" distB="0" distL="0" distR="0" simplePos="0" relativeHeight="251658251" behindDoc="0" locked="0" layoutInCell="1" allowOverlap="1" wp14:anchorId="64FEE1F6" wp14:editId="18220CDD">
              <wp:simplePos x="915035" y="9902190"/>
              <wp:positionH relativeFrom="page">
                <wp:align>center</wp:align>
              </wp:positionH>
              <wp:positionV relativeFrom="page">
                <wp:align>bottom</wp:align>
              </wp:positionV>
              <wp:extent cx="551815" cy="391160"/>
              <wp:effectExtent l="0" t="0" r="635" b="0"/>
              <wp:wrapNone/>
              <wp:docPr id="3617006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3AB39E" w14:textId="3FED5F7B" w:rsidR="007B6CD9" w:rsidRPr="007B6CD9" w:rsidRDefault="007B6CD9" w:rsidP="007B6CD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EE1F6" id="_x0000_t202" coordsize="21600,21600" o:spt="202" path="m,l,21600r21600,l21600,xe">
              <v:stroke joinstyle="miter"/>
              <v:path gradientshapeok="t" o:connecttype="rect"/>
            </v:shapetype>
            <v:shape id="Text Box 12" o:spid="_x0000_s1034" type="#_x0000_t202" alt="OFFICIAL" style="position:absolute;left:0;text-align:left;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2D3AB39E" w14:textId="3FED5F7B" w:rsidR="007B6CD9" w:rsidRPr="007B6CD9" w:rsidRDefault="007B6CD9" w:rsidP="007B6CD9">
                    <w:pPr>
                      <w:spacing w:after="0"/>
                      <w:rPr>
                        <w:rFonts w:ascii="Calibri" w:eastAsia="Calibri" w:hAnsi="Calibri" w:cs="Calibri"/>
                        <w:noProof/>
                        <w:color w:val="FF0000"/>
                        <w:sz w:val="24"/>
                        <w:szCs w:val="24"/>
                      </w:rPr>
                    </w:pPr>
                  </w:p>
                </w:txbxContent>
              </v:textbox>
              <w10:wrap anchorx="page" anchory="page"/>
            </v:shape>
          </w:pict>
        </mc:Fallback>
      </mc:AlternateContent>
    </w:r>
    <w:sdt>
      <w:sdtPr>
        <w:id w:val="989989012"/>
        <w:docPartObj>
          <w:docPartGallery w:val="Page Numbers (Bottom of Page)"/>
          <w:docPartUnique/>
        </w:docPartObj>
      </w:sdtPr>
      <w:sdtEndPr>
        <w:rPr>
          <w:noProof/>
        </w:rPr>
      </w:sdtEndPr>
      <w:sdtContent>
        <w:r w:rsidR="00FA5E66">
          <w:fldChar w:fldCharType="begin"/>
        </w:r>
        <w:r w:rsidR="00FA5E66">
          <w:instrText xml:space="preserve"> PAGE   \* MERGEFORMAT </w:instrText>
        </w:r>
        <w:r w:rsidR="00FA5E66">
          <w:fldChar w:fldCharType="separate"/>
        </w:r>
        <w:r w:rsidR="00FA5E66">
          <w:rPr>
            <w:noProof/>
          </w:rPr>
          <w:t>1</w:t>
        </w:r>
        <w:r w:rsidR="00FA5E66">
          <w:rPr>
            <w:noProof/>
          </w:rPr>
          <w:fldChar w:fldCharType="end"/>
        </w:r>
      </w:sdtContent>
    </w:sdt>
  </w:p>
  <w:p w14:paraId="63CC242E" w14:textId="77777777" w:rsidR="007357B4" w:rsidRDefault="007357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143D" w14:textId="608FD1E1" w:rsidR="007B6CD9" w:rsidRDefault="007B6CD9">
    <w:pPr>
      <w:pStyle w:val="Footer"/>
    </w:pPr>
    <w:r>
      <w:rPr>
        <w:noProof/>
        <w14:ligatures w14:val="none"/>
      </w:rPr>
      <mc:AlternateContent>
        <mc:Choice Requires="wps">
          <w:drawing>
            <wp:anchor distT="0" distB="0" distL="0" distR="0" simplePos="0" relativeHeight="251658249" behindDoc="0" locked="0" layoutInCell="1" allowOverlap="1" wp14:anchorId="08738447" wp14:editId="5B4E3848">
              <wp:simplePos x="635" y="635"/>
              <wp:positionH relativeFrom="page">
                <wp:align>center</wp:align>
              </wp:positionH>
              <wp:positionV relativeFrom="page">
                <wp:align>bottom</wp:align>
              </wp:positionV>
              <wp:extent cx="551815" cy="391160"/>
              <wp:effectExtent l="0" t="0" r="635" b="0"/>
              <wp:wrapNone/>
              <wp:docPr id="117314445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9F623E6" w14:textId="72CC2191"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38447" id="_x0000_t202" coordsize="21600,21600" o:spt="202" path="m,l,21600r21600,l21600,xe">
              <v:stroke joinstyle="miter"/>
              <v:path gradientshapeok="t" o:connecttype="rect"/>
            </v:shapetype>
            <v:shape id="Text Box 10" o:spid="_x0000_s1036" type="#_x0000_t202" alt="OFFICIAL" style="position:absolute;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10DQ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H1qHF0bqA+0FcKRcO/ksqXeK+HDi0BimBYh&#10;1YZnOrSBvuJwsjhrAH/+yx/zCXiKctaTYipuSdKcme+WCIniGg0cjU0yitt8mlPc7roHIB0W9CSc&#10;TCZ5MZjR1AjdG+l5ERtRSFhJ7Sq+Gc2HcJQuvQepFouURDpyIqzs2slYOuIVwXwd3gS6E+KBqHqC&#10;UU6ifAf8MTfe9G6xCwR/YuUC5Aly0mAi6/Reosh//09Zl1c9/wU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FfWrXQNAgAAHQQA&#10;AA4AAAAAAAAAAAAAAAAALgIAAGRycy9lMm9Eb2MueG1sUEsBAi0AFAAGAAgAAAAhAMujjhDaAAAA&#10;AwEAAA8AAAAAAAAAAAAAAAAAZwQAAGRycy9kb3ducmV2LnhtbFBLBQYAAAAABAAEAPMAAABuBQAA&#10;AAA=&#10;" filled="f" stroked="f">
              <v:textbox style="mso-fit-shape-to-text:t" inset="0,0,0,15pt">
                <w:txbxContent>
                  <w:p w14:paraId="79F623E6" w14:textId="72CC2191"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3820" w14:textId="77777777" w:rsidR="00C92D83" w:rsidRDefault="00C92D83">
      <w:pPr>
        <w:spacing w:after="0" w:line="240" w:lineRule="auto"/>
      </w:pPr>
      <w:r>
        <w:separator/>
      </w:r>
    </w:p>
  </w:footnote>
  <w:footnote w:type="continuationSeparator" w:id="0">
    <w:p w14:paraId="70F68476" w14:textId="77777777" w:rsidR="00C92D83" w:rsidRDefault="00C92D83">
      <w:pPr>
        <w:spacing w:after="0" w:line="240" w:lineRule="auto"/>
      </w:pPr>
      <w:r>
        <w:continuationSeparator/>
      </w:r>
    </w:p>
  </w:footnote>
  <w:footnote w:type="continuationNotice" w:id="1">
    <w:p w14:paraId="309556D6" w14:textId="77777777" w:rsidR="00C92D83" w:rsidRDefault="00C92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055C" w14:textId="52CCD907" w:rsidR="0046423D" w:rsidRDefault="007B6CD9">
    <w:pPr>
      <w:pStyle w:val="Header"/>
    </w:pPr>
    <w:r>
      <w:rPr>
        <w:noProof/>
        <w14:ligatures w14:val="none"/>
      </w:rPr>
      <mc:AlternateContent>
        <mc:Choice Requires="wps">
          <w:drawing>
            <wp:anchor distT="0" distB="0" distL="0" distR="0" simplePos="0" relativeHeight="251658241" behindDoc="0" locked="0" layoutInCell="1" allowOverlap="1" wp14:anchorId="17AEC0EE" wp14:editId="43F6DE73">
              <wp:simplePos x="635" y="635"/>
              <wp:positionH relativeFrom="page">
                <wp:align>center</wp:align>
              </wp:positionH>
              <wp:positionV relativeFrom="page">
                <wp:align>top</wp:align>
              </wp:positionV>
              <wp:extent cx="551815" cy="391160"/>
              <wp:effectExtent l="0" t="0" r="635" b="8890"/>
              <wp:wrapNone/>
              <wp:docPr id="14306392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D5A2BB" w14:textId="4CD0A385"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EC0EE"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6D5A2BB" w14:textId="4CD0A385"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B6C3" w14:textId="6BF85D69" w:rsidR="0046423D" w:rsidRDefault="007B6CD9">
    <w:pPr>
      <w:pStyle w:val="Header"/>
    </w:pPr>
    <w:r>
      <w:rPr>
        <w:noProof/>
        <w14:ligatures w14:val="none"/>
      </w:rPr>
      <mc:AlternateContent>
        <mc:Choice Requires="wps">
          <w:drawing>
            <wp:anchor distT="0" distB="0" distL="0" distR="0" simplePos="0" relativeHeight="251658240" behindDoc="0" locked="0" layoutInCell="1" allowOverlap="1" wp14:anchorId="32246E32" wp14:editId="55937D33">
              <wp:simplePos x="635" y="635"/>
              <wp:positionH relativeFrom="page">
                <wp:align>center</wp:align>
              </wp:positionH>
              <wp:positionV relativeFrom="page">
                <wp:align>top</wp:align>
              </wp:positionV>
              <wp:extent cx="551815" cy="391160"/>
              <wp:effectExtent l="0" t="0" r="635" b="8890"/>
              <wp:wrapNone/>
              <wp:docPr id="5894516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62E447" w14:textId="4EDC6377"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46E32"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4A62E447" w14:textId="4EDC6377"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9C1C" w14:textId="517DA15C" w:rsidR="007B6CD9" w:rsidRDefault="007B6CD9">
    <w:pPr>
      <w:pStyle w:val="Header"/>
    </w:pPr>
    <w:r>
      <w:rPr>
        <w:noProof/>
        <w14:ligatures w14:val="none"/>
      </w:rPr>
      <mc:AlternateContent>
        <mc:Choice Requires="wps">
          <w:drawing>
            <wp:anchor distT="0" distB="0" distL="0" distR="0" simplePos="0" relativeHeight="251658244" behindDoc="0" locked="0" layoutInCell="1" allowOverlap="1" wp14:anchorId="5BA42F2C" wp14:editId="43464F8A">
              <wp:simplePos x="635" y="635"/>
              <wp:positionH relativeFrom="page">
                <wp:align>center</wp:align>
              </wp:positionH>
              <wp:positionV relativeFrom="page">
                <wp:align>top</wp:align>
              </wp:positionV>
              <wp:extent cx="551815" cy="391160"/>
              <wp:effectExtent l="0" t="0" r="635" b="8890"/>
              <wp:wrapNone/>
              <wp:docPr id="183984901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218D43" w14:textId="133504D5"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42F2C" id="_x0000_t202" coordsize="21600,21600" o:spt="202" path="m,l,21600r21600,l21600,xe">
              <v:stroke joinstyle="miter"/>
              <v:path gradientshapeok="t" o:connecttype="rect"/>
            </v:shapetype>
            <v:shape id="Text Box 5" o:spid="_x0000_s1032"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25218D43" w14:textId="133504D5"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1FE2" w14:textId="50BF8FFD" w:rsidR="007357B4" w:rsidRPr="00F41B61" w:rsidRDefault="007357B4">
    <w:pPr>
      <w:pStyle w:val="Header"/>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0781" w14:textId="473A583B" w:rsidR="007B6CD9" w:rsidRDefault="007B6CD9">
    <w:pPr>
      <w:pStyle w:val="Header"/>
    </w:pPr>
    <w:r>
      <w:rPr>
        <w:noProof/>
        <w14:ligatures w14:val="none"/>
      </w:rPr>
      <mc:AlternateContent>
        <mc:Choice Requires="wps">
          <w:drawing>
            <wp:anchor distT="0" distB="0" distL="0" distR="0" simplePos="0" relativeHeight="251658243" behindDoc="0" locked="0" layoutInCell="1" allowOverlap="1" wp14:anchorId="2457A587" wp14:editId="5DCDC83D">
              <wp:simplePos x="635" y="635"/>
              <wp:positionH relativeFrom="page">
                <wp:align>center</wp:align>
              </wp:positionH>
              <wp:positionV relativeFrom="page">
                <wp:align>top</wp:align>
              </wp:positionV>
              <wp:extent cx="551815" cy="391160"/>
              <wp:effectExtent l="0" t="0" r="635" b="8890"/>
              <wp:wrapNone/>
              <wp:docPr id="12350811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EC8FD5" w14:textId="21569A66"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7A587" id="_x0000_t202" coordsize="21600,21600" o:spt="202" path="m,l,21600r21600,l21600,xe">
              <v:stroke joinstyle="miter"/>
              <v:path gradientshapeok="t" o:connecttype="rect"/>
            </v:shapetype>
            <v:shape id="Text Box 4" o:spid="_x0000_s1035"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textbox style="mso-fit-shape-to-text:t" inset="0,15pt,0,0">
                <w:txbxContent>
                  <w:p w14:paraId="2FEC8FD5" w14:textId="21569A66" w:rsidR="007B6CD9" w:rsidRPr="007B6CD9" w:rsidRDefault="007B6CD9" w:rsidP="007B6CD9">
                    <w:pPr>
                      <w:spacing w:after="0"/>
                      <w:rPr>
                        <w:rFonts w:ascii="Calibri" w:eastAsia="Calibri" w:hAnsi="Calibri" w:cs="Calibri"/>
                        <w:noProof/>
                        <w:color w:val="FF0000"/>
                        <w:sz w:val="24"/>
                        <w:szCs w:val="24"/>
                      </w:rPr>
                    </w:pPr>
                    <w:r w:rsidRPr="007B6CD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ED4"/>
    <w:multiLevelType w:val="multilevel"/>
    <w:tmpl w:val="4318587A"/>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MS Mincho"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C2A5D"/>
    <w:multiLevelType w:val="multilevel"/>
    <w:tmpl w:val="B756F21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3C37B43"/>
    <w:multiLevelType w:val="hybridMultilevel"/>
    <w:tmpl w:val="FAF4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872D22"/>
    <w:multiLevelType w:val="hybridMultilevel"/>
    <w:tmpl w:val="1E66A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46CFC"/>
    <w:multiLevelType w:val="hybridMultilevel"/>
    <w:tmpl w:val="885A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213B8"/>
    <w:multiLevelType w:val="hybridMultilevel"/>
    <w:tmpl w:val="653AB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EC24A7"/>
    <w:multiLevelType w:val="hybridMultilevel"/>
    <w:tmpl w:val="9C469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EE6561"/>
    <w:multiLevelType w:val="multilevel"/>
    <w:tmpl w:val="09D4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3F0757"/>
    <w:multiLevelType w:val="hybridMultilevel"/>
    <w:tmpl w:val="F37EE182"/>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3" w15:restartNumberingAfterBreak="0">
    <w:nsid w:val="4A211B65"/>
    <w:multiLevelType w:val="multilevel"/>
    <w:tmpl w:val="3FB2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E5C70"/>
    <w:multiLevelType w:val="multilevel"/>
    <w:tmpl w:val="10168D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E3151"/>
    <w:multiLevelType w:val="multilevel"/>
    <w:tmpl w:val="58AC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F5B3C"/>
    <w:multiLevelType w:val="hybridMultilevel"/>
    <w:tmpl w:val="87DCA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3E73C2"/>
    <w:multiLevelType w:val="multilevel"/>
    <w:tmpl w:val="920E871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840DFD"/>
    <w:multiLevelType w:val="hybridMultilevel"/>
    <w:tmpl w:val="8FBCB56E"/>
    <w:lvl w:ilvl="0" w:tplc="CC7A101E">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E8400A"/>
    <w:multiLevelType w:val="multilevel"/>
    <w:tmpl w:val="26C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D671D6"/>
    <w:multiLevelType w:val="multilevel"/>
    <w:tmpl w:val="29D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571C7"/>
    <w:multiLevelType w:val="hybridMultilevel"/>
    <w:tmpl w:val="7076F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1777077">
    <w:abstractNumId w:val="4"/>
  </w:num>
  <w:num w:numId="2" w16cid:durableId="747993307">
    <w:abstractNumId w:val="12"/>
  </w:num>
  <w:num w:numId="3" w16cid:durableId="1495996557">
    <w:abstractNumId w:val="3"/>
  </w:num>
  <w:num w:numId="4" w16cid:durableId="1195381823">
    <w:abstractNumId w:val="11"/>
  </w:num>
  <w:num w:numId="5" w16cid:durableId="57293210">
    <w:abstractNumId w:val="10"/>
  </w:num>
  <w:num w:numId="6" w16cid:durableId="190145067">
    <w:abstractNumId w:val="20"/>
  </w:num>
  <w:num w:numId="7" w16cid:durableId="716584146">
    <w:abstractNumId w:val="6"/>
  </w:num>
  <w:num w:numId="8" w16cid:durableId="626401442">
    <w:abstractNumId w:val="8"/>
  </w:num>
  <w:num w:numId="9" w16cid:durableId="1479765101">
    <w:abstractNumId w:val="22"/>
  </w:num>
  <w:num w:numId="10" w16cid:durableId="1066295929">
    <w:abstractNumId w:val="2"/>
  </w:num>
  <w:num w:numId="11" w16cid:durableId="1205288887">
    <w:abstractNumId w:val="0"/>
  </w:num>
  <w:num w:numId="12" w16cid:durableId="600993626">
    <w:abstractNumId w:val="1"/>
  </w:num>
  <w:num w:numId="13" w16cid:durableId="95175427">
    <w:abstractNumId w:val="5"/>
  </w:num>
  <w:num w:numId="14" w16cid:durableId="1554150911">
    <w:abstractNumId w:val="21"/>
  </w:num>
  <w:num w:numId="15" w16cid:durableId="1146238819">
    <w:abstractNumId w:val="7"/>
  </w:num>
  <w:num w:numId="16" w16cid:durableId="708459665">
    <w:abstractNumId w:val="16"/>
  </w:num>
  <w:num w:numId="17" w16cid:durableId="1622691707">
    <w:abstractNumId w:val="18"/>
  </w:num>
  <w:num w:numId="18" w16cid:durableId="84956869">
    <w:abstractNumId w:val="14"/>
  </w:num>
  <w:num w:numId="19" w16cid:durableId="290674514">
    <w:abstractNumId w:val="19"/>
  </w:num>
  <w:num w:numId="20" w16cid:durableId="1708677027">
    <w:abstractNumId w:val="13"/>
  </w:num>
  <w:num w:numId="21" w16cid:durableId="423646347">
    <w:abstractNumId w:val="15"/>
  </w:num>
  <w:num w:numId="22" w16cid:durableId="1340082699">
    <w:abstractNumId w:val="9"/>
  </w:num>
  <w:num w:numId="23" w16cid:durableId="193220030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8C"/>
    <w:rsid w:val="0000138C"/>
    <w:rsid w:val="00001AEA"/>
    <w:rsid w:val="0000339E"/>
    <w:rsid w:val="000057FC"/>
    <w:rsid w:val="00011F65"/>
    <w:rsid w:val="00012AF3"/>
    <w:rsid w:val="00014061"/>
    <w:rsid w:val="00016F3B"/>
    <w:rsid w:val="000211EE"/>
    <w:rsid w:val="00034B37"/>
    <w:rsid w:val="00040EAC"/>
    <w:rsid w:val="000428F3"/>
    <w:rsid w:val="00044242"/>
    <w:rsid w:val="00044864"/>
    <w:rsid w:val="0004530B"/>
    <w:rsid w:val="000457B7"/>
    <w:rsid w:val="00047B5F"/>
    <w:rsid w:val="00054A98"/>
    <w:rsid w:val="00055909"/>
    <w:rsid w:val="00060FDB"/>
    <w:rsid w:val="00065CF2"/>
    <w:rsid w:val="0007098B"/>
    <w:rsid w:val="00070D8B"/>
    <w:rsid w:val="000723BD"/>
    <w:rsid w:val="00072450"/>
    <w:rsid w:val="00073325"/>
    <w:rsid w:val="0007723B"/>
    <w:rsid w:val="00077577"/>
    <w:rsid w:val="0008206A"/>
    <w:rsid w:val="00082ABE"/>
    <w:rsid w:val="00092551"/>
    <w:rsid w:val="0009345D"/>
    <w:rsid w:val="00096413"/>
    <w:rsid w:val="000975E4"/>
    <w:rsid w:val="000A1101"/>
    <w:rsid w:val="000A36B0"/>
    <w:rsid w:val="000B58EA"/>
    <w:rsid w:val="000C13C1"/>
    <w:rsid w:val="000C300E"/>
    <w:rsid w:val="000D09AD"/>
    <w:rsid w:val="000D15A9"/>
    <w:rsid w:val="000D19AB"/>
    <w:rsid w:val="000D6888"/>
    <w:rsid w:val="000D6CD0"/>
    <w:rsid w:val="000E223B"/>
    <w:rsid w:val="000E2FC2"/>
    <w:rsid w:val="000E2FE2"/>
    <w:rsid w:val="000E40E3"/>
    <w:rsid w:val="000E4739"/>
    <w:rsid w:val="000E5273"/>
    <w:rsid w:val="000F0AAB"/>
    <w:rsid w:val="000F0DF8"/>
    <w:rsid w:val="000F3C49"/>
    <w:rsid w:val="000F77C5"/>
    <w:rsid w:val="001063E4"/>
    <w:rsid w:val="001102E7"/>
    <w:rsid w:val="00117248"/>
    <w:rsid w:val="00121496"/>
    <w:rsid w:val="00123B1D"/>
    <w:rsid w:val="0012579D"/>
    <w:rsid w:val="001268AC"/>
    <w:rsid w:val="00127C68"/>
    <w:rsid w:val="00130312"/>
    <w:rsid w:val="00132785"/>
    <w:rsid w:val="00135133"/>
    <w:rsid w:val="00137879"/>
    <w:rsid w:val="00137CF6"/>
    <w:rsid w:val="00146E88"/>
    <w:rsid w:val="00150F0F"/>
    <w:rsid w:val="00154B5B"/>
    <w:rsid w:val="00160C2C"/>
    <w:rsid w:val="00163421"/>
    <w:rsid w:val="00164F03"/>
    <w:rsid w:val="001662DA"/>
    <w:rsid w:val="001776B7"/>
    <w:rsid w:val="00181C01"/>
    <w:rsid w:val="00182640"/>
    <w:rsid w:val="00183EE3"/>
    <w:rsid w:val="00187D1D"/>
    <w:rsid w:val="00192D33"/>
    <w:rsid w:val="001953B8"/>
    <w:rsid w:val="00195C39"/>
    <w:rsid w:val="001B037F"/>
    <w:rsid w:val="001B09FA"/>
    <w:rsid w:val="001B1627"/>
    <w:rsid w:val="001B4C4F"/>
    <w:rsid w:val="001B571F"/>
    <w:rsid w:val="001C2EC6"/>
    <w:rsid w:val="001C38C4"/>
    <w:rsid w:val="001C3D3C"/>
    <w:rsid w:val="001C52EF"/>
    <w:rsid w:val="001D1CAF"/>
    <w:rsid w:val="001D50B5"/>
    <w:rsid w:val="001D760F"/>
    <w:rsid w:val="001E07F8"/>
    <w:rsid w:val="001E0E1B"/>
    <w:rsid w:val="001E3871"/>
    <w:rsid w:val="001E5567"/>
    <w:rsid w:val="001E5701"/>
    <w:rsid w:val="001E7DD6"/>
    <w:rsid w:val="001F7BC9"/>
    <w:rsid w:val="00205AFE"/>
    <w:rsid w:val="002145A7"/>
    <w:rsid w:val="002224EC"/>
    <w:rsid w:val="00222A02"/>
    <w:rsid w:val="00222F1E"/>
    <w:rsid w:val="00225C28"/>
    <w:rsid w:val="002265C7"/>
    <w:rsid w:val="002266E0"/>
    <w:rsid w:val="0022682F"/>
    <w:rsid w:val="00233CFC"/>
    <w:rsid w:val="002369C5"/>
    <w:rsid w:val="002471B1"/>
    <w:rsid w:val="00247C64"/>
    <w:rsid w:val="00247CF0"/>
    <w:rsid w:val="00252C59"/>
    <w:rsid w:val="002600EA"/>
    <w:rsid w:val="00262682"/>
    <w:rsid w:val="00263245"/>
    <w:rsid w:val="00266454"/>
    <w:rsid w:val="002664B3"/>
    <w:rsid w:val="00266EEB"/>
    <w:rsid w:val="0026743E"/>
    <w:rsid w:val="0027086A"/>
    <w:rsid w:val="00271C7C"/>
    <w:rsid w:val="00277D5E"/>
    <w:rsid w:val="00277EB3"/>
    <w:rsid w:val="0028102F"/>
    <w:rsid w:val="00282417"/>
    <w:rsid w:val="0028394A"/>
    <w:rsid w:val="0029716E"/>
    <w:rsid w:val="002A2565"/>
    <w:rsid w:val="002A57FF"/>
    <w:rsid w:val="002A5800"/>
    <w:rsid w:val="002B7B73"/>
    <w:rsid w:val="002C08F3"/>
    <w:rsid w:val="002C20C5"/>
    <w:rsid w:val="002D2523"/>
    <w:rsid w:val="002D7002"/>
    <w:rsid w:val="002E3171"/>
    <w:rsid w:val="002E55B6"/>
    <w:rsid w:val="002F3E57"/>
    <w:rsid w:val="002F4E61"/>
    <w:rsid w:val="002F77B7"/>
    <w:rsid w:val="00300CF8"/>
    <w:rsid w:val="00300FD0"/>
    <w:rsid w:val="0030477F"/>
    <w:rsid w:val="00304BA9"/>
    <w:rsid w:val="00305393"/>
    <w:rsid w:val="00306CC8"/>
    <w:rsid w:val="00310C76"/>
    <w:rsid w:val="0031195D"/>
    <w:rsid w:val="0031345A"/>
    <w:rsid w:val="003207FA"/>
    <w:rsid w:val="003210EC"/>
    <w:rsid w:val="00322616"/>
    <w:rsid w:val="0032386C"/>
    <w:rsid w:val="003301FB"/>
    <w:rsid w:val="00330765"/>
    <w:rsid w:val="00331C19"/>
    <w:rsid w:val="003328A1"/>
    <w:rsid w:val="00332ED2"/>
    <w:rsid w:val="0033719D"/>
    <w:rsid w:val="00341767"/>
    <w:rsid w:val="00344216"/>
    <w:rsid w:val="003504EA"/>
    <w:rsid w:val="00351AE0"/>
    <w:rsid w:val="00351D0C"/>
    <w:rsid w:val="0035267B"/>
    <w:rsid w:val="00356707"/>
    <w:rsid w:val="003609F2"/>
    <w:rsid w:val="0036164D"/>
    <w:rsid w:val="00364B8E"/>
    <w:rsid w:val="003713A0"/>
    <w:rsid w:val="003727E5"/>
    <w:rsid w:val="00372E70"/>
    <w:rsid w:val="00372EB9"/>
    <w:rsid w:val="00382AA9"/>
    <w:rsid w:val="00384C6A"/>
    <w:rsid w:val="00386EEA"/>
    <w:rsid w:val="0039377C"/>
    <w:rsid w:val="0039498A"/>
    <w:rsid w:val="00395298"/>
    <w:rsid w:val="00395864"/>
    <w:rsid w:val="00396711"/>
    <w:rsid w:val="003A3ECC"/>
    <w:rsid w:val="003A5AFF"/>
    <w:rsid w:val="003B2AB3"/>
    <w:rsid w:val="003B3038"/>
    <w:rsid w:val="003B43C0"/>
    <w:rsid w:val="003B517F"/>
    <w:rsid w:val="003C11C9"/>
    <w:rsid w:val="003C51B8"/>
    <w:rsid w:val="003D057D"/>
    <w:rsid w:val="003D2352"/>
    <w:rsid w:val="003D4E94"/>
    <w:rsid w:val="003D5214"/>
    <w:rsid w:val="003E0AEB"/>
    <w:rsid w:val="003E2703"/>
    <w:rsid w:val="003F1480"/>
    <w:rsid w:val="003F2C70"/>
    <w:rsid w:val="003F2CBB"/>
    <w:rsid w:val="003F5F53"/>
    <w:rsid w:val="00400195"/>
    <w:rsid w:val="00401352"/>
    <w:rsid w:val="004022D6"/>
    <w:rsid w:val="00402BF4"/>
    <w:rsid w:val="00403B2E"/>
    <w:rsid w:val="00406387"/>
    <w:rsid w:val="0040663A"/>
    <w:rsid w:val="00407463"/>
    <w:rsid w:val="00410A29"/>
    <w:rsid w:val="004143F7"/>
    <w:rsid w:val="00421415"/>
    <w:rsid w:val="004216A3"/>
    <w:rsid w:val="004310C0"/>
    <w:rsid w:val="00432925"/>
    <w:rsid w:val="00433BBB"/>
    <w:rsid w:val="00435330"/>
    <w:rsid w:val="00435BCA"/>
    <w:rsid w:val="00437C0E"/>
    <w:rsid w:val="00441995"/>
    <w:rsid w:val="00442C67"/>
    <w:rsid w:val="00443439"/>
    <w:rsid w:val="00444B85"/>
    <w:rsid w:val="00446AAD"/>
    <w:rsid w:val="00450F34"/>
    <w:rsid w:val="004518EA"/>
    <w:rsid w:val="00453CBA"/>
    <w:rsid w:val="00456FA1"/>
    <w:rsid w:val="00460348"/>
    <w:rsid w:val="00462776"/>
    <w:rsid w:val="004629D4"/>
    <w:rsid w:val="00462C02"/>
    <w:rsid w:val="0046423D"/>
    <w:rsid w:val="00465782"/>
    <w:rsid w:val="00471A95"/>
    <w:rsid w:val="00472828"/>
    <w:rsid w:val="004730BF"/>
    <w:rsid w:val="004738E3"/>
    <w:rsid w:val="004756F8"/>
    <w:rsid w:val="00475AE3"/>
    <w:rsid w:val="00475BF5"/>
    <w:rsid w:val="00481FAB"/>
    <w:rsid w:val="00483563"/>
    <w:rsid w:val="00484E6E"/>
    <w:rsid w:val="00486D5A"/>
    <w:rsid w:val="00487E41"/>
    <w:rsid w:val="00490665"/>
    <w:rsid w:val="00490F81"/>
    <w:rsid w:val="00491A85"/>
    <w:rsid w:val="004926B1"/>
    <w:rsid w:val="004A092F"/>
    <w:rsid w:val="004A27F2"/>
    <w:rsid w:val="004A468D"/>
    <w:rsid w:val="004A5238"/>
    <w:rsid w:val="004A6940"/>
    <w:rsid w:val="004B04F4"/>
    <w:rsid w:val="004B19C7"/>
    <w:rsid w:val="004B6DC6"/>
    <w:rsid w:val="004C27CF"/>
    <w:rsid w:val="004C2EC5"/>
    <w:rsid w:val="004D1E98"/>
    <w:rsid w:val="004E46DD"/>
    <w:rsid w:val="004E6012"/>
    <w:rsid w:val="004E63C2"/>
    <w:rsid w:val="004F0282"/>
    <w:rsid w:val="004F06E2"/>
    <w:rsid w:val="004F4E08"/>
    <w:rsid w:val="00500DEF"/>
    <w:rsid w:val="005053B2"/>
    <w:rsid w:val="00505B8E"/>
    <w:rsid w:val="005078ED"/>
    <w:rsid w:val="00510EA5"/>
    <w:rsid w:val="00514250"/>
    <w:rsid w:val="0051739D"/>
    <w:rsid w:val="00517C19"/>
    <w:rsid w:val="005226CE"/>
    <w:rsid w:val="005238FE"/>
    <w:rsid w:val="00524649"/>
    <w:rsid w:val="0052718E"/>
    <w:rsid w:val="00527520"/>
    <w:rsid w:val="005345BF"/>
    <w:rsid w:val="00536B92"/>
    <w:rsid w:val="005377FA"/>
    <w:rsid w:val="005414B1"/>
    <w:rsid w:val="00541E6F"/>
    <w:rsid w:val="005450B0"/>
    <w:rsid w:val="005454B0"/>
    <w:rsid w:val="00546D41"/>
    <w:rsid w:val="00552C07"/>
    <w:rsid w:val="005564C1"/>
    <w:rsid w:val="005564FE"/>
    <w:rsid w:val="00561EBA"/>
    <w:rsid w:val="00562B57"/>
    <w:rsid w:val="005649F3"/>
    <w:rsid w:val="005666B2"/>
    <w:rsid w:val="0056689E"/>
    <w:rsid w:val="005677BB"/>
    <w:rsid w:val="00573155"/>
    <w:rsid w:val="005750C0"/>
    <w:rsid w:val="00581485"/>
    <w:rsid w:val="00582E54"/>
    <w:rsid w:val="005841E8"/>
    <w:rsid w:val="00586CA6"/>
    <w:rsid w:val="00595099"/>
    <w:rsid w:val="0059579E"/>
    <w:rsid w:val="00596B19"/>
    <w:rsid w:val="00597DBF"/>
    <w:rsid w:val="005A2DB9"/>
    <w:rsid w:val="005A4BD5"/>
    <w:rsid w:val="005A5538"/>
    <w:rsid w:val="005B2520"/>
    <w:rsid w:val="005C3B6C"/>
    <w:rsid w:val="005C6A01"/>
    <w:rsid w:val="005D2561"/>
    <w:rsid w:val="005D3466"/>
    <w:rsid w:val="005D544C"/>
    <w:rsid w:val="005E1C54"/>
    <w:rsid w:val="005F2890"/>
    <w:rsid w:val="005F492D"/>
    <w:rsid w:val="005F5080"/>
    <w:rsid w:val="005F626F"/>
    <w:rsid w:val="00607171"/>
    <w:rsid w:val="006168CC"/>
    <w:rsid w:val="00620859"/>
    <w:rsid w:val="00620C63"/>
    <w:rsid w:val="00623439"/>
    <w:rsid w:val="00625D2E"/>
    <w:rsid w:val="0063024B"/>
    <w:rsid w:val="006302A5"/>
    <w:rsid w:val="00634D81"/>
    <w:rsid w:val="00637573"/>
    <w:rsid w:val="006412A3"/>
    <w:rsid w:val="0064196A"/>
    <w:rsid w:val="00642F55"/>
    <w:rsid w:val="00650D7D"/>
    <w:rsid w:val="00654D41"/>
    <w:rsid w:val="00655B8C"/>
    <w:rsid w:val="00656C42"/>
    <w:rsid w:val="006572CE"/>
    <w:rsid w:val="00657E6E"/>
    <w:rsid w:val="006609F4"/>
    <w:rsid w:val="0066142B"/>
    <w:rsid w:val="0066439B"/>
    <w:rsid w:val="00673E20"/>
    <w:rsid w:val="006757F8"/>
    <w:rsid w:val="00676327"/>
    <w:rsid w:val="00681376"/>
    <w:rsid w:val="006845D7"/>
    <w:rsid w:val="006927E5"/>
    <w:rsid w:val="00693DB5"/>
    <w:rsid w:val="00693DCE"/>
    <w:rsid w:val="006941F0"/>
    <w:rsid w:val="006945BC"/>
    <w:rsid w:val="006A2579"/>
    <w:rsid w:val="006A458F"/>
    <w:rsid w:val="006A56AF"/>
    <w:rsid w:val="006A6C9B"/>
    <w:rsid w:val="006A77A0"/>
    <w:rsid w:val="006B0E72"/>
    <w:rsid w:val="006B1D93"/>
    <w:rsid w:val="006B31E6"/>
    <w:rsid w:val="006B620F"/>
    <w:rsid w:val="006B6A16"/>
    <w:rsid w:val="006B7F83"/>
    <w:rsid w:val="006C162D"/>
    <w:rsid w:val="006C5729"/>
    <w:rsid w:val="006C6C87"/>
    <w:rsid w:val="006D70AA"/>
    <w:rsid w:val="006E20AA"/>
    <w:rsid w:val="006E29D1"/>
    <w:rsid w:val="006E38AB"/>
    <w:rsid w:val="006E5CE2"/>
    <w:rsid w:val="006E5F7A"/>
    <w:rsid w:val="006E7BAC"/>
    <w:rsid w:val="006F32B0"/>
    <w:rsid w:val="006F4E31"/>
    <w:rsid w:val="00701BFE"/>
    <w:rsid w:val="007123EE"/>
    <w:rsid w:val="00713E43"/>
    <w:rsid w:val="00713E93"/>
    <w:rsid w:val="00715029"/>
    <w:rsid w:val="00722334"/>
    <w:rsid w:val="007235CD"/>
    <w:rsid w:val="007242C9"/>
    <w:rsid w:val="0072467E"/>
    <w:rsid w:val="0073081F"/>
    <w:rsid w:val="0073420F"/>
    <w:rsid w:val="0073446F"/>
    <w:rsid w:val="0073575F"/>
    <w:rsid w:val="007357B4"/>
    <w:rsid w:val="00741699"/>
    <w:rsid w:val="007542CE"/>
    <w:rsid w:val="00755E16"/>
    <w:rsid w:val="007573CC"/>
    <w:rsid w:val="007614CE"/>
    <w:rsid w:val="007650E7"/>
    <w:rsid w:val="00770233"/>
    <w:rsid w:val="00772261"/>
    <w:rsid w:val="0077279F"/>
    <w:rsid w:val="00776CA5"/>
    <w:rsid w:val="00780293"/>
    <w:rsid w:val="007929C1"/>
    <w:rsid w:val="00793248"/>
    <w:rsid w:val="00796390"/>
    <w:rsid w:val="007A06BD"/>
    <w:rsid w:val="007A2CE7"/>
    <w:rsid w:val="007A5289"/>
    <w:rsid w:val="007A71D4"/>
    <w:rsid w:val="007B118B"/>
    <w:rsid w:val="007B23B6"/>
    <w:rsid w:val="007B47E3"/>
    <w:rsid w:val="007B6418"/>
    <w:rsid w:val="007B6CD9"/>
    <w:rsid w:val="007B74B9"/>
    <w:rsid w:val="007C1CF3"/>
    <w:rsid w:val="007C7802"/>
    <w:rsid w:val="007C7AA6"/>
    <w:rsid w:val="007D1647"/>
    <w:rsid w:val="007D48B4"/>
    <w:rsid w:val="007D58F7"/>
    <w:rsid w:val="007E2403"/>
    <w:rsid w:val="007E33D2"/>
    <w:rsid w:val="007E399A"/>
    <w:rsid w:val="007E53AE"/>
    <w:rsid w:val="007F37EE"/>
    <w:rsid w:val="007F3C45"/>
    <w:rsid w:val="007F47DA"/>
    <w:rsid w:val="0080523E"/>
    <w:rsid w:val="00805436"/>
    <w:rsid w:val="008072EB"/>
    <w:rsid w:val="008105EF"/>
    <w:rsid w:val="0081226B"/>
    <w:rsid w:val="00812A3C"/>
    <w:rsid w:val="00825A29"/>
    <w:rsid w:val="008277F3"/>
    <w:rsid w:val="00830412"/>
    <w:rsid w:val="00831FF9"/>
    <w:rsid w:val="00834ADD"/>
    <w:rsid w:val="008379E3"/>
    <w:rsid w:val="008405CE"/>
    <w:rsid w:val="00845594"/>
    <w:rsid w:val="00852603"/>
    <w:rsid w:val="00852CBA"/>
    <w:rsid w:val="00854DA9"/>
    <w:rsid w:val="00854F7B"/>
    <w:rsid w:val="00855829"/>
    <w:rsid w:val="0085688E"/>
    <w:rsid w:val="008612F8"/>
    <w:rsid w:val="0087175E"/>
    <w:rsid w:val="00871A47"/>
    <w:rsid w:val="00872519"/>
    <w:rsid w:val="00872EE3"/>
    <w:rsid w:val="00874051"/>
    <w:rsid w:val="008742FB"/>
    <w:rsid w:val="008767F9"/>
    <w:rsid w:val="0088010C"/>
    <w:rsid w:val="00883268"/>
    <w:rsid w:val="0088343B"/>
    <w:rsid w:val="008847D1"/>
    <w:rsid w:val="008858AE"/>
    <w:rsid w:val="00893EAE"/>
    <w:rsid w:val="00895EA0"/>
    <w:rsid w:val="008A0F02"/>
    <w:rsid w:val="008A1B1B"/>
    <w:rsid w:val="008C097D"/>
    <w:rsid w:val="008C754F"/>
    <w:rsid w:val="008D2794"/>
    <w:rsid w:val="008D2D9B"/>
    <w:rsid w:val="008D6EA2"/>
    <w:rsid w:val="008E0AB2"/>
    <w:rsid w:val="008E0C08"/>
    <w:rsid w:val="008E235A"/>
    <w:rsid w:val="008E59DF"/>
    <w:rsid w:val="008F31CA"/>
    <w:rsid w:val="008F33B3"/>
    <w:rsid w:val="009065F9"/>
    <w:rsid w:val="00910B33"/>
    <w:rsid w:val="00912E0A"/>
    <w:rsid w:val="009149F8"/>
    <w:rsid w:val="0092208B"/>
    <w:rsid w:val="009224E5"/>
    <w:rsid w:val="0093076D"/>
    <w:rsid w:val="0093297F"/>
    <w:rsid w:val="00932C75"/>
    <w:rsid w:val="00933BAD"/>
    <w:rsid w:val="00936F7B"/>
    <w:rsid w:val="0094208E"/>
    <w:rsid w:val="0094306A"/>
    <w:rsid w:val="00947865"/>
    <w:rsid w:val="00954F31"/>
    <w:rsid w:val="009613A6"/>
    <w:rsid w:val="0096343B"/>
    <w:rsid w:val="00971F13"/>
    <w:rsid w:val="00973B9C"/>
    <w:rsid w:val="00976981"/>
    <w:rsid w:val="00976E6A"/>
    <w:rsid w:val="00984C7C"/>
    <w:rsid w:val="00990458"/>
    <w:rsid w:val="009912FE"/>
    <w:rsid w:val="00992044"/>
    <w:rsid w:val="009A21A8"/>
    <w:rsid w:val="009A5987"/>
    <w:rsid w:val="009B3F04"/>
    <w:rsid w:val="009B4679"/>
    <w:rsid w:val="009B65B9"/>
    <w:rsid w:val="009C00F8"/>
    <w:rsid w:val="009C2DAC"/>
    <w:rsid w:val="009C58B8"/>
    <w:rsid w:val="009C6E2F"/>
    <w:rsid w:val="009D0C9F"/>
    <w:rsid w:val="009D1273"/>
    <w:rsid w:val="009D3611"/>
    <w:rsid w:val="009E092C"/>
    <w:rsid w:val="009E4CC9"/>
    <w:rsid w:val="009E4FCE"/>
    <w:rsid w:val="009E7919"/>
    <w:rsid w:val="009E7C94"/>
    <w:rsid w:val="00A01A11"/>
    <w:rsid w:val="00A01F46"/>
    <w:rsid w:val="00A04AEB"/>
    <w:rsid w:val="00A06AF5"/>
    <w:rsid w:val="00A10980"/>
    <w:rsid w:val="00A10D70"/>
    <w:rsid w:val="00A15AA1"/>
    <w:rsid w:val="00A21482"/>
    <w:rsid w:val="00A218F1"/>
    <w:rsid w:val="00A23AF6"/>
    <w:rsid w:val="00A24A45"/>
    <w:rsid w:val="00A26FF0"/>
    <w:rsid w:val="00A34270"/>
    <w:rsid w:val="00A402B3"/>
    <w:rsid w:val="00A41BFC"/>
    <w:rsid w:val="00A43868"/>
    <w:rsid w:val="00A475D2"/>
    <w:rsid w:val="00A5384E"/>
    <w:rsid w:val="00A554E4"/>
    <w:rsid w:val="00A56FA3"/>
    <w:rsid w:val="00A5770E"/>
    <w:rsid w:val="00A60D3E"/>
    <w:rsid w:val="00A619FE"/>
    <w:rsid w:val="00A61A4F"/>
    <w:rsid w:val="00A643BA"/>
    <w:rsid w:val="00A651F1"/>
    <w:rsid w:val="00A7014A"/>
    <w:rsid w:val="00A70B41"/>
    <w:rsid w:val="00A72E59"/>
    <w:rsid w:val="00A775DB"/>
    <w:rsid w:val="00A83931"/>
    <w:rsid w:val="00A90CD7"/>
    <w:rsid w:val="00AA00E8"/>
    <w:rsid w:val="00AA2354"/>
    <w:rsid w:val="00AA3F17"/>
    <w:rsid w:val="00AA46C5"/>
    <w:rsid w:val="00AA6EB4"/>
    <w:rsid w:val="00AA77B4"/>
    <w:rsid w:val="00AB009B"/>
    <w:rsid w:val="00AB0EA1"/>
    <w:rsid w:val="00AB3294"/>
    <w:rsid w:val="00AB5BF4"/>
    <w:rsid w:val="00AC0456"/>
    <w:rsid w:val="00AC27AC"/>
    <w:rsid w:val="00AC2E93"/>
    <w:rsid w:val="00AC4D33"/>
    <w:rsid w:val="00AC584B"/>
    <w:rsid w:val="00AC713D"/>
    <w:rsid w:val="00AD15EC"/>
    <w:rsid w:val="00AD25EA"/>
    <w:rsid w:val="00AD52C5"/>
    <w:rsid w:val="00AE25D7"/>
    <w:rsid w:val="00AE395A"/>
    <w:rsid w:val="00AE3F27"/>
    <w:rsid w:val="00AF0363"/>
    <w:rsid w:val="00AF1538"/>
    <w:rsid w:val="00AF2AA0"/>
    <w:rsid w:val="00AF3D94"/>
    <w:rsid w:val="00AF4F83"/>
    <w:rsid w:val="00AF60A6"/>
    <w:rsid w:val="00B006BA"/>
    <w:rsid w:val="00B06948"/>
    <w:rsid w:val="00B07984"/>
    <w:rsid w:val="00B16C09"/>
    <w:rsid w:val="00B21524"/>
    <w:rsid w:val="00B239BF"/>
    <w:rsid w:val="00B24B6C"/>
    <w:rsid w:val="00B25A5B"/>
    <w:rsid w:val="00B267DA"/>
    <w:rsid w:val="00B323DE"/>
    <w:rsid w:val="00B3468F"/>
    <w:rsid w:val="00B37588"/>
    <w:rsid w:val="00B40F0D"/>
    <w:rsid w:val="00B41D26"/>
    <w:rsid w:val="00B436A4"/>
    <w:rsid w:val="00B51645"/>
    <w:rsid w:val="00B54BD3"/>
    <w:rsid w:val="00B61409"/>
    <w:rsid w:val="00B639DE"/>
    <w:rsid w:val="00B6535B"/>
    <w:rsid w:val="00B762E8"/>
    <w:rsid w:val="00B779FA"/>
    <w:rsid w:val="00B94F40"/>
    <w:rsid w:val="00BA3376"/>
    <w:rsid w:val="00BA684C"/>
    <w:rsid w:val="00BA7BF3"/>
    <w:rsid w:val="00BB0F54"/>
    <w:rsid w:val="00BB25D3"/>
    <w:rsid w:val="00BB3AEF"/>
    <w:rsid w:val="00BB4A73"/>
    <w:rsid w:val="00BC42C4"/>
    <w:rsid w:val="00BC48E7"/>
    <w:rsid w:val="00BC74F3"/>
    <w:rsid w:val="00BC7B4C"/>
    <w:rsid w:val="00BE2114"/>
    <w:rsid w:val="00BF51D8"/>
    <w:rsid w:val="00C05FE4"/>
    <w:rsid w:val="00C06417"/>
    <w:rsid w:val="00C0692F"/>
    <w:rsid w:val="00C21A4D"/>
    <w:rsid w:val="00C25FDD"/>
    <w:rsid w:val="00C30B6E"/>
    <w:rsid w:val="00C32420"/>
    <w:rsid w:val="00C32902"/>
    <w:rsid w:val="00C33691"/>
    <w:rsid w:val="00C403CE"/>
    <w:rsid w:val="00C409EF"/>
    <w:rsid w:val="00C46A65"/>
    <w:rsid w:val="00C4738D"/>
    <w:rsid w:val="00C475FF"/>
    <w:rsid w:val="00C47E81"/>
    <w:rsid w:val="00C53225"/>
    <w:rsid w:val="00C55043"/>
    <w:rsid w:val="00C614A0"/>
    <w:rsid w:val="00C66FD8"/>
    <w:rsid w:val="00C70259"/>
    <w:rsid w:val="00C733BC"/>
    <w:rsid w:val="00C81B4B"/>
    <w:rsid w:val="00C85568"/>
    <w:rsid w:val="00C91D40"/>
    <w:rsid w:val="00C92D83"/>
    <w:rsid w:val="00C93317"/>
    <w:rsid w:val="00C9411A"/>
    <w:rsid w:val="00C94A01"/>
    <w:rsid w:val="00C95F9E"/>
    <w:rsid w:val="00CA04CA"/>
    <w:rsid w:val="00CA15A0"/>
    <w:rsid w:val="00CA1CE7"/>
    <w:rsid w:val="00CA2221"/>
    <w:rsid w:val="00CB1ED1"/>
    <w:rsid w:val="00CB4297"/>
    <w:rsid w:val="00CB42A4"/>
    <w:rsid w:val="00CB4627"/>
    <w:rsid w:val="00CB6AC4"/>
    <w:rsid w:val="00CC057D"/>
    <w:rsid w:val="00CC6A3E"/>
    <w:rsid w:val="00CC6ADF"/>
    <w:rsid w:val="00CC6F54"/>
    <w:rsid w:val="00CD394B"/>
    <w:rsid w:val="00CE0C51"/>
    <w:rsid w:val="00CE5C80"/>
    <w:rsid w:val="00CE6CB7"/>
    <w:rsid w:val="00CF0E8C"/>
    <w:rsid w:val="00CF1093"/>
    <w:rsid w:val="00CF1479"/>
    <w:rsid w:val="00D036DD"/>
    <w:rsid w:val="00D11A77"/>
    <w:rsid w:val="00D14F1D"/>
    <w:rsid w:val="00D21411"/>
    <w:rsid w:val="00D22E5F"/>
    <w:rsid w:val="00D232C6"/>
    <w:rsid w:val="00D244D9"/>
    <w:rsid w:val="00D24E3E"/>
    <w:rsid w:val="00D26524"/>
    <w:rsid w:val="00D275A0"/>
    <w:rsid w:val="00D30DE8"/>
    <w:rsid w:val="00D312A1"/>
    <w:rsid w:val="00D3491A"/>
    <w:rsid w:val="00D34A39"/>
    <w:rsid w:val="00D41D0B"/>
    <w:rsid w:val="00D4418C"/>
    <w:rsid w:val="00D443AF"/>
    <w:rsid w:val="00D46CB6"/>
    <w:rsid w:val="00D479D5"/>
    <w:rsid w:val="00D47EDE"/>
    <w:rsid w:val="00D52AE3"/>
    <w:rsid w:val="00D5434C"/>
    <w:rsid w:val="00D54477"/>
    <w:rsid w:val="00D569B0"/>
    <w:rsid w:val="00D57759"/>
    <w:rsid w:val="00D60536"/>
    <w:rsid w:val="00D61B83"/>
    <w:rsid w:val="00D6372B"/>
    <w:rsid w:val="00D66250"/>
    <w:rsid w:val="00D77D50"/>
    <w:rsid w:val="00D82700"/>
    <w:rsid w:val="00D90803"/>
    <w:rsid w:val="00D9417C"/>
    <w:rsid w:val="00D94F4E"/>
    <w:rsid w:val="00D959BE"/>
    <w:rsid w:val="00D97712"/>
    <w:rsid w:val="00DA3B09"/>
    <w:rsid w:val="00DA652E"/>
    <w:rsid w:val="00DA7959"/>
    <w:rsid w:val="00DB2EAB"/>
    <w:rsid w:val="00DB3E06"/>
    <w:rsid w:val="00DC021F"/>
    <w:rsid w:val="00DC0363"/>
    <w:rsid w:val="00DC2DC8"/>
    <w:rsid w:val="00DC5046"/>
    <w:rsid w:val="00DC573A"/>
    <w:rsid w:val="00DC6030"/>
    <w:rsid w:val="00DD4D47"/>
    <w:rsid w:val="00DD5235"/>
    <w:rsid w:val="00DD5DF1"/>
    <w:rsid w:val="00DE0DD4"/>
    <w:rsid w:val="00DE27FA"/>
    <w:rsid w:val="00DE4D28"/>
    <w:rsid w:val="00DE503F"/>
    <w:rsid w:val="00DE6DD6"/>
    <w:rsid w:val="00DE76A3"/>
    <w:rsid w:val="00DE7D99"/>
    <w:rsid w:val="00DF2FCE"/>
    <w:rsid w:val="00DF7220"/>
    <w:rsid w:val="00DF7DAE"/>
    <w:rsid w:val="00E27771"/>
    <w:rsid w:val="00E27790"/>
    <w:rsid w:val="00E37D8C"/>
    <w:rsid w:val="00E436E9"/>
    <w:rsid w:val="00E47622"/>
    <w:rsid w:val="00E5207A"/>
    <w:rsid w:val="00E60577"/>
    <w:rsid w:val="00E61BC5"/>
    <w:rsid w:val="00E65853"/>
    <w:rsid w:val="00E66DD5"/>
    <w:rsid w:val="00E71FAC"/>
    <w:rsid w:val="00E73651"/>
    <w:rsid w:val="00E81DE7"/>
    <w:rsid w:val="00E85C57"/>
    <w:rsid w:val="00E94098"/>
    <w:rsid w:val="00E96433"/>
    <w:rsid w:val="00E971F4"/>
    <w:rsid w:val="00EA7C8E"/>
    <w:rsid w:val="00EB59D7"/>
    <w:rsid w:val="00EB6FA2"/>
    <w:rsid w:val="00EC354D"/>
    <w:rsid w:val="00EC5840"/>
    <w:rsid w:val="00ED044C"/>
    <w:rsid w:val="00ED0678"/>
    <w:rsid w:val="00ED27B0"/>
    <w:rsid w:val="00ED34B4"/>
    <w:rsid w:val="00ED3F76"/>
    <w:rsid w:val="00ED4FA8"/>
    <w:rsid w:val="00ED7B10"/>
    <w:rsid w:val="00EE1173"/>
    <w:rsid w:val="00EE5889"/>
    <w:rsid w:val="00EE79D8"/>
    <w:rsid w:val="00EF0552"/>
    <w:rsid w:val="00EF13B9"/>
    <w:rsid w:val="00EF549B"/>
    <w:rsid w:val="00EF6BFE"/>
    <w:rsid w:val="00EF7531"/>
    <w:rsid w:val="00F212EF"/>
    <w:rsid w:val="00F367FE"/>
    <w:rsid w:val="00F36D4D"/>
    <w:rsid w:val="00F4127B"/>
    <w:rsid w:val="00F41321"/>
    <w:rsid w:val="00F4144A"/>
    <w:rsid w:val="00F45492"/>
    <w:rsid w:val="00F46317"/>
    <w:rsid w:val="00F47EC0"/>
    <w:rsid w:val="00F5303F"/>
    <w:rsid w:val="00F54C3E"/>
    <w:rsid w:val="00F5627E"/>
    <w:rsid w:val="00F66768"/>
    <w:rsid w:val="00F71A80"/>
    <w:rsid w:val="00F71EA4"/>
    <w:rsid w:val="00F743E9"/>
    <w:rsid w:val="00F75C73"/>
    <w:rsid w:val="00F75F49"/>
    <w:rsid w:val="00F8432B"/>
    <w:rsid w:val="00F84867"/>
    <w:rsid w:val="00F86A90"/>
    <w:rsid w:val="00F8767D"/>
    <w:rsid w:val="00F92899"/>
    <w:rsid w:val="00F94B35"/>
    <w:rsid w:val="00F96721"/>
    <w:rsid w:val="00FA1EA4"/>
    <w:rsid w:val="00FA3D75"/>
    <w:rsid w:val="00FA3DBC"/>
    <w:rsid w:val="00FA4163"/>
    <w:rsid w:val="00FA4865"/>
    <w:rsid w:val="00FA5E66"/>
    <w:rsid w:val="00FA67ED"/>
    <w:rsid w:val="00FB0868"/>
    <w:rsid w:val="00FB0D16"/>
    <w:rsid w:val="00FB1004"/>
    <w:rsid w:val="00FB1A98"/>
    <w:rsid w:val="00FB284B"/>
    <w:rsid w:val="00FB2AFA"/>
    <w:rsid w:val="00FB3DD7"/>
    <w:rsid w:val="00FC2668"/>
    <w:rsid w:val="00FC2D3F"/>
    <w:rsid w:val="00FC2E52"/>
    <w:rsid w:val="00FC7F53"/>
    <w:rsid w:val="00FD0F52"/>
    <w:rsid w:val="00FD1579"/>
    <w:rsid w:val="00FD4CE1"/>
    <w:rsid w:val="00FD6296"/>
    <w:rsid w:val="00FD7C15"/>
    <w:rsid w:val="00FE1983"/>
    <w:rsid w:val="00FE1C5F"/>
    <w:rsid w:val="00FE3536"/>
    <w:rsid w:val="00FE48D1"/>
    <w:rsid w:val="00FE704E"/>
    <w:rsid w:val="00FF0616"/>
    <w:rsid w:val="00FF3EF2"/>
    <w:rsid w:val="00FF45D9"/>
    <w:rsid w:val="00FF58B6"/>
    <w:rsid w:val="00FF6A96"/>
    <w:rsid w:val="00FF6D95"/>
    <w:rsid w:val="00FF79F5"/>
    <w:rsid w:val="767BB485"/>
    <w:rsid w:val="7DCB7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E9BF913"/>
  <w15:chartTrackingRefBased/>
  <w15:docId w15:val="{7AAE28D9-8442-4935-960C-99DE8DB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66"/>
    <w:rPr>
      <w:rFonts w:eastAsiaTheme="minorEastAsia"/>
      <w:kern w:val="2"/>
      <w:lang w:eastAsia="ja-JP"/>
      <w14:ligatures w14:val="standardContextual"/>
    </w:rPr>
  </w:style>
  <w:style w:type="paragraph" w:styleId="Heading1">
    <w:name w:val="heading 1"/>
    <w:aliases w:val="Heading 1 Cab,Schedule Heading"/>
    <w:basedOn w:val="Normal"/>
    <w:next w:val="Normal"/>
    <w:link w:val="Heading1Char"/>
    <w:uiPriority w:val="9"/>
    <w:qFormat/>
    <w:rsid w:val="000E5273"/>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A01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8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FA5E66"/>
    <w:pPr>
      <w:ind w:left="720"/>
      <w:contextualSpacing/>
    </w:pPr>
  </w:style>
  <w:style w:type="table" w:styleId="TableGrid">
    <w:name w:val="Table Grid"/>
    <w:basedOn w:val="TableNormal"/>
    <w:uiPriority w:val="59"/>
    <w:rsid w:val="00FA5E66"/>
    <w:pPr>
      <w:spacing w:after="0" w:line="240" w:lineRule="auto"/>
    </w:pPr>
    <w:rPr>
      <w:rFonts w:eastAsiaTheme="minorEastAsia"/>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FA5E66"/>
    <w:rPr>
      <w:rFonts w:eastAsiaTheme="minorEastAsia"/>
      <w:kern w:val="2"/>
      <w:lang w:eastAsia="ja-JP"/>
      <w14:ligatures w14:val="standardContextual"/>
    </w:rPr>
  </w:style>
  <w:style w:type="paragraph" w:styleId="Header">
    <w:name w:val="header"/>
    <w:basedOn w:val="Normal"/>
    <w:link w:val="HeaderChar"/>
    <w:uiPriority w:val="99"/>
    <w:unhideWhenUsed/>
    <w:rsid w:val="00FA5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66"/>
    <w:rPr>
      <w:rFonts w:eastAsiaTheme="minorEastAsia"/>
      <w:kern w:val="2"/>
      <w:lang w:eastAsia="ja-JP"/>
      <w14:ligatures w14:val="standardContextual"/>
    </w:rPr>
  </w:style>
  <w:style w:type="paragraph" w:styleId="Footer">
    <w:name w:val="footer"/>
    <w:basedOn w:val="Normal"/>
    <w:link w:val="FooterChar"/>
    <w:uiPriority w:val="99"/>
    <w:unhideWhenUsed/>
    <w:rsid w:val="00FA5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66"/>
    <w:rPr>
      <w:rFonts w:eastAsiaTheme="minorEastAsia"/>
      <w:kern w:val="2"/>
      <w:lang w:eastAsia="ja-JP"/>
      <w14:ligatures w14:val="standardContextual"/>
    </w:rPr>
  </w:style>
  <w:style w:type="paragraph" w:customStyle="1" w:styleId="ImplementationPlan1">
    <w:name w:val="Implementation Plan 1"/>
    <w:basedOn w:val="ListParagraph"/>
    <w:link w:val="ImplementationPlan1Char"/>
    <w:qFormat/>
    <w:rsid w:val="00FA5E66"/>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FA5E66"/>
    <w:rPr>
      <w:rFonts w:ascii="Corbel" w:eastAsia="Corbel" w:hAnsi="Corbel" w:cs="Corbel"/>
      <w:b/>
      <w:bCs/>
      <w:caps/>
      <w:color w:val="980033"/>
      <w:kern w:val="2"/>
      <w:lang w:eastAsia="ja-JP"/>
      <w14:ligatures w14:val="standardContextual"/>
    </w:rPr>
  </w:style>
  <w:style w:type="table" w:customStyle="1" w:styleId="TableGrid1">
    <w:name w:val="Table Grid1"/>
    <w:basedOn w:val="TableNormal"/>
    <w:next w:val="TableGrid"/>
    <w:uiPriority w:val="59"/>
    <w:rsid w:val="00FA5E6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ab Char,Schedule Heading Char"/>
    <w:basedOn w:val="DefaultParagraphFont"/>
    <w:link w:val="Heading1"/>
    <w:uiPriority w:val="9"/>
    <w:rsid w:val="000E5273"/>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ScheduleA">
    <w:name w:val="ScheduleA"/>
    <w:basedOn w:val="Normal"/>
    <w:next w:val="Normal"/>
    <w:qFormat/>
    <w:rsid w:val="000E5273"/>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0E5273"/>
    <w:rPr>
      <w:color w:val="0563C1" w:themeColor="hyperlink"/>
      <w:u w:val="single"/>
    </w:rPr>
  </w:style>
  <w:style w:type="paragraph" w:customStyle="1" w:styleId="MBPoint">
    <w:name w:val="MB Point"/>
    <w:basedOn w:val="ListParagraph"/>
    <w:link w:val="MBPointChar"/>
    <w:qFormat/>
    <w:rsid w:val="000E5273"/>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0E5273"/>
    <w:rPr>
      <w:rFonts w:ascii="Times New Roman" w:hAnsi="Times New Roman" w:cs="Times New Roman"/>
      <w:sz w:val="24"/>
      <w:szCs w:val="24"/>
    </w:rPr>
  </w:style>
  <w:style w:type="character" w:styleId="Strong">
    <w:name w:val="Strong"/>
    <w:basedOn w:val="DefaultParagraphFont"/>
    <w:uiPriority w:val="22"/>
    <w:qFormat/>
    <w:rsid w:val="00351D0C"/>
    <w:rPr>
      <w:b/>
      <w:bCs/>
    </w:rPr>
  </w:style>
  <w:style w:type="paragraph" w:styleId="NoSpacing">
    <w:name w:val="No Spacing"/>
    <w:uiPriority w:val="1"/>
    <w:qFormat/>
    <w:rsid w:val="0077279F"/>
    <w:pPr>
      <w:spacing w:after="0" w:line="240" w:lineRule="auto"/>
    </w:pPr>
    <w:rPr>
      <w:rFonts w:eastAsiaTheme="minorEastAsia"/>
      <w:kern w:val="2"/>
      <w:lang w:eastAsia="ja-JP"/>
      <w14:ligatures w14:val="standardContextual"/>
    </w:rPr>
  </w:style>
  <w:style w:type="paragraph" w:styleId="FootnoteText">
    <w:name w:val="footnote text"/>
    <w:basedOn w:val="Normal"/>
    <w:link w:val="FootnoteTextChar"/>
    <w:uiPriority w:val="99"/>
    <w:semiHidden/>
    <w:unhideWhenUsed/>
    <w:rsid w:val="00F47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EC0"/>
    <w:rPr>
      <w:rFonts w:eastAsiaTheme="minorEastAsia"/>
      <w:kern w:val="2"/>
      <w:sz w:val="20"/>
      <w:szCs w:val="20"/>
      <w:lang w:eastAsia="ja-JP"/>
      <w14:ligatures w14:val="standardContextual"/>
    </w:rPr>
  </w:style>
  <w:style w:type="character" w:styleId="FootnoteReference">
    <w:name w:val="footnote reference"/>
    <w:basedOn w:val="DefaultParagraphFont"/>
    <w:uiPriority w:val="99"/>
    <w:semiHidden/>
    <w:unhideWhenUsed/>
    <w:rsid w:val="00F47EC0"/>
    <w:rPr>
      <w:vertAlign w:val="superscript"/>
    </w:rPr>
  </w:style>
  <w:style w:type="character" w:styleId="CommentReference">
    <w:name w:val="annotation reference"/>
    <w:basedOn w:val="DefaultParagraphFont"/>
    <w:uiPriority w:val="99"/>
    <w:semiHidden/>
    <w:unhideWhenUsed/>
    <w:rsid w:val="00C409EF"/>
    <w:rPr>
      <w:sz w:val="16"/>
      <w:szCs w:val="16"/>
    </w:rPr>
  </w:style>
  <w:style w:type="paragraph" w:styleId="CommentText">
    <w:name w:val="annotation text"/>
    <w:basedOn w:val="Normal"/>
    <w:link w:val="CommentTextChar"/>
    <w:uiPriority w:val="99"/>
    <w:unhideWhenUsed/>
    <w:rsid w:val="00C409EF"/>
    <w:pPr>
      <w:spacing w:line="240" w:lineRule="auto"/>
    </w:pPr>
    <w:rPr>
      <w:sz w:val="20"/>
      <w:szCs w:val="20"/>
    </w:rPr>
  </w:style>
  <w:style w:type="character" w:customStyle="1" w:styleId="CommentTextChar">
    <w:name w:val="Comment Text Char"/>
    <w:basedOn w:val="DefaultParagraphFont"/>
    <w:link w:val="CommentText"/>
    <w:uiPriority w:val="99"/>
    <w:rsid w:val="00C409EF"/>
    <w:rPr>
      <w:rFonts w:eastAsiaTheme="minorEastAsia"/>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C409EF"/>
    <w:rPr>
      <w:b/>
      <w:bCs/>
    </w:rPr>
  </w:style>
  <w:style w:type="character" w:customStyle="1" w:styleId="CommentSubjectChar">
    <w:name w:val="Comment Subject Char"/>
    <w:basedOn w:val="CommentTextChar"/>
    <w:link w:val="CommentSubject"/>
    <w:uiPriority w:val="99"/>
    <w:semiHidden/>
    <w:rsid w:val="00C409EF"/>
    <w:rPr>
      <w:rFonts w:eastAsiaTheme="minorEastAsia"/>
      <w:b/>
      <w:bCs/>
      <w:kern w:val="2"/>
      <w:sz w:val="20"/>
      <w:szCs w:val="20"/>
      <w:lang w:eastAsia="ja-JP"/>
      <w14:ligatures w14:val="standardContextual"/>
    </w:rPr>
  </w:style>
  <w:style w:type="paragraph" w:styleId="Revision">
    <w:name w:val="Revision"/>
    <w:hidden/>
    <w:uiPriority w:val="99"/>
    <w:semiHidden/>
    <w:rsid w:val="008A1B1B"/>
    <w:pPr>
      <w:spacing w:after="0" w:line="240" w:lineRule="auto"/>
    </w:pPr>
    <w:rPr>
      <w:rFonts w:eastAsiaTheme="minorEastAsia"/>
      <w:kern w:val="2"/>
      <w:lang w:eastAsia="ja-JP"/>
      <w14:ligatures w14:val="standardContextual"/>
    </w:rPr>
  </w:style>
  <w:style w:type="paragraph" w:styleId="Title">
    <w:name w:val="Title"/>
    <w:basedOn w:val="Normal"/>
    <w:next w:val="Normal"/>
    <w:link w:val="TitleChar"/>
    <w:uiPriority w:val="10"/>
    <w:qFormat/>
    <w:rsid w:val="00961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3A6"/>
    <w:rPr>
      <w:rFonts w:asciiTheme="majorHAnsi" w:eastAsiaTheme="majorEastAsia" w:hAnsiTheme="majorHAnsi" w:cstheme="majorBidi"/>
      <w:spacing w:val="-10"/>
      <w:kern w:val="28"/>
      <w:sz w:val="56"/>
      <w:szCs w:val="56"/>
      <w:lang w:eastAsia="ja-JP"/>
      <w14:ligatures w14:val="standardContextual"/>
    </w:rPr>
  </w:style>
  <w:style w:type="character" w:styleId="SubtleReference">
    <w:name w:val="Subtle Reference"/>
    <w:basedOn w:val="DefaultParagraphFont"/>
    <w:uiPriority w:val="31"/>
    <w:qFormat/>
    <w:rsid w:val="00BC48E7"/>
    <w:rPr>
      <w:smallCaps/>
      <w:color w:val="5A5A5A" w:themeColor="text1" w:themeTint="A5"/>
    </w:rPr>
  </w:style>
  <w:style w:type="character" w:styleId="BookTitle">
    <w:name w:val="Book Title"/>
    <w:basedOn w:val="DefaultParagraphFont"/>
    <w:uiPriority w:val="33"/>
    <w:qFormat/>
    <w:rsid w:val="00BC48E7"/>
    <w:rPr>
      <w:b/>
      <w:bCs/>
      <w:i/>
      <w:iCs/>
      <w:spacing w:val="5"/>
    </w:rPr>
  </w:style>
  <w:style w:type="paragraph" w:styleId="NormalWeb">
    <w:name w:val="Normal (Web)"/>
    <w:basedOn w:val="Normal"/>
    <w:uiPriority w:val="99"/>
    <w:unhideWhenUsed/>
    <w:rsid w:val="0030539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137879"/>
    <w:rPr>
      <w:rFonts w:asciiTheme="majorHAnsi" w:eastAsiaTheme="majorEastAsia" w:hAnsiTheme="majorHAnsi" w:cstheme="majorBidi"/>
      <w:color w:val="1F4D78" w:themeColor="accent1" w:themeShade="7F"/>
      <w:kern w:val="2"/>
      <w:sz w:val="24"/>
      <w:szCs w:val="24"/>
      <w:lang w:eastAsia="ja-JP"/>
      <w14:ligatures w14:val="standardContextual"/>
    </w:rPr>
  </w:style>
  <w:style w:type="paragraph" w:customStyle="1" w:styleId="SingleParagraph">
    <w:name w:val="Single Paragraph"/>
    <w:basedOn w:val="Normal"/>
    <w:rsid w:val="009A5987"/>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9A5987"/>
    <w:rPr>
      <w:b/>
    </w:rPr>
  </w:style>
  <w:style w:type="paragraph" w:customStyle="1" w:styleId="Signed">
    <w:name w:val="Signed"/>
    <w:basedOn w:val="Normal"/>
    <w:rsid w:val="009A5987"/>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9A5987"/>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9A5987"/>
    <w:rPr>
      <w:b/>
      <w:i/>
    </w:rPr>
  </w:style>
  <w:style w:type="paragraph" w:customStyle="1" w:styleId="LineForSignature">
    <w:name w:val="LineForSignature"/>
    <w:basedOn w:val="Normal"/>
    <w:rsid w:val="009A5987"/>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paragraph" w:customStyle="1" w:styleId="pf0">
    <w:name w:val="pf0"/>
    <w:basedOn w:val="Normal"/>
    <w:rsid w:val="00A10D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A10D70"/>
    <w:rPr>
      <w:rFonts w:ascii="Segoe UI" w:hAnsi="Segoe UI" w:cs="Segoe UI" w:hint="default"/>
      <w:b/>
      <w:bCs/>
      <w:sz w:val="18"/>
      <w:szCs w:val="18"/>
    </w:rPr>
  </w:style>
  <w:style w:type="character" w:customStyle="1" w:styleId="cf11">
    <w:name w:val="cf11"/>
    <w:basedOn w:val="DefaultParagraphFont"/>
    <w:rsid w:val="00A10D70"/>
    <w:rPr>
      <w:rFonts w:ascii="Segoe UI" w:hAnsi="Segoe UI" w:cs="Segoe UI" w:hint="default"/>
      <w:b/>
      <w:bCs/>
      <w:sz w:val="18"/>
      <w:szCs w:val="18"/>
      <w:shd w:val="clear" w:color="auto" w:fill="FFFF00"/>
    </w:rPr>
  </w:style>
  <w:style w:type="character" w:customStyle="1" w:styleId="cf21">
    <w:name w:val="cf21"/>
    <w:basedOn w:val="DefaultParagraphFont"/>
    <w:rsid w:val="00A10D70"/>
    <w:rPr>
      <w:rFonts w:ascii="Segoe UI" w:hAnsi="Segoe UI" w:cs="Segoe UI" w:hint="default"/>
      <w:sz w:val="18"/>
      <w:szCs w:val="18"/>
      <w:shd w:val="clear" w:color="auto" w:fill="FFFF00"/>
    </w:rPr>
  </w:style>
  <w:style w:type="character" w:customStyle="1" w:styleId="Heading2Char">
    <w:name w:val="Heading 2 Char"/>
    <w:basedOn w:val="DefaultParagraphFont"/>
    <w:link w:val="Heading2"/>
    <w:uiPriority w:val="9"/>
    <w:rsid w:val="00A01F46"/>
    <w:rPr>
      <w:rFonts w:asciiTheme="majorHAnsi" w:eastAsiaTheme="majorEastAsia" w:hAnsiTheme="majorHAnsi" w:cstheme="majorBidi"/>
      <w:color w:val="2E74B5" w:themeColor="accent1" w:themeShade="BF"/>
      <w:kern w:val="2"/>
      <w:sz w:val="26"/>
      <w:szCs w:val="26"/>
      <w:lang w:eastAsia="ja-JP"/>
      <w14:ligatures w14:val="standardContextual"/>
    </w:rPr>
  </w:style>
  <w:style w:type="character" w:styleId="Emphasis">
    <w:name w:val="Emphasis"/>
    <w:basedOn w:val="DefaultParagraphFont"/>
    <w:uiPriority w:val="20"/>
    <w:qFormat/>
    <w:rsid w:val="002F4E61"/>
    <w:rPr>
      <w:i/>
      <w:iCs/>
    </w:rPr>
  </w:style>
  <w:style w:type="paragraph" w:customStyle="1" w:styleId="Bullet">
    <w:name w:val="Bullet"/>
    <w:basedOn w:val="Normal"/>
    <w:link w:val="BulletChar"/>
    <w:rsid w:val="00410A29"/>
    <w:pPr>
      <w:numPr>
        <w:numId w:val="23"/>
      </w:numPr>
      <w:spacing w:after="0" w:line="276" w:lineRule="auto"/>
    </w:pPr>
    <w:rPr>
      <w:rFonts w:ascii="Lato" w:hAnsi="Lato"/>
    </w:rPr>
  </w:style>
  <w:style w:type="character" w:customStyle="1" w:styleId="BulletChar">
    <w:name w:val="Bullet Char"/>
    <w:basedOn w:val="DefaultParagraphFont"/>
    <w:link w:val="Bullet"/>
    <w:rsid w:val="00410A29"/>
    <w:rPr>
      <w:rFonts w:ascii="Lato" w:eastAsiaTheme="minorEastAsia" w:hAnsi="Lato"/>
      <w:kern w:val="2"/>
      <w:lang w:eastAsia="ja-JP"/>
      <w14:ligatures w14:val="standardContextual"/>
    </w:rPr>
  </w:style>
  <w:style w:type="paragraph" w:customStyle="1" w:styleId="Dash">
    <w:name w:val="Dash"/>
    <w:basedOn w:val="Normal"/>
    <w:link w:val="DashChar"/>
    <w:rsid w:val="00410A29"/>
    <w:pPr>
      <w:numPr>
        <w:ilvl w:val="1"/>
        <w:numId w:val="23"/>
      </w:numPr>
      <w:spacing w:after="0" w:line="276" w:lineRule="auto"/>
    </w:pPr>
    <w:rPr>
      <w:rFonts w:ascii="Lato" w:hAnsi="Lato"/>
    </w:rPr>
  </w:style>
  <w:style w:type="character" w:customStyle="1" w:styleId="DashChar">
    <w:name w:val="Dash Char"/>
    <w:basedOn w:val="DefaultParagraphFont"/>
    <w:link w:val="Dash"/>
    <w:rsid w:val="00410A29"/>
    <w:rPr>
      <w:rFonts w:ascii="Lato" w:eastAsiaTheme="minorEastAsia" w:hAnsi="Lato"/>
      <w:kern w:val="2"/>
      <w:lang w:eastAsia="ja-JP"/>
      <w14:ligatures w14:val="standardContextual"/>
    </w:rPr>
  </w:style>
  <w:style w:type="paragraph" w:customStyle="1" w:styleId="DoubleDot">
    <w:name w:val="Double Dot"/>
    <w:basedOn w:val="Normal"/>
    <w:link w:val="DoubleDotChar"/>
    <w:rsid w:val="00410A29"/>
    <w:pPr>
      <w:numPr>
        <w:ilvl w:val="2"/>
        <w:numId w:val="23"/>
      </w:numPr>
      <w:spacing w:after="0" w:line="276" w:lineRule="auto"/>
    </w:pPr>
    <w:rPr>
      <w:rFonts w:ascii="Lato" w:hAnsi="Lato"/>
    </w:rPr>
  </w:style>
  <w:style w:type="character" w:customStyle="1" w:styleId="DoubleDotChar">
    <w:name w:val="Double Dot Char"/>
    <w:basedOn w:val="DefaultParagraphFont"/>
    <w:link w:val="DoubleDot"/>
    <w:rsid w:val="00410A29"/>
    <w:rPr>
      <w:rFonts w:ascii="Lato" w:eastAsiaTheme="minorEastAsia" w:hAnsi="Lato"/>
      <w:kern w:val="2"/>
      <w:lang w:eastAsia="ja-JP"/>
      <w14:ligatures w14:val="standardContextual"/>
    </w:rPr>
  </w:style>
  <w:style w:type="character" w:styleId="UnresolvedMention">
    <w:name w:val="Unresolved Mention"/>
    <w:basedOn w:val="DefaultParagraphFont"/>
    <w:uiPriority w:val="99"/>
    <w:semiHidden/>
    <w:unhideWhenUsed/>
    <w:rsid w:val="005F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439">
      <w:bodyDiv w:val="1"/>
      <w:marLeft w:val="0"/>
      <w:marRight w:val="0"/>
      <w:marTop w:val="0"/>
      <w:marBottom w:val="0"/>
      <w:divBdr>
        <w:top w:val="none" w:sz="0" w:space="0" w:color="auto"/>
        <w:left w:val="none" w:sz="0" w:space="0" w:color="auto"/>
        <w:bottom w:val="none" w:sz="0" w:space="0" w:color="auto"/>
        <w:right w:val="none" w:sz="0" w:space="0" w:color="auto"/>
      </w:divBdr>
    </w:div>
    <w:div w:id="15735160">
      <w:bodyDiv w:val="1"/>
      <w:marLeft w:val="0"/>
      <w:marRight w:val="0"/>
      <w:marTop w:val="0"/>
      <w:marBottom w:val="0"/>
      <w:divBdr>
        <w:top w:val="none" w:sz="0" w:space="0" w:color="auto"/>
        <w:left w:val="none" w:sz="0" w:space="0" w:color="auto"/>
        <w:bottom w:val="none" w:sz="0" w:space="0" w:color="auto"/>
        <w:right w:val="none" w:sz="0" w:space="0" w:color="auto"/>
      </w:divBdr>
    </w:div>
    <w:div w:id="17123309">
      <w:bodyDiv w:val="1"/>
      <w:marLeft w:val="0"/>
      <w:marRight w:val="0"/>
      <w:marTop w:val="0"/>
      <w:marBottom w:val="0"/>
      <w:divBdr>
        <w:top w:val="none" w:sz="0" w:space="0" w:color="auto"/>
        <w:left w:val="none" w:sz="0" w:space="0" w:color="auto"/>
        <w:bottom w:val="none" w:sz="0" w:space="0" w:color="auto"/>
        <w:right w:val="none" w:sz="0" w:space="0" w:color="auto"/>
      </w:divBdr>
    </w:div>
    <w:div w:id="37093962">
      <w:bodyDiv w:val="1"/>
      <w:marLeft w:val="0"/>
      <w:marRight w:val="0"/>
      <w:marTop w:val="0"/>
      <w:marBottom w:val="0"/>
      <w:divBdr>
        <w:top w:val="none" w:sz="0" w:space="0" w:color="auto"/>
        <w:left w:val="none" w:sz="0" w:space="0" w:color="auto"/>
        <w:bottom w:val="none" w:sz="0" w:space="0" w:color="auto"/>
        <w:right w:val="none" w:sz="0" w:space="0" w:color="auto"/>
      </w:divBdr>
    </w:div>
    <w:div w:id="65031761">
      <w:bodyDiv w:val="1"/>
      <w:marLeft w:val="0"/>
      <w:marRight w:val="0"/>
      <w:marTop w:val="0"/>
      <w:marBottom w:val="0"/>
      <w:divBdr>
        <w:top w:val="none" w:sz="0" w:space="0" w:color="auto"/>
        <w:left w:val="none" w:sz="0" w:space="0" w:color="auto"/>
        <w:bottom w:val="none" w:sz="0" w:space="0" w:color="auto"/>
        <w:right w:val="none" w:sz="0" w:space="0" w:color="auto"/>
      </w:divBdr>
    </w:div>
    <w:div w:id="134765782">
      <w:bodyDiv w:val="1"/>
      <w:marLeft w:val="0"/>
      <w:marRight w:val="0"/>
      <w:marTop w:val="0"/>
      <w:marBottom w:val="0"/>
      <w:divBdr>
        <w:top w:val="none" w:sz="0" w:space="0" w:color="auto"/>
        <w:left w:val="none" w:sz="0" w:space="0" w:color="auto"/>
        <w:bottom w:val="none" w:sz="0" w:space="0" w:color="auto"/>
        <w:right w:val="none" w:sz="0" w:space="0" w:color="auto"/>
      </w:divBdr>
    </w:div>
    <w:div w:id="175924353">
      <w:bodyDiv w:val="1"/>
      <w:marLeft w:val="0"/>
      <w:marRight w:val="0"/>
      <w:marTop w:val="0"/>
      <w:marBottom w:val="0"/>
      <w:divBdr>
        <w:top w:val="none" w:sz="0" w:space="0" w:color="auto"/>
        <w:left w:val="none" w:sz="0" w:space="0" w:color="auto"/>
        <w:bottom w:val="none" w:sz="0" w:space="0" w:color="auto"/>
        <w:right w:val="none" w:sz="0" w:space="0" w:color="auto"/>
      </w:divBdr>
    </w:div>
    <w:div w:id="183174842">
      <w:bodyDiv w:val="1"/>
      <w:marLeft w:val="0"/>
      <w:marRight w:val="0"/>
      <w:marTop w:val="0"/>
      <w:marBottom w:val="0"/>
      <w:divBdr>
        <w:top w:val="none" w:sz="0" w:space="0" w:color="auto"/>
        <w:left w:val="none" w:sz="0" w:space="0" w:color="auto"/>
        <w:bottom w:val="none" w:sz="0" w:space="0" w:color="auto"/>
        <w:right w:val="none" w:sz="0" w:space="0" w:color="auto"/>
      </w:divBdr>
    </w:div>
    <w:div w:id="189808833">
      <w:bodyDiv w:val="1"/>
      <w:marLeft w:val="0"/>
      <w:marRight w:val="0"/>
      <w:marTop w:val="0"/>
      <w:marBottom w:val="0"/>
      <w:divBdr>
        <w:top w:val="none" w:sz="0" w:space="0" w:color="auto"/>
        <w:left w:val="none" w:sz="0" w:space="0" w:color="auto"/>
        <w:bottom w:val="none" w:sz="0" w:space="0" w:color="auto"/>
        <w:right w:val="none" w:sz="0" w:space="0" w:color="auto"/>
      </w:divBdr>
    </w:div>
    <w:div w:id="194268381">
      <w:bodyDiv w:val="1"/>
      <w:marLeft w:val="0"/>
      <w:marRight w:val="0"/>
      <w:marTop w:val="0"/>
      <w:marBottom w:val="0"/>
      <w:divBdr>
        <w:top w:val="none" w:sz="0" w:space="0" w:color="auto"/>
        <w:left w:val="none" w:sz="0" w:space="0" w:color="auto"/>
        <w:bottom w:val="none" w:sz="0" w:space="0" w:color="auto"/>
        <w:right w:val="none" w:sz="0" w:space="0" w:color="auto"/>
      </w:divBdr>
    </w:div>
    <w:div w:id="222252638">
      <w:bodyDiv w:val="1"/>
      <w:marLeft w:val="0"/>
      <w:marRight w:val="0"/>
      <w:marTop w:val="0"/>
      <w:marBottom w:val="0"/>
      <w:divBdr>
        <w:top w:val="none" w:sz="0" w:space="0" w:color="auto"/>
        <w:left w:val="none" w:sz="0" w:space="0" w:color="auto"/>
        <w:bottom w:val="none" w:sz="0" w:space="0" w:color="auto"/>
        <w:right w:val="none" w:sz="0" w:space="0" w:color="auto"/>
      </w:divBdr>
    </w:div>
    <w:div w:id="340010145">
      <w:bodyDiv w:val="1"/>
      <w:marLeft w:val="0"/>
      <w:marRight w:val="0"/>
      <w:marTop w:val="0"/>
      <w:marBottom w:val="0"/>
      <w:divBdr>
        <w:top w:val="none" w:sz="0" w:space="0" w:color="auto"/>
        <w:left w:val="none" w:sz="0" w:space="0" w:color="auto"/>
        <w:bottom w:val="none" w:sz="0" w:space="0" w:color="auto"/>
        <w:right w:val="none" w:sz="0" w:space="0" w:color="auto"/>
      </w:divBdr>
    </w:div>
    <w:div w:id="365562066">
      <w:bodyDiv w:val="1"/>
      <w:marLeft w:val="0"/>
      <w:marRight w:val="0"/>
      <w:marTop w:val="0"/>
      <w:marBottom w:val="0"/>
      <w:divBdr>
        <w:top w:val="none" w:sz="0" w:space="0" w:color="auto"/>
        <w:left w:val="none" w:sz="0" w:space="0" w:color="auto"/>
        <w:bottom w:val="none" w:sz="0" w:space="0" w:color="auto"/>
        <w:right w:val="none" w:sz="0" w:space="0" w:color="auto"/>
      </w:divBdr>
    </w:div>
    <w:div w:id="391007092">
      <w:bodyDiv w:val="1"/>
      <w:marLeft w:val="0"/>
      <w:marRight w:val="0"/>
      <w:marTop w:val="0"/>
      <w:marBottom w:val="0"/>
      <w:divBdr>
        <w:top w:val="none" w:sz="0" w:space="0" w:color="auto"/>
        <w:left w:val="none" w:sz="0" w:space="0" w:color="auto"/>
        <w:bottom w:val="none" w:sz="0" w:space="0" w:color="auto"/>
        <w:right w:val="none" w:sz="0" w:space="0" w:color="auto"/>
      </w:divBdr>
    </w:div>
    <w:div w:id="426732641">
      <w:bodyDiv w:val="1"/>
      <w:marLeft w:val="0"/>
      <w:marRight w:val="0"/>
      <w:marTop w:val="0"/>
      <w:marBottom w:val="0"/>
      <w:divBdr>
        <w:top w:val="none" w:sz="0" w:space="0" w:color="auto"/>
        <w:left w:val="none" w:sz="0" w:space="0" w:color="auto"/>
        <w:bottom w:val="none" w:sz="0" w:space="0" w:color="auto"/>
        <w:right w:val="none" w:sz="0" w:space="0" w:color="auto"/>
      </w:divBdr>
    </w:div>
    <w:div w:id="549994351">
      <w:bodyDiv w:val="1"/>
      <w:marLeft w:val="0"/>
      <w:marRight w:val="0"/>
      <w:marTop w:val="0"/>
      <w:marBottom w:val="0"/>
      <w:divBdr>
        <w:top w:val="none" w:sz="0" w:space="0" w:color="auto"/>
        <w:left w:val="none" w:sz="0" w:space="0" w:color="auto"/>
        <w:bottom w:val="none" w:sz="0" w:space="0" w:color="auto"/>
        <w:right w:val="none" w:sz="0" w:space="0" w:color="auto"/>
      </w:divBdr>
    </w:div>
    <w:div w:id="568150929">
      <w:bodyDiv w:val="1"/>
      <w:marLeft w:val="0"/>
      <w:marRight w:val="0"/>
      <w:marTop w:val="0"/>
      <w:marBottom w:val="0"/>
      <w:divBdr>
        <w:top w:val="none" w:sz="0" w:space="0" w:color="auto"/>
        <w:left w:val="none" w:sz="0" w:space="0" w:color="auto"/>
        <w:bottom w:val="none" w:sz="0" w:space="0" w:color="auto"/>
        <w:right w:val="none" w:sz="0" w:space="0" w:color="auto"/>
      </w:divBdr>
    </w:div>
    <w:div w:id="638802879">
      <w:bodyDiv w:val="1"/>
      <w:marLeft w:val="0"/>
      <w:marRight w:val="0"/>
      <w:marTop w:val="0"/>
      <w:marBottom w:val="0"/>
      <w:divBdr>
        <w:top w:val="none" w:sz="0" w:space="0" w:color="auto"/>
        <w:left w:val="none" w:sz="0" w:space="0" w:color="auto"/>
        <w:bottom w:val="none" w:sz="0" w:space="0" w:color="auto"/>
        <w:right w:val="none" w:sz="0" w:space="0" w:color="auto"/>
      </w:divBdr>
    </w:div>
    <w:div w:id="661157768">
      <w:bodyDiv w:val="1"/>
      <w:marLeft w:val="0"/>
      <w:marRight w:val="0"/>
      <w:marTop w:val="0"/>
      <w:marBottom w:val="0"/>
      <w:divBdr>
        <w:top w:val="none" w:sz="0" w:space="0" w:color="auto"/>
        <w:left w:val="none" w:sz="0" w:space="0" w:color="auto"/>
        <w:bottom w:val="none" w:sz="0" w:space="0" w:color="auto"/>
        <w:right w:val="none" w:sz="0" w:space="0" w:color="auto"/>
      </w:divBdr>
    </w:div>
    <w:div w:id="688071674">
      <w:bodyDiv w:val="1"/>
      <w:marLeft w:val="0"/>
      <w:marRight w:val="0"/>
      <w:marTop w:val="0"/>
      <w:marBottom w:val="0"/>
      <w:divBdr>
        <w:top w:val="none" w:sz="0" w:space="0" w:color="auto"/>
        <w:left w:val="none" w:sz="0" w:space="0" w:color="auto"/>
        <w:bottom w:val="none" w:sz="0" w:space="0" w:color="auto"/>
        <w:right w:val="none" w:sz="0" w:space="0" w:color="auto"/>
      </w:divBdr>
    </w:div>
    <w:div w:id="769273244">
      <w:bodyDiv w:val="1"/>
      <w:marLeft w:val="0"/>
      <w:marRight w:val="0"/>
      <w:marTop w:val="0"/>
      <w:marBottom w:val="0"/>
      <w:divBdr>
        <w:top w:val="none" w:sz="0" w:space="0" w:color="auto"/>
        <w:left w:val="none" w:sz="0" w:space="0" w:color="auto"/>
        <w:bottom w:val="none" w:sz="0" w:space="0" w:color="auto"/>
        <w:right w:val="none" w:sz="0" w:space="0" w:color="auto"/>
      </w:divBdr>
    </w:div>
    <w:div w:id="812528633">
      <w:bodyDiv w:val="1"/>
      <w:marLeft w:val="0"/>
      <w:marRight w:val="0"/>
      <w:marTop w:val="0"/>
      <w:marBottom w:val="0"/>
      <w:divBdr>
        <w:top w:val="none" w:sz="0" w:space="0" w:color="auto"/>
        <w:left w:val="none" w:sz="0" w:space="0" w:color="auto"/>
        <w:bottom w:val="none" w:sz="0" w:space="0" w:color="auto"/>
        <w:right w:val="none" w:sz="0" w:space="0" w:color="auto"/>
      </w:divBdr>
    </w:div>
    <w:div w:id="813259877">
      <w:bodyDiv w:val="1"/>
      <w:marLeft w:val="0"/>
      <w:marRight w:val="0"/>
      <w:marTop w:val="0"/>
      <w:marBottom w:val="0"/>
      <w:divBdr>
        <w:top w:val="none" w:sz="0" w:space="0" w:color="auto"/>
        <w:left w:val="none" w:sz="0" w:space="0" w:color="auto"/>
        <w:bottom w:val="none" w:sz="0" w:space="0" w:color="auto"/>
        <w:right w:val="none" w:sz="0" w:space="0" w:color="auto"/>
      </w:divBdr>
    </w:div>
    <w:div w:id="817575287">
      <w:bodyDiv w:val="1"/>
      <w:marLeft w:val="0"/>
      <w:marRight w:val="0"/>
      <w:marTop w:val="0"/>
      <w:marBottom w:val="0"/>
      <w:divBdr>
        <w:top w:val="none" w:sz="0" w:space="0" w:color="auto"/>
        <w:left w:val="none" w:sz="0" w:space="0" w:color="auto"/>
        <w:bottom w:val="none" w:sz="0" w:space="0" w:color="auto"/>
        <w:right w:val="none" w:sz="0" w:space="0" w:color="auto"/>
      </w:divBdr>
    </w:div>
    <w:div w:id="821001643">
      <w:bodyDiv w:val="1"/>
      <w:marLeft w:val="0"/>
      <w:marRight w:val="0"/>
      <w:marTop w:val="0"/>
      <w:marBottom w:val="0"/>
      <w:divBdr>
        <w:top w:val="none" w:sz="0" w:space="0" w:color="auto"/>
        <w:left w:val="none" w:sz="0" w:space="0" w:color="auto"/>
        <w:bottom w:val="none" w:sz="0" w:space="0" w:color="auto"/>
        <w:right w:val="none" w:sz="0" w:space="0" w:color="auto"/>
      </w:divBdr>
    </w:div>
    <w:div w:id="825436844">
      <w:bodyDiv w:val="1"/>
      <w:marLeft w:val="0"/>
      <w:marRight w:val="0"/>
      <w:marTop w:val="0"/>
      <w:marBottom w:val="0"/>
      <w:divBdr>
        <w:top w:val="none" w:sz="0" w:space="0" w:color="auto"/>
        <w:left w:val="none" w:sz="0" w:space="0" w:color="auto"/>
        <w:bottom w:val="none" w:sz="0" w:space="0" w:color="auto"/>
        <w:right w:val="none" w:sz="0" w:space="0" w:color="auto"/>
      </w:divBdr>
    </w:div>
    <w:div w:id="844200264">
      <w:bodyDiv w:val="1"/>
      <w:marLeft w:val="0"/>
      <w:marRight w:val="0"/>
      <w:marTop w:val="0"/>
      <w:marBottom w:val="0"/>
      <w:divBdr>
        <w:top w:val="none" w:sz="0" w:space="0" w:color="auto"/>
        <w:left w:val="none" w:sz="0" w:space="0" w:color="auto"/>
        <w:bottom w:val="none" w:sz="0" w:space="0" w:color="auto"/>
        <w:right w:val="none" w:sz="0" w:space="0" w:color="auto"/>
      </w:divBdr>
    </w:div>
    <w:div w:id="933510349">
      <w:bodyDiv w:val="1"/>
      <w:marLeft w:val="0"/>
      <w:marRight w:val="0"/>
      <w:marTop w:val="0"/>
      <w:marBottom w:val="0"/>
      <w:divBdr>
        <w:top w:val="none" w:sz="0" w:space="0" w:color="auto"/>
        <w:left w:val="none" w:sz="0" w:space="0" w:color="auto"/>
        <w:bottom w:val="none" w:sz="0" w:space="0" w:color="auto"/>
        <w:right w:val="none" w:sz="0" w:space="0" w:color="auto"/>
      </w:divBdr>
    </w:div>
    <w:div w:id="941839243">
      <w:bodyDiv w:val="1"/>
      <w:marLeft w:val="0"/>
      <w:marRight w:val="0"/>
      <w:marTop w:val="0"/>
      <w:marBottom w:val="0"/>
      <w:divBdr>
        <w:top w:val="none" w:sz="0" w:space="0" w:color="auto"/>
        <w:left w:val="none" w:sz="0" w:space="0" w:color="auto"/>
        <w:bottom w:val="none" w:sz="0" w:space="0" w:color="auto"/>
        <w:right w:val="none" w:sz="0" w:space="0" w:color="auto"/>
      </w:divBdr>
    </w:div>
    <w:div w:id="956914290">
      <w:bodyDiv w:val="1"/>
      <w:marLeft w:val="0"/>
      <w:marRight w:val="0"/>
      <w:marTop w:val="0"/>
      <w:marBottom w:val="0"/>
      <w:divBdr>
        <w:top w:val="none" w:sz="0" w:space="0" w:color="auto"/>
        <w:left w:val="none" w:sz="0" w:space="0" w:color="auto"/>
        <w:bottom w:val="none" w:sz="0" w:space="0" w:color="auto"/>
        <w:right w:val="none" w:sz="0" w:space="0" w:color="auto"/>
      </w:divBdr>
    </w:div>
    <w:div w:id="965157242">
      <w:bodyDiv w:val="1"/>
      <w:marLeft w:val="0"/>
      <w:marRight w:val="0"/>
      <w:marTop w:val="0"/>
      <w:marBottom w:val="0"/>
      <w:divBdr>
        <w:top w:val="none" w:sz="0" w:space="0" w:color="auto"/>
        <w:left w:val="none" w:sz="0" w:space="0" w:color="auto"/>
        <w:bottom w:val="none" w:sz="0" w:space="0" w:color="auto"/>
        <w:right w:val="none" w:sz="0" w:space="0" w:color="auto"/>
      </w:divBdr>
    </w:div>
    <w:div w:id="1130513668">
      <w:bodyDiv w:val="1"/>
      <w:marLeft w:val="0"/>
      <w:marRight w:val="0"/>
      <w:marTop w:val="0"/>
      <w:marBottom w:val="0"/>
      <w:divBdr>
        <w:top w:val="none" w:sz="0" w:space="0" w:color="auto"/>
        <w:left w:val="none" w:sz="0" w:space="0" w:color="auto"/>
        <w:bottom w:val="none" w:sz="0" w:space="0" w:color="auto"/>
        <w:right w:val="none" w:sz="0" w:space="0" w:color="auto"/>
      </w:divBdr>
    </w:div>
    <w:div w:id="1177579304">
      <w:bodyDiv w:val="1"/>
      <w:marLeft w:val="0"/>
      <w:marRight w:val="0"/>
      <w:marTop w:val="0"/>
      <w:marBottom w:val="0"/>
      <w:divBdr>
        <w:top w:val="none" w:sz="0" w:space="0" w:color="auto"/>
        <w:left w:val="none" w:sz="0" w:space="0" w:color="auto"/>
        <w:bottom w:val="none" w:sz="0" w:space="0" w:color="auto"/>
        <w:right w:val="none" w:sz="0" w:space="0" w:color="auto"/>
      </w:divBdr>
    </w:div>
    <w:div w:id="1206674949">
      <w:bodyDiv w:val="1"/>
      <w:marLeft w:val="0"/>
      <w:marRight w:val="0"/>
      <w:marTop w:val="0"/>
      <w:marBottom w:val="0"/>
      <w:divBdr>
        <w:top w:val="none" w:sz="0" w:space="0" w:color="auto"/>
        <w:left w:val="none" w:sz="0" w:space="0" w:color="auto"/>
        <w:bottom w:val="none" w:sz="0" w:space="0" w:color="auto"/>
        <w:right w:val="none" w:sz="0" w:space="0" w:color="auto"/>
      </w:divBdr>
    </w:div>
    <w:div w:id="1271544250">
      <w:bodyDiv w:val="1"/>
      <w:marLeft w:val="0"/>
      <w:marRight w:val="0"/>
      <w:marTop w:val="0"/>
      <w:marBottom w:val="0"/>
      <w:divBdr>
        <w:top w:val="none" w:sz="0" w:space="0" w:color="auto"/>
        <w:left w:val="none" w:sz="0" w:space="0" w:color="auto"/>
        <w:bottom w:val="none" w:sz="0" w:space="0" w:color="auto"/>
        <w:right w:val="none" w:sz="0" w:space="0" w:color="auto"/>
      </w:divBdr>
    </w:div>
    <w:div w:id="1352295621">
      <w:bodyDiv w:val="1"/>
      <w:marLeft w:val="0"/>
      <w:marRight w:val="0"/>
      <w:marTop w:val="0"/>
      <w:marBottom w:val="0"/>
      <w:divBdr>
        <w:top w:val="none" w:sz="0" w:space="0" w:color="auto"/>
        <w:left w:val="none" w:sz="0" w:space="0" w:color="auto"/>
        <w:bottom w:val="none" w:sz="0" w:space="0" w:color="auto"/>
        <w:right w:val="none" w:sz="0" w:space="0" w:color="auto"/>
      </w:divBdr>
    </w:div>
    <w:div w:id="1414736383">
      <w:bodyDiv w:val="1"/>
      <w:marLeft w:val="0"/>
      <w:marRight w:val="0"/>
      <w:marTop w:val="0"/>
      <w:marBottom w:val="0"/>
      <w:divBdr>
        <w:top w:val="none" w:sz="0" w:space="0" w:color="auto"/>
        <w:left w:val="none" w:sz="0" w:space="0" w:color="auto"/>
        <w:bottom w:val="none" w:sz="0" w:space="0" w:color="auto"/>
        <w:right w:val="none" w:sz="0" w:space="0" w:color="auto"/>
      </w:divBdr>
    </w:div>
    <w:div w:id="1502575255">
      <w:bodyDiv w:val="1"/>
      <w:marLeft w:val="0"/>
      <w:marRight w:val="0"/>
      <w:marTop w:val="0"/>
      <w:marBottom w:val="0"/>
      <w:divBdr>
        <w:top w:val="none" w:sz="0" w:space="0" w:color="auto"/>
        <w:left w:val="none" w:sz="0" w:space="0" w:color="auto"/>
        <w:bottom w:val="none" w:sz="0" w:space="0" w:color="auto"/>
        <w:right w:val="none" w:sz="0" w:space="0" w:color="auto"/>
      </w:divBdr>
    </w:div>
    <w:div w:id="1630477907">
      <w:bodyDiv w:val="1"/>
      <w:marLeft w:val="0"/>
      <w:marRight w:val="0"/>
      <w:marTop w:val="0"/>
      <w:marBottom w:val="0"/>
      <w:divBdr>
        <w:top w:val="none" w:sz="0" w:space="0" w:color="auto"/>
        <w:left w:val="none" w:sz="0" w:space="0" w:color="auto"/>
        <w:bottom w:val="none" w:sz="0" w:space="0" w:color="auto"/>
        <w:right w:val="none" w:sz="0" w:space="0" w:color="auto"/>
      </w:divBdr>
    </w:div>
    <w:div w:id="1700467432">
      <w:bodyDiv w:val="1"/>
      <w:marLeft w:val="0"/>
      <w:marRight w:val="0"/>
      <w:marTop w:val="0"/>
      <w:marBottom w:val="0"/>
      <w:divBdr>
        <w:top w:val="none" w:sz="0" w:space="0" w:color="auto"/>
        <w:left w:val="none" w:sz="0" w:space="0" w:color="auto"/>
        <w:bottom w:val="none" w:sz="0" w:space="0" w:color="auto"/>
        <w:right w:val="none" w:sz="0" w:space="0" w:color="auto"/>
      </w:divBdr>
    </w:div>
    <w:div w:id="1758668757">
      <w:bodyDiv w:val="1"/>
      <w:marLeft w:val="0"/>
      <w:marRight w:val="0"/>
      <w:marTop w:val="0"/>
      <w:marBottom w:val="0"/>
      <w:divBdr>
        <w:top w:val="none" w:sz="0" w:space="0" w:color="auto"/>
        <w:left w:val="none" w:sz="0" w:space="0" w:color="auto"/>
        <w:bottom w:val="none" w:sz="0" w:space="0" w:color="auto"/>
        <w:right w:val="none" w:sz="0" w:space="0" w:color="auto"/>
      </w:divBdr>
    </w:div>
    <w:div w:id="1902252607">
      <w:bodyDiv w:val="1"/>
      <w:marLeft w:val="0"/>
      <w:marRight w:val="0"/>
      <w:marTop w:val="0"/>
      <w:marBottom w:val="0"/>
      <w:divBdr>
        <w:top w:val="none" w:sz="0" w:space="0" w:color="auto"/>
        <w:left w:val="none" w:sz="0" w:space="0" w:color="auto"/>
        <w:bottom w:val="none" w:sz="0" w:space="0" w:color="auto"/>
        <w:right w:val="none" w:sz="0" w:space="0" w:color="auto"/>
      </w:divBdr>
    </w:div>
    <w:div w:id="1911385628">
      <w:bodyDiv w:val="1"/>
      <w:marLeft w:val="0"/>
      <w:marRight w:val="0"/>
      <w:marTop w:val="0"/>
      <w:marBottom w:val="0"/>
      <w:divBdr>
        <w:top w:val="none" w:sz="0" w:space="0" w:color="auto"/>
        <w:left w:val="none" w:sz="0" w:space="0" w:color="auto"/>
        <w:bottom w:val="none" w:sz="0" w:space="0" w:color="auto"/>
        <w:right w:val="none" w:sz="0" w:space="0" w:color="auto"/>
      </w:divBdr>
    </w:div>
    <w:div w:id="1913202012">
      <w:bodyDiv w:val="1"/>
      <w:marLeft w:val="0"/>
      <w:marRight w:val="0"/>
      <w:marTop w:val="0"/>
      <w:marBottom w:val="0"/>
      <w:divBdr>
        <w:top w:val="none" w:sz="0" w:space="0" w:color="auto"/>
        <w:left w:val="none" w:sz="0" w:space="0" w:color="auto"/>
        <w:bottom w:val="none" w:sz="0" w:space="0" w:color="auto"/>
        <w:right w:val="none" w:sz="0" w:space="0" w:color="auto"/>
      </w:divBdr>
    </w:div>
    <w:div w:id="1987587929">
      <w:bodyDiv w:val="1"/>
      <w:marLeft w:val="0"/>
      <w:marRight w:val="0"/>
      <w:marTop w:val="0"/>
      <w:marBottom w:val="0"/>
      <w:divBdr>
        <w:top w:val="none" w:sz="0" w:space="0" w:color="auto"/>
        <w:left w:val="none" w:sz="0" w:space="0" w:color="auto"/>
        <w:bottom w:val="none" w:sz="0" w:space="0" w:color="auto"/>
        <w:right w:val="none" w:sz="0" w:space="0" w:color="auto"/>
      </w:divBdr>
    </w:div>
    <w:div w:id="1990669135">
      <w:bodyDiv w:val="1"/>
      <w:marLeft w:val="0"/>
      <w:marRight w:val="0"/>
      <w:marTop w:val="0"/>
      <w:marBottom w:val="0"/>
      <w:divBdr>
        <w:top w:val="none" w:sz="0" w:space="0" w:color="auto"/>
        <w:left w:val="none" w:sz="0" w:space="0" w:color="auto"/>
        <w:bottom w:val="none" w:sz="0" w:space="0" w:color="auto"/>
        <w:right w:val="none" w:sz="0" w:space="0" w:color="auto"/>
      </w:divBdr>
    </w:div>
    <w:div w:id="2012103509">
      <w:bodyDiv w:val="1"/>
      <w:marLeft w:val="0"/>
      <w:marRight w:val="0"/>
      <w:marTop w:val="0"/>
      <w:marBottom w:val="0"/>
      <w:divBdr>
        <w:top w:val="none" w:sz="0" w:space="0" w:color="auto"/>
        <w:left w:val="none" w:sz="0" w:space="0" w:color="auto"/>
        <w:bottom w:val="none" w:sz="0" w:space="0" w:color="auto"/>
        <w:right w:val="none" w:sz="0" w:space="0" w:color="auto"/>
      </w:divBdr>
    </w:div>
    <w:div w:id="21174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B6734-E955-4144-926A-069500496970}">
  <ds:schemaRefs>
    <ds:schemaRef ds:uri="http://schemas.openxmlformats.org/officeDocument/2006/bibliography"/>
  </ds:schemaRefs>
</ds:datastoreItem>
</file>

<file path=customXml/itemProps2.xml><?xml version="1.0" encoding="utf-8"?>
<ds:datastoreItem xmlns:ds="http://schemas.openxmlformats.org/officeDocument/2006/customXml" ds:itemID="{1A0B042D-9304-40C6-9C08-29A17134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35B8-6D55-432E-83BE-666D2B3443FE}">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07F3AA55-E6D1-4355-8D0A-4D1E7CD79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3252</Words>
  <Characters>20829</Characters>
  <Application>Microsoft Office Word</Application>
  <DocSecurity>0</DocSecurity>
  <Lines>588</Lines>
  <Paragraphs>235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Improved Completions Especially for Priority Groups</dc:title>
  <dc:subject/>
  <dc:creator>Archie Wright</dc:creator>
  <cp:keywords/>
  <dc:description/>
  <cp:lastModifiedBy>Commonwealth</cp:lastModifiedBy>
  <cp:revision>10</cp:revision>
  <cp:lastPrinted>2025-11-06T02:27:00Z</cp:lastPrinted>
  <dcterms:created xsi:type="dcterms:W3CDTF">2025-11-11T23:22:00Z</dcterms:created>
  <dcterms:modified xsi:type="dcterms:W3CDTF">2026-01-11T22:27:00Z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SIP_Label_1112e48c-f0e0-48fb-b5c1-02479cac7f09_Enabled">
    <vt:lpwstr>True</vt:lpwstr>
  </property>
  <property fmtid="{D5CDD505-2E9C-101B-9397-08002B2CF9AE}" pid="4" name="MSIP_Label_1112e48c-f0e0-48fb-b5c1-02479cac7f09_SiteId">
    <vt:lpwstr>dd0cfd15-4558-4b12-8bad-ea26984fc417</vt:lpwstr>
  </property>
  <property fmtid="{D5CDD505-2E9C-101B-9397-08002B2CF9AE}" pid="5" name="MSIP_Label_1112e48c-f0e0-48fb-b5c1-02479cac7f09_SetDate">
    <vt:lpwstr>2025-09-18T02:11:49Z</vt:lpwstr>
  </property>
  <property fmtid="{D5CDD505-2E9C-101B-9397-08002B2CF9AE}" pid="6" name="MSIP_Label_1112e48c-f0e0-48fb-b5c1-02479cac7f09_Name">
    <vt:lpwstr>OFFICIAL Sensitive \ OFFICIAL Sensitive</vt:lpwstr>
  </property>
  <property fmtid="{D5CDD505-2E9C-101B-9397-08002B2CF9AE}" pid="7" name="MSIP_Label_1112e48c-f0e0-48fb-b5c1-02479cac7f09_ActionId">
    <vt:lpwstr>3f5d727d-1cf7-4c87-bd75-64910da27e55</vt:lpwstr>
  </property>
  <property fmtid="{D5CDD505-2E9C-101B-9397-08002B2CF9AE}" pid="8" name="MSIP_Label_1112e48c-f0e0-48fb-b5c1-02479cac7f09_Removed">
    <vt:lpwstr>False</vt:lpwstr>
  </property>
  <property fmtid="{D5CDD505-2E9C-101B-9397-08002B2CF9AE}" pid="9" name="MSIP_Label_1112e48c-f0e0-48fb-b5c1-02479cac7f09_Parent">
    <vt:lpwstr>acc8e1d3-1a3c-495c-82f0-24b8f466bc9f</vt:lpwstr>
  </property>
  <property fmtid="{D5CDD505-2E9C-101B-9397-08002B2CF9AE}" pid="10" name="MSIP_Label_1112e48c-f0e0-48fb-b5c1-02479cac7f09_Extended_MSFT_Method">
    <vt:lpwstr>Standard</vt:lpwstr>
  </property>
  <property fmtid="{D5CDD505-2E9C-101B-9397-08002B2CF9AE}" pid="11" name="MSIP_Label_acc8e1d3-1a3c-495c-82f0-24b8f466bc9f_Enabled">
    <vt:lpwstr>True</vt:lpwstr>
  </property>
  <property fmtid="{D5CDD505-2E9C-101B-9397-08002B2CF9AE}" pid="12" name="MSIP_Label_acc8e1d3-1a3c-495c-82f0-24b8f466bc9f_SiteId">
    <vt:lpwstr>dd0cfd15-4558-4b12-8bad-ea26984fc417</vt:lpwstr>
  </property>
  <property fmtid="{D5CDD505-2E9C-101B-9397-08002B2CF9AE}" pid="13" name="MSIP_Label_acc8e1d3-1a3c-495c-82f0-24b8f466bc9f_SetDate">
    <vt:lpwstr>2025-09-18T02:11:49Z</vt:lpwstr>
  </property>
  <property fmtid="{D5CDD505-2E9C-101B-9397-08002B2CF9AE}" pid="14" name="MSIP_Label_acc8e1d3-1a3c-495c-82f0-24b8f466bc9f_Name">
    <vt:lpwstr>OFFICIAL Sensitive</vt:lpwstr>
  </property>
  <property fmtid="{D5CDD505-2E9C-101B-9397-08002B2CF9AE}" pid="15" name="MSIP_Label_acc8e1d3-1a3c-495c-82f0-24b8f466bc9f_ActionId">
    <vt:lpwstr>8cef0cb4-9d8a-424b-b220-fd9eb0b45515</vt:lpwstr>
  </property>
  <property fmtid="{D5CDD505-2E9C-101B-9397-08002B2CF9AE}" pid="16" name="MSIP_Label_acc8e1d3-1a3c-495c-82f0-24b8f466bc9f_Extended_MSFT_Method">
    <vt:lpwstr>Standard</vt:lpwstr>
  </property>
  <property fmtid="{D5CDD505-2E9C-101B-9397-08002B2CF9AE}" pid="17" name="MediaServiceImageTags">
    <vt:lpwstr/>
  </property>
  <property fmtid="{D5CDD505-2E9C-101B-9397-08002B2CF9AE}" pid="18" name="eTheme">
    <vt:lpwstr>1</vt:lpwstr>
  </property>
  <property fmtid="{D5CDD505-2E9C-101B-9397-08002B2CF9AE}" pid="19" name="eTopic">
    <vt:lpwstr>30;#Federal Finances|bacab4ad-74a3-47e8-ba9b-a729110a24c1</vt:lpwstr>
  </property>
  <property fmtid="{D5CDD505-2E9C-101B-9397-08002B2CF9AE}" pid="20" name="eActivity">
    <vt:lpwstr>70</vt:lpwstr>
  </property>
  <property fmtid="{D5CDD505-2E9C-101B-9397-08002B2CF9AE}" pid="21" name="_dlc_DocIdItemGuid">
    <vt:lpwstr>d5badc51-00d5-4b10-9889-5d880a9092f6</vt:lpwstr>
  </property>
  <property fmtid="{D5CDD505-2E9C-101B-9397-08002B2CF9AE}" pid="22" name="TSYStatus">
    <vt:lpwstr/>
  </property>
  <property fmtid="{D5CDD505-2E9C-101B-9397-08002B2CF9AE}" pid="23" name="SPPCode">
    <vt:lpwstr/>
  </property>
  <property fmtid="{D5CDD505-2E9C-101B-9397-08002B2CF9AE}" pid="24" name="eDocumentType">
    <vt:lpwstr>28;#Agreement (Right of use or Memorandum of understanding)|f8448f88-8343-4d6d-a573-2505a5b4876a</vt:lpwstr>
  </property>
  <property fmtid="{D5CDD505-2E9C-101B-9397-08002B2CF9AE}" pid="25" name="ClassificationContentMarkingHeaderShapeIds">
    <vt:lpwstr>23225177,5545d26b,4cbf0fab,499dd7d5,6da9de36,3719e79e</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288dca79,5f6c8e0c,347ffe33,45ecc383,2839fd6b,158f1d39</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6e3dc468-5731-4ec9-b671-cf2147a52e3a_Enabled">
    <vt:lpwstr>true</vt:lpwstr>
  </property>
  <property fmtid="{D5CDD505-2E9C-101B-9397-08002B2CF9AE}" pid="32" name="MSIP_Label_6e3dc468-5731-4ec9-b671-cf2147a52e3a_SetDate">
    <vt:lpwstr>2025-11-10T06:14:01Z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f12b2c2d-db95-4b52-a81e-5d435b2ce5b2</vt:lpwstr>
  </property>
  <property fmtid="{D5CDD505-2E9C-101B-9397-08002B2CF9AE}" pid="37" name="MSIP_Label_6e3dc468-5731-4ec9-b671-cf2147a52e3a_ContentBits">
    <vt:lpwstr>3</vt:lpwstr>
  </property>
  <property fmtid="{D5CDD505-2E9C-101B-9397-08002B2CF9AE}" pid="38" name="MSIP_Label_6e3dc468-5731-4ec9-b671-cf2147a52e3a_Tag">
    <vt:lpwstr>10, 0, 1, 1</vt:lpwstr>
  </property>
</Properties>
</file>