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1E2A" w14:textId="0FFA3655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8490E18" w14:textId="23DA85AF" w:rsidR="00205899" w:rsidRPr="001E20F4" w:rsidRDefault="12966E0D" w:rsidP="00205899">
      <w:pPr>
        <w:pStyle w:val="Title"/>
      </w:pPr>
      <w:r>
        <w:t xml:space="preserve">TAFE Technology Fund - </w:t>
      </w:r>
      <w:r w:rsidR="00DF5FAC">
        <w:t>Mobile TAFE</w:t>
      </w:r>
    </w:p>
    <w:p w14:paraId="665076CC" w14:textId="3EDB200D" w:rsidR="00103150" w:rsidRDefault="00103150" w:rsidP="00103150">
      <w:pPr>
        <w:pStyle w:val="Subtitle"/>
      </w:pPr>
      <w:r>
        <w:t xml:space="preserve">FEDERATION FUNDING AGREEMENT – </w:t>
      </w:r>
      <w:r w:rsidR="00D22DE3">
        <w:t>EDUCATION AND SKILLS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207B1CAC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5718F7" w:rsidRDefault="00205899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5718F7">
              <w:rPr>
                <w:b/>
                <w:color w:val="auto"/>
                <w:sz w:val="24"/>
                <w:szCs w:val="24"/>
              </w:rPr>
              <w:t>Table 1: Formalities and operation of schedule</w:t>
            </w:r>
          </w:p>
        </w:tc>
      </w:tr>
      <w:tr w:rsidR="00205899" w:rsidRPr="00F00A18" w14:paraId="58943C6C" w14:textId="77777777" w:rsidTr="207B1CAC">
        <w:tc>
          <w:tcPr>
            <w:tcW w:w="1691" w:type="dxa"/>
          </w:tcPr>
          <w:p w14:paraId="682F13DE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Parties</w:t>
            </w:r>
          </w:p>
        </w:tc>
        <w:tc>
          <w:tcPr>
            <w:tcW w:w="7938" w:type="dxa"/>
          </w:tcPr>
          <w:p w14:paraId="3F2A0917" w14:textId="77777777" w:rsidR="00911A92" w:rsidRPr="005718F7" w:rsidRDefault="00205899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Commonwealth</w:t>
            </w:r>
          </w:p>
          <w:p w14:paraId="570E72DD" w14:textId="77777777" w:rsidR="00911A92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New South Wales</w:t>
            </w:r>
          </w:p>
          <w:p w14:paraId="0A98DE6D" w14:textId="77777777" w:rsidR="00C47FB4" w:rsidRPr="00A509D2" w:rsidRDefault="00C47FB4" w:rsidP="58C20969">
            <w:pPr>
              <w:pStyle w:val="Tableformat"/>
              <w:rPr>
                <w:color w:val="auto"/>
                <w:sz w:val="24"/>
                <w:szCs w:val="24"/>
              </w:rPr>
            </w:pPr>
            <w:r w:rsidRPr="00A509D2" w:rsidDel="00C47FB4">
              <w:rPr>
                <w:color w:val="auto"/>
                <w:sz w:val="24"/>
                <w:szCs w:val="24"/>
              </w:rPr>
              <w:t>Victoria</w:t>
            </w:r>
          </w:p>
          <w:p w14:paraId="4BE7CAD5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Queensland</w:t>
            </w:r>
          </w:p>
          <w:p w14:paraId="64EDCEF0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Western </w:t>
            </w:r>
            <w:r w:rsidRPr="00C47FB4">
              <w:rPr>
                <w:color w:val="auto"/>
                <w:sz w:val="24"/>
                <w:szCs w:val="24"/>
              </w:rPr>
              <w:t>Australia</w:t>
            </w:r>
          </w:p>
          <w:p w14:paraId="0910CC9F" w14:textId="32DFBEE0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South </w:t>
            </w:r>
            <w:r w:rsidRPr="00C47FB4">
              <w:rPr>
                <w:color w:val="auto"/>
                <w:sz w:val="24"/>
                <w:szCs w:val="24"/>
              </w:rPr>
              <w:t>Australia</w:t>
            </w:r>
          </w:p>
          <w:p w14:paraId="186186D3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 w:rsidRPr="6E540C99" w:rsidDel="0898A756">
              <w:rPr>
                <w:color w:val="auto"/>
                <w:sz w:val="24"/>
                <w:szCs w:val="24"/>
              </w:rPr>
              <w:t>Tasmania</w:t>
            </w:r>
          </w:p>
          <w:p w14:paraId="0F3753BD" w14:textId="2F70D2F3" w:rsidR="00C47FB4" w:rsidRPr="005718F7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Northern Territory</w:t>
            </w:r>
          </w:p>
        </w:tc>
      </w:tr>
      <w:tr w:rsidR="00205899" w:rsidRPr="00F00A18" w14:paraId="4CFE5EA6" w14:textId="77777777" w:rsidTr="207B1CAC">
        <w:tc>
          <w:tcPr>
            <w:tcW w:w="1691" w:type="dxa"/>
          </w:tcPr>
          <w:p w14:paraId="49DECF01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Duration</w:t>
            </w:r>
          </w:p>
        </w:tc>
        <w:tc>
          <w:tcPr>
            <w:tcW w:w="7938" w:type="dxa"/>
          </w:tcPr>
          <w:p w14:paraId="03B8360E" w14:textId="64A285AC" w:rsidR="00205899" w:rsidRPr="005718F7" w:rsidRDefault="00103150" w:rsidP="00103150">
            <w:pPr>
              <w:pStyle w:val="Tableformat"/>
              <w:rPr>
                <w:color w:val="auto"/>
                <w:sz w:val="24"/>
                <w:szCs w:val="24"/>
              </w:rPr>
            </w:pPr>
            <w:r w:rsidRPr="6E540C99">
              <w:rPr>
                <w:color w:val="auto"/>
                <w:sz w:val="24"/>
                <w:szCs w:val="24"/>
              </w:rPr>
              <w:t xml:space="preserve">This Schedule is expected to expire on </w:t>
            </w:r>
            <w:r w:rsidR="43136175" w:rsidRPr="6E540C99">
              <w:rPr>
                <w:color w:val="auto"/>
                <w:sz w:val="24"/>
                <w:szCs w:val="24"/>
              </w:rPr>
              <w:t>30 June 2030</w:t>
            </w:r>
            <w:r w:rsidR="4B0C8D21" w:rsidRPr="6E540C99">
              <w:rPr>
                <w:color w:val="auto"/>
                <w:sz w:val="24"/>
                <w:szCs w:val="24"/>
              </w:rPr>
              <w:t xml:space="preserve">, or on completion of </w:t>
            </w:r>
            <w:r w:rsidR="72A7E0C0" w:rsidRPr="6E540C99">
              <w:rPr>
                <w:color w:val="auto"/>
                <w:sz w:val="24"/>
                <w:szCs w:val="24"/>
              </w:rPr>
              <w:t>all approved projects (whichever is later), including final performance reporting and processing of final payments against milestones</w:t>
            </w:r>
            <w:r w:rsidRPr="6E540C99">
              <w:rPr>
                <w:color w:val="auto"/>
                <w:sz w:val="24"/>
                <w:szCs w:val="24"/>
              </w:rPr>
              <w:t>.</w:t>
            </w:r>
          </w:p>
        </w:tc>
      </w:tr>
      <w:tr w:rsidR="00205899" w:rsidRPr="00F00A18" w14:paraId="22B0002D" w14:textId="77777777" w:rsidTr="207B1CAC">
        <w:tc>
          <w:tcPr>
            <w:tcW w:w="1691" w:type="dxa"/>
          </w:tcPr>
          <w:p w14:paraId="5581DC8C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Purpose</w:t>
            </w:r>
          </w:p>
        </w:tc>
        <w:tc>
          <w:tcPr>
            <w:tcW w:w="7938" w:type="dxa"/>
          </w:tcPr>
          <w:p w14:paraId="51FF0159" w14:textId="648BE216" w:rsidR="009D5A7C" w:rsidRDefault="00103150" w:rsidP="008168ED">
            <w:pPr>
              <w:pStyle w:val="Tableformat"/>
              <w:rPr>
                <w:color w:val="auto"/>
                <w:sz w:val="24"/>
                <w:szCs w:val="24"/>
              </w:rPr>
            </w:pPr>
            <w:r w:rsidRPr="6E540C99">
              <w:rPr>
                <w:color w:val="auto"/>
                <w:sz w:val="24"/>
                <w:szCs w:val="24"/>
              </w:rPr>
              <w:t xml:space="preserve">This Schedule </w:t>
            </w:r>
            <w:r w:rsidR="04ACDFBB" w:rsidRPr="6E540C99">
              <w:rPr>
                <w:color w:val="auto"/>
                <w:sz w:val="24"/>
                <w:szCs w:val="24"/>
              </w:rPr>
              <w:t xml:space="preserve">establishes the funding arrangements between the Commonwealth and the states and territories </w:t>
            </w:r>
            <w:r w:rsidR="161EB28D" w:rsidRPr="6E540C99">
              <w:rPr>
                <w:color w:val="auto"/>
                <w:sz w:val="24"/>
                <w:szCs w:val="24"/>
              </w:rPr>
              <w:t xml:space="preserve">(the States) to support the delivery of </w:t>
            </w:r>
            <w:r w:rsidR="393E88EE" w:rsidRPr="6E540C99">
              <w:rPr>
                <w:color w:val="auto"/>
                <w:sz w:val="24"/>
                <w:szCs w:val="24"/>
              </w:rPr>
              <w:t>Mobile TAFE</w:t>
            </w:r>
            <w:r w:rsidR="161EB28D" w:rsidRPr="6E540C99">
              <w:rPr>
                <w:color w:val="auto"/>
                <w:sz w:val="24"/>
                <w:szCs w:val="24"/>
              </w:rPr>
              <w:t xml:space="preserve">. </w:t>
            </w:r>
          </w:p>
          <w:p w14:paraId="71F6C351" w14:textId="4C4DB1BD" w:rsidR="00205899" w:rsidRPr="005718F7" w:rsidRDefault="5D3429D2" w:rsidP="008168ED">
            <w:pPr>
              <w:pStyle w:val="Tableformat"/>
              <w:rPr>
                <w:color w:val="auto"/>
                <w:sz w:val="24"/>
                <w:szCs w:val="24"/>
              </w:rPr>
            </w:pPr>
            <w:r w:rsidRPr="6E540C99">
              <w:rPr>
                <w:color w:val="auto"/>
                <w:sz w:val="24"/>
                <w:szCs w:val="24"/>
              </w:rPr>
              <w:t xml:space="preserve">This Schedule provides Commonwealth funding to State projects that </w:t>
            </w:r>
            <w:r w:rsidR="5C929ACB" w:rsidRPr="6E540C99">
              <w:rPr>
                <w:color w:val="auto"/>
                <w:sz w:val="24"/>
                <w:szCs w:val="24"/>
              </w:rPr>
              <w:t xml:space="preserve">have been developed in partnership with First Nations communities to help deliver skills </w:t>
            </w:r>
            <w:r w:rsidR="00C3433F">
              <w:rPr>
                <w:color w:val="auto"/>
                <w:sz w:val="24"/>
                <w:szCs w:val="24"/>
              </w:rPr>
              <w:t xml:space="preserve">and </w:t>
            </w:r>
            <w:r w:rsidR="5C929ACB" w:rsidRPr="6E540C99">
              <w:rPr>
                <w:color w:val="auto"/>
                <w:sz w:val="24"/>
                <w:szCs w:val="24"/>
              </w:rPr>
              <w:t xml:space="preserve">training to </w:t>
            </w:r>
            <w:r w:rsidR="2321BD1B" w:rsidRPr="3A03F67B">
              <w:rPr>
                <w:color w:val="auto"/>
                <w:sz w:val="24"/>
                <w:szCs w:val="24"/>
              </w:rPr>
              <w:t>outer regional and</w:t>
            </w:r>
            <w:r w:rsidR="5C929ACB" w:rsidRPr="3A03F67B">
              <w:rPr>
                <w:color w:val="auto"/>
                <w:sz w:val="24"/>
                <w:szCs w:val="24"/>
              </w:rPr>
              <w:t xml:space="preserve"> </w:t>
            </w:r>
            <w:r w:rsidR="5C929ACB" w:rsidRPr="6E540C99">
              <w:rPr>
                <w:color w:val="auto"/>
                <w:sz w:val="24"/>
                <w:szCs w:val="24"/>
              </w:rPr>
              <w:t>remote First</w:t>
            </w:r>
            <w:r w:rsidR="1771D44E" w:rsidRPr="6E540C99">
              <w:rPr>
                <w:color w:val="auto"/>
                <w:sz w:val="24"/>
                <w:szCs w:val="24"/>
              </w:rPr>
              <w:t xml:space="preserve"> </w:t>
            </w:r>
            <w:r w:rsidR="5C929ACB" w:rsidRPr="6E540C99">
              <w:rPr>
                <w:color w:val="auto"/>
                <w:sz w:val="24"/>
                <w:szCs w:val="24"/>
              </w:rPr>
              <w:t>Nations commun</w:t>
            </w:r>
            <w:r w:rsidR="0EF1B29C" w:rsidRPr="6E540C99">
              <w:rPr>
                <w:color w:val="auto"/>
                <w:sz w:val="24"/>
                <w:szCs w:val="24"/>
              </w:rPr>
              <w:t>ities.</w:t>
            </w:r>
          </w:p>
        </w:tc>
      </w:tr>
      <w:tr w:rsidR="00205899" w:rsidRPr="00F00A18" w14:paraId="007381A5" w14:textId="77777777" w:rsidTr="207B1CAC">
        <w:tc>
          <w:tcPr>
            <w:tcW w:w="1691" w:type="dxa"/>
          </w:tcPr>
          <w:p w14:paraId="55037AAA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Estimated financial contributions</w:t>
            </w:r>
          </w:p>
        </w:tc>
        <w:tc>
          <w:tcPr>
            <w:tcW w:w="7938" w:type="dxa"/>
          </w:tcPr>
          <w:tbl>
            <w:tblPr>
              <w:tblpPr w:leftFromText="180" w:rightFromText="180" w:vertAnchor="text" w:horzAnchor="margin" w:tblpY="898"/>
              <w:tblOverlap w:val="never"/>
              <w:tblW w:w="5000" w:type="pct"/>
              <w:tblLook w:val="01E0" w:firstRow="1" w:lastRow="1" w:firstColumn="1" w:lastColumn="1" w:noHBand="0" w:noVBand="0"/>
            </w:tblPr>
            <w:tblGrid>
              <w:gridCol w:w="2693"/>
              <w:gridCol w:w="993"/>
              <w:gridCol w:w="992"/>
              <w:gridCol w:w="992"/>
              <w:gridCol w:w="988"/>
              <w:gridCol w:w="1064"/>
            </w:tblGrid>
            <w:tr w:rsidR="0046111C" w:rsidRPr="00101AB3" w14:paraId="2D62623F" w14:textId="77777777" w:rsidTr="004F73DD">
              <w:trPr>
                <w:cantSplit/>
                <w:trHeight w:val="347"/>
              </w:trPr>
              <w:tc>
                <w:tcPr>
                  <w:tcW w:w="1744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587EA752" w14:textId="77777777" w:rsidR="0046111C" w:rsidRDefault="0046111C" w:rsidP="00C03EB5">
                  <w:pPr>
                    <w:keepNext/>
                    <w:keepLines/>
                    <w:ind w:left="-111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Table 1</w:t>
                  </w:r>
                </w:p>
                <w:p w14:paraId="0DE5EB1B" w14:textId="77777777" w:rsidR="0046111C" w:rsidRPr="005D39DD" w:rsidRDefault="0046111C" w:rsidP="00C03EB5">
                  <w:pPr>
                    <w:keepNext/>
                    <w:keepLines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($ million)</w:t>
                  </w:r>
                </w:p>
              </w:tc>
              <w:tc>
                <w:tcPr>
                  <w:tcW w:w="643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48791704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6874D4BC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2026-27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651219CB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0274775D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2027-28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4913CC81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179940AB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2028-29</w:t>
                  </w:r>
                </w:p>
              </w:tc>
              <w:tc>
                <w:tcPr>
                  <w:tcW w:w="640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6D529565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143A2327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2029-30</w:t>
                  </w:r>
                </w:p>
              </w:tc>
              <w:tc>
                <w:tcPr>
                  <w:tcW w:w="689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15635288" w14:textId="77777777" w:rsidR="0046111C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1E61EA33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Total</w:t>
                  </w:r>
                </w:p>
              </w:tc>
            </w:tr>
            <w:tr w:rsidR="0046111C" w:rsidRPr="00101AB3" w14:paraId="57042C07" w14:textId="77777777" w:rsidTr="004F73DD">
              <w:trPr>
                <w:cantSplit/>
                <w:trHeight w:val="205"/>
              </w:trPr>
              <w:tc>
                <w:tcPr>
                  <w:tcW w:w="1744" w:type="pct"/>
                  <w:tcBorders>
                    <w:top w:val="single" w:sz="4" w:space="0" w:color="000080"/>
                  </w:tcBorders>
                </w:tcPr>
                <w:p w14:paraId="325FDBCF" w14:textId="77777777" w:rsidR="0046111C" w:rsidRPr="005D39DD" w:rsidRDefault="0046111C" w:rsidP="00C03EB5">
                  <w:pPr>
                    <w:keepNext/>
                    <w:keepLines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Estimated total budget</w:t>
                  </w:r>
                </w:p>
              </w:tc>
              <w:tc>
                <w:tcPr>
                  <w:tcW w:w="643" w:type="pct"/>
                  <w:tcBorders>
                    <w:top w:val="single" w:sz="4" w:space="0" w:color="000080"/>
                  </w:tcBorders>
                </w:tcPr>
                <w:p w14:paraId="228074A2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80"/>
                  </w:tcBorders>
                </w:tcPr>
                <w:p w14:paraId="35073BED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80"/>
                  </w:tcBorders>
                </w:tcPr>
                <w:p w14:paraId="7192BB1A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  <w:tcBorders>
                    <w:top w:val="single" w:sz="4" w:space="0" w:color="000080"/>
                  </w:tcBorders>
                </w:tcPr>
                <w:p w14:paraId="2520C3A4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  <w:tcBorders>
                    <w:top w:val="single" w:sz="4" w:space="0" w:color="000080"/>
                  </w:tcBorders>
                </w:tcPr>
                <w:p w14:paraId="74FE335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0D4DEA46" w14:textId="77777777" w:rsidTr="004F73DD">
              <w:trPr>
                <w:cantSplit/>
                <w:trHeight w:val="347"/>
              </w:trPr>
              <w:tc>
                <w:tcPr>
                  <w:tcW w:w="1744" w:type="pct"/>
                </w:tcPr>
                <w:p w14:paraId="5619F4F7" w14:textId="77777777" w:rsidR="0046111C" w:rsidRPr="007766A2" w:rsidRDefault="0046111C" w:rsidP="00C03EB5">
                  <w:pPr>
                    <w:keepNext/>
                    <w:keepLines/>
                    <w:ind w:left="-111"/>
                    <w:rPr>
                      <w:i/>
                      <w:iCs/>
                      <w:sz w:val="21"/>
                      <w:szCs w:val="21"/>
                    </w:rPr>
                  </w:pPr>
                  <w:r w:rsidRPr="007766A2">
                    <w:rPr>
                      <w:i/>
                      <w:iCs/>
                      <w:sz w:val="21"/>
                      <w:szCs w:val="21"/>
                    </w:rPr>
                    <w:t xml:space="preserve">Less estimated National Partnership Payments </w:t>
                  </w:r>
                </w:p>
              </w:tc>
              <w:tc>
                <w:tcPr>
                  <w:tcW w:w="643" w:type="pct"/>
                </w:tcPr>
                <w:p w14:paraId="3CD77B33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319E3AB4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E3EE9CD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6E9C3237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793F5286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27B32FD7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01214232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NSW</w:t>
                  </w:r>
                </w:p>
              </w:tc>
              <w:tc>
                <w:tcPr>
                  <w:tcW w:w="643" w:type="pct"/>
                </w:tcPr>
                <w:p w14:paraId="73F52591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EAF2EBB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41A06F1C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42D3615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4249E3C1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29BC43E1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203F24F2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VIC</w:t>
                  </w:r>
                </w:p>
              </w:tc>
              <w:tc>
                <w:tcPr>
                  <w:tcW w:w="643" w:type="pct"/>
                </w:tcPr>
                <w:p w14:paraId="31792996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03D38E3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7BC0454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22FED64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256EE10C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1DE8B3BD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3684E342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QLD</w:t>
                  </w:r>
                </w:p>
              </w:tc>
              <w:tc>
                <w:tcPr>
                  <w:tcW w:w="643" w:type="pct"/>
                </w:tcPr>
                <w:p w14:paraId="230F309F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8C90ED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744B2817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024E005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056F67AB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10E2BB05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03440F01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WA</w:t>
                  </w:r>
                </w:p>
              </w:tc>
              <w:tc>
                <w:tcPr>
                  <w:tcW w:w="643" w:type="pct"/>
                </w:tcPr>
                <w:p w14:paraId="65004A2D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572A9A5F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1871048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42C79CF7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7EDD751C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25372A98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652D6E6E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SA</w:t>
                  </w:r>
                </w:p>
              </w:tc>
              <w:tc>
                <w:tcPr>
                  <w:tcW w:w="643" w:type="pct"/>
                </w:tcPr>
                <w:p w14:paraId="1AF253F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5D8C1B0C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62F67FE9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259604B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073F5F49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55EF7DA2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5069D01A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TAS</w:t>
                  </w:r>
                </w:p>
              </w:tc>
              <w:tc>
                <w:tcPr>
                  <w:tcW w:w="643" w:type="pct"/>
                </w:tcPr>
                <w:p w14:paraId="066148D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5D344050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38941F9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258CDE97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28440E90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208A4972" w14:textId="77777777" w:rsidTr="004F73DD">
              <w:trPr>
                <w:cantSplit/>
                <w:trHeight w:val="205"/>
              </w:trPr>
              <w:tc>
                <w:tcPr>
                  <w:tcW w:w="1744" w:type="pct"/>
                </w:tcPr>
                <w:p w14:paraId="5FB38917" w14:textId="77777777" w:rsidR="0046111C" w:rsidRPr="008C6B79" w:rsidRDefault="0046111C" w:rsidP="00C03EB5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NT</w:t>
                  </w:r>
                </w:p>
              </w:tc>
              <w:tc>
                <w:tcPr>
                  <w:tcW w:w="643" w:type="pct"/>
                </w:tcPr>
                <w:p w14:paraId="059F1E03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444F06B9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2" w:type="pct"/>
                </w:tcPr>
                <w:p w14:paraId="26C1B270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40" w:type="pct"/>
                </w:tcPr>
                <w:p w14:paraId="6FE7343F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  <w:tc>
                <w:tcPr>
                  <w:tcW w:w="689" w:type="pct"/>
                </w:tcPr>
                <w:p w14:paraId="13CC529F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TBC</w:t>
                  </w:r>
                </w:p>
              </w:tc>
            </w:tr>
            <w:tr w:rsidR="0046111C" w:rsidRPr="00101AB3" w14:paraId="3BE347BC" w14:textId="77777777" w:rsidTr="004F73DD">
              <w:trPr>
                <w:cantSplit/>
                <w:trHeight w:val="322"/>
              </w:trPr>
              <w:tc>
                <w:tcPr>
                  <w:tcW w:w="1744" w:type="pct"/>
                  <w:tcBorders>
                    <w:bottom w:val="single" w:sz="4" w:space="0" w:color="auto"/>
                  </w:tcBorders>
                </w:tcPr>
                <w:p w14:paraId="74307047" w14:textId="77777777" w:rsidR="0046111C" w:rsidRPr="008C6B79" w:rsidRDefault="0046111C" w:rsidP="00C03EB5">
                  <w:pPr>
                    <w:keepNext/>
                    <w:keepLines/>
                    <w:ind w:left="-111"/>
                    <w:rPr>
                      <w:sz w:val="21"/>
                      <w:szCs w:val="21"/>
                    </w:rPr>
                  </w:pPr>
                  <w:r w:rsidRPr="008C6B79">
                    <w:rPr>
                      <w:sz w:val="21"/>
                      <w:szCs w:val="21"/>
                    </w:rPr>
                    <w:t>Balance of non-Commonwealth contributions</w:t>
                  </w:r>
                </w:p>
              </w:tc>
              <w:tc>
                <w:tcPr>
                  <w:tcW w:w="643" w:type="pct"/>
                  <w:tcBorders>
                    <w:bottom w:val="single" w:sz="4" w:space="0" w:color="auto"/>
                  </w:tcBorders>
                </w:tcPr>
                <w:p w14:paraId="01505A25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 w:rsidRPr="005D39DD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642" w:type="pct"/>
                  <w:tcBorders>
                    <w:bottom w:val="single" w:sz="4" w:space="0" w:color="auto"/>
                  </w:tcBorders>
                </w:tcPr>
                <w:p w14:paraId="029EE4C8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 w:rsidRPr="005D39DD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642" w:type="pct"/>
                  <w:tcBorders>
                    <w:bottom w:val="single" w:sz="4" w:space="0" w:color="auto"/>
                  </w:tcBorders>
                </w:tcPr>
                <w:p w14:paraId="24BB8DFF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</w:t>
                  </w:r>
                  <w:r w:rsidRPr="005D39DD">
                    <w:rPr>
                      <w:sz w:val="21"/>
                      <w:szCs w:val="21"/>
                    </w:rPr>
                    <w:t>.0</w:t>
                  </w:r>
                </w:p>
              </w:tc>
              <w:tc>
                <w:tcPr>
                  <w:tcW w:w="640" w:type="pct"/>
                  <w:tcBorders>
                    <w:bottom w:val="single" w:sz="4" w:space="0" w:color="auto"/>
                  </w:tcBorders>
                </w:tcPr>
                <w:p w14:paraId="4A433D99" w14:textId="77777777" w:rsidR="0046111C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689" w:type="pct"/>
                  <w:tcBorders>
                    <w:bottom w:val="single" w:sz="4" w:space="0" w:color="auto"/>
                  </w:tcBorders>
                </w:tcPr>
                <w:p w14:paraId="109EEC7E" w14:textId="77777777" w:rsidR="0046111C" w:rsidRPr="005D39DD" w:rsidRDefault="0046111C" w:rsidP="00C03EB5">
                  <w:pPr>
                    <w:keepNext/>
                    <w:keepLines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</w:t>
                  </w:r>
                  <w:r w:rsidRPr="005D39DD">
                    <w:rPr>
                      <w:sz w:val="21"/>
                      <w:szCs w:val="21"/>
                    </w:rPr>
                    <w:t>.0</w:t>
                  </w:r>
                </w:p>
              </w:tc>
            </w:tr>
            <w:tr w:rsidR="0046111C" w:rsidRPr="00101AB3" w14:paraId="581D1002" w14:textId="77777777" w:rsidTr="003E4770">
              <w:trPr>
                <w:cantSplit/>
                <w:trHeight w:val="322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43C659" w14:textId="322360D8" w:rsidR="003E4770" w:rsidRPr="00DB42D5" w:rsidRDefault="0046111C" w:rsidP="00C03EB5">
                  <w:pPr>
                    <w:rPr>
                      <w:sz w:val="18"/>
                      <w:szCs w:val="18"/>
                    </w:rPr>
                  </w:pPr>
                  <w:r w:rsidRPr="207B1CAC">
                    <w:rPr>
                      <w:sz w:val="18"/>
                      <w:szCs w:val="18"/>
                    </w:rPr>
                    <w:t>Note: There is no requirement for states to provide matched funding.</w:t>
                  </w:r>
                </w:p>
              </w:tc>
            </w:tr>
          </w:tbl>
          <w:p w14:paraId="0185AE11" w14:textId="42BE0318" w:rsidR="0046111C" w:rsidRPr="00A509D2" w:rsidRDefault="003E4770" w:rsidP="00551D3A">
            <w:pPr>
              <w:pStyle w:val="Tableformat"/>
              <w:rPr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>The Commonwealth will provide an estimated total financial contribution to the States of $30.0m in respect of this Schedule.</w:t>
            </w:r>
          </w:p>
        </w:tc>
      </w:tr>
    </w:tbl>
    <w:p w14:paraId="636BE7AC" w14:textId="48919AFD" w:rsidR="00C62BE6" w:rsidRDefault="00C62BE6"/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E43FBA" w14:paraId="6A69457C" w14:textId="77777777" w:rsidTr="6458C337">
        <w:tc>
          <w:tcPr>
            <w:tcW w:w="1691" w:type="dxa"/>
          </w:tcPr>
          <w:p w14:paraId="6A4144A6" w14:textId="453A2A0C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lastRenderedPageBreak/>
              <w:t>Additional terms</w:t>
            </w:r>
          </w:p>
        </w:tc>
        <w:tc>
          <w:tcPr>
            <w:tcW w:w="7938" w:type="dxa"/>
          </w:tcPr>
          <w:p w14:paraId="46F910E8" w14:textId="10265CE0" w:rsidR="00205899" w:rsidRPr="00A21727" w:rsidRDefault="00C9011E" w:rsidP="00A21727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0A21727">
              <w:rPr>
                <w:b/>
                <w:bCs/>
                <w:color w:val="auto"/>
                <w:sz w:val="24"/>
                <w:szCs w:val="24"/>
              </w:rPr>
              <w:t>Projects</w:t>
            </w:r>
          </w:p>
          <w:p w14:paraId="7C6C34E2" w14:textId="15C26920" w:rsidR="00C9011E" w:rsidRDefault="3DC4F800" w:rsidP="6FD69A03">
            <w:pPr>
              <w:pStyle w:val="Tableformat"/>
              <w:keepNext/>
              <w:rPr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 xml:space="preserve">To access funding under this Schedule, </w:t>
            </w:r>
            <w:r w:rsidR="10775621" w:rsidRPr="207B1CAC">
              <w:rPr>
                <w:color w:val="auto"/>
                <w:sz w:val="24"/>
                <w:szCs w:val="24"/>
              </w:rPr>
              <w:t xml:space="preserve">States are required to submit project proposals </w:t>
            </w:r>
            <w:r w:rsidRPr="207B1CAC">
              <w:rPr>
                <w:color w:val="auto"/>
                <w:sz w:val="24"/>
                <w:szCs w:val="24"/>
              </w:rPr>
              <w:t xml:space="preserve">for consideration and approval by </w:t>
            </w:r>
            <w:r w:rsidR="0535F6C5" w:rsidRPr="207B1CAC">
              <w:rPr>
                <w:color w:val="auto"/>
                <w:sz w:val="24"/>
                <w:szCs w:val="24"/>
              </w:rPr>
              <w:t xml:space="preserve">the Commonwealth Minister responsible for skills. The Commonwealth Minister will issue guidelines </w:t>
            </w:r>
            <w:r w:rsidR="605BD74A" w:rsidRPr="207B1CAC">
              <w:rPr>
                <w:color w:val="auto"/>
                <w:sz w:val="24"/>
                <w:szCs w:val="24"/>
              </w:rPr>
              <w:t xml:space="preserve">(Attachment A) </w:t>
            </w:r>
            <w:r w:rsidR="0535F6C5" w:rsidRPr="207B1CAC">
              <w:rPr>
                <w:color w:val="auto"/>
                <w:sz w:val="24"/>
                <w:szCs w:val="24"/>
              </w:rPr>
              <w:t xml:space="preserve">to the States </w:t>
            </w:r>
            <w:r w:rsidR="79CB34C8" w:rsidRPr="207B1CAC">
              <w:rPr>
                <w:color w:val="auto"/>
                <w:sz w:val="24"/>
                <w:szCs w:val="24"/>
              </w:rPr>
              <w:t xml:space="preserve">that </w:t>
            </w:r>
            <w:r w:rsidR="2AA501C9" w:rsidRPr="207B1CAC">
              <w:rPr>
                <w:color w:val="auto"/>
                <w:sz w:val="24"/>
                <w:szCs w:val="24"/>
              </w:rPr>
              <w:t>detail</w:t>
            </w:r>
            <w:r w:rsidR="79CB34C8" w:rsidRPr="207B1CAC">
              <w:rPr>
                <w:color w:val="auto"/>
                <w:sz w:val="24"/>
                <w:szCs w:val="24"/>
              </w:rPr>
              <w:t>:</w:t>
            </w:r>
          </w:p>
          <w:p w14:paraId="07881DA5" w14:textId="0FDFFB46" w:rsidR="00335682" w:rsidRDefault="00EA7CA4" w:rsidP="00C341AB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the requirements each project proposal must satisfy to be </w:t>
            </w:r>
            <w:r w:rsidR="00335682">
              <w:rPr>
                <w:color w:val="auto"/>
                <w:sz w:val="24"/>
                <w:szCs w:val="24"/>
              </w:rPr>
              <w:t>eligible</w:t>
            </w:r>
          </w:p>
          <w:p w14:paraId="533A14F0" w14:textId="211E435F" w:rsidR="005541FF" w:rsidRDefault="00335682" w:rsidP="00C341AB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the criteria by which projects will be assessed,</w:t>
            </w:r>
            <w:r w:rsidR="00CF3384">
              <w:rPr>
                <w:color w:val="auto"/>
                <w:sz w:val="24"/>
                <w:szCs w:val="24"/>
              </w:rPr>
              <w:t xml:space="preserve"> and</w:t>
            </w:r>
          </w:p>
          <w:p w14:paraId="67F987C6" w14:textId="3241C591" w:rsidR="00CF3384" w:rsidRDefault="00CF3384" w:rsidP="00C341AB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the process for assessing </w:t>
            </w:r>
            <w:r w:rsidR="005B331D">
              <w:rPr>
                <w:color w:val="auto"/>
                <w:sz w:val="24"/>
                <w:szCs w:val="24"/>
              </w:rPr>
              <w:t xml:space="preserve">and selecting </w:t>
            </w:r>
            <w:r>
              <w:rPr>
                <w:color w:val="auto"/>
                <w:sz w:val="24"/>
                <w:szCs w:val="24"/>
              </w:rPr>
              <w:t xml:space="preserve">project proposals. </w:t>
            </w:r>
          </w:p>
          <w:p w14:paraId="2455312A" w14:textId="69206020" w:rsidR="15BD7AB0" w:rsidRDefault="6214E3A3" w:rsidP="74B6200A">
            <w:pPr>
              <w:pStyle w:val="Tableformat"/>
              <w:rPr>
                <w:color w:val="auto"/>
                <w:sz w:val="24"/>
                <w:szCs w:val="24"/>
              </w:rPr>
            </w:pPr>
            <w:r w:rsidRPr="6FD69A03">
              <w:rPr>
                <w:color w:val="auto"/>
                <w:sz w:val="24"/>
                <w:szCs w:val="24"/>
              </w:rPr>
              <w:t>States</w:t>
            </w:r>
            <w:r w:rsidR="15BD7AB0" w:rsidRPr="6FD69A03">
              <w:rPr>
                <w:color w:val="auto"/>
                <w:sz w:val="24"/>
                <w:szCs w:val="24"/>
              </w:rPr>
              <w:t xml:space="preserve"> </w:t>
            </w:r>
            <w:r w:rsidR="1C402DCC" w:rsidRPr="6FD69A03">
              <w:rPr>
                <w:color w:val="auto"/>
                <w:sz w:val="24"/>
                <w:szCs w:val="24"/>
              </w:rPr>
              <w:t>will be required to use</w:t>
            </w:r>
            <w:r w:rsidR="15BD7AB0" w:rsidRPr="6FD69A03">
              <w:rPr>
                <w:color w:val="auto"/>
                <w:sz w:val="24"/>
                <w:szCs w:val="24"/>
              </w:rPr>
              <w:t xml:space="preserve"> the </w:t>
            </w:r>
            <w:r w:rsidR="77896FCD" w:rsidRPr="6FD69A03">
              <w:rPr>
                <w:color w:val="auto"/>
                <w:sz w:val="24"/>
                <w:szCs w:val="24"/>
              </w:rPr>
              <w:t xml:space="preserve">project </w:t>
            </w:r>
            <w:r w:rsidR="00B5427E">
              <w:rPr>
                <w:color w:val="auto"/>
                <w:sz w:val="24"/>
                <w:szCs w:val="24"/>
              </w:rPr>
              <w:t>proposal</w:t>
            </w:r>
            <w:r w:rsidR="4B9559CD" w:rsidRPr="6FD69A03">
              <w:rPr>
                <w:color w:val="auto"/>
                <w:sz w:val="24"/>
                <w:szCs w:val="24"/>
              </w:rPr>
              <w:t xml:space="preserve"> </w:t>
            </w:r>
            <w:r w:rsidR="15BD7AB0" w:rsidRPr="6FD69A03">
              <w:rPr>
                <w:color w:val="auto"/>
                <w:sz w:val="24"/>
                <w:szCs w:val="24"/>
              </w:rPr>
              <w:t xml:space="preserve">form issued by the </w:t>
            </w:r>
            <w:r w:rsidR="1AF0D8BF" w:rsidRPr="6FD69A03">
              <w:rPr>
                <w:color w:val="auto"/>
                <w:sz w:val="24"/>
                <w:szCs w:val="24"/>
              </w:rPr>
              <w:t>Commonwealth Minister</w:t>
            </w:r>
            <w:r w:rsidR="15BD7AB0" w:rsidRPr="6FD69A03">
              <w:rPr>
                <w:color w:val="auto"/>
                <w:sz w:val="24"/>
                <w:szCs w:val="24"/>
              </w:rPr>
              <w:t>.</w:t>
            </w:r>
          </w:p>
          <w:p w14:paraId="745C8945" w14:textId="023019EA" w:rsidR="008C0B6D" w:rsidRDefault="589D6DC3" w:rsidP="207B1CAC">
            <w:pPr>
              <w:pStyle w:val="Tableformat"/>
              <w:rPr>
                <w:rFonts w:asciiTheme="majorHAnsi" w:eastAsiaTheme="majorEastAsia" w:hAnsiTheme="majorHAnsi" w:cstheme="majorBidi"/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 xml:space="preserve">Performance </w:t>
            </w:r>
            <w:r w:rsidRPr="00F37F20">
              <w:rPr>
                <w:color w:val="auto"/>
                <w:sz w:val="24"/>
                <w:szCs w:val="24"/>
              </w:rPr>
              <w:t>milestones</w:t>
            </w:r>
            <w:r w:rsidRPr="207B1CAC">
              <w:rPr>
                <w:color w:val="auto"/>
                <w:sz w:val="24"/>
                <w:szCs w:val="24"/>
              </w:rPr>
              <w:t xml:space="preserve"> for each approved project </w:t>
            </w:r>
            <w:r w:rsidR="4691822E" w:rsidRPr="207B1CAC">
              <w:rPr>
                <w:color w:val="auto"/>
                <w:sz w:val="24"/>
                <w:szCs w:val="24"/>
              </w:rPr>
              <w:t>will be a</w:t>
            </w:r>
            <w:r w:rsidRPr="207B1CAC">
              <w:rPr>
                <w:color w:val="auto"/>
                <w:sz w:val="24"/>
                <w:szCs w:val="24"/>
              </w:rPr>
              <w:t>ppended to this Sche</w:t>
            </w:r>
            <w:r w:rsidRPr="00F37F20">
              <w:rPr>
                <w:color w:val="auto"/>
                <w:sz w:val="24"/>
                <w:szCs w:val="24"/>
              </w:rPr>
              <w:t>dule</w:t>
            </w:r>
            <w:r w:rsidR="4691822E" w:rsidRPr="00F37F20">
              <w:rPr>
                <w:color w:val="auto"/>
                <w:sz w:val="24"/>
                <w:szCs w:val="24"/>
              </w:rPr>
              <w:t xml:space="preserve"> </w:t>
            </w:r>
            <w:r w:rsidR="7C1DC9C7" w:rsidRPr="00F37F20">
              <w:rPr>
                <w:color w:val="auto"/>
                <w:sz w:val="24"/>
                <w:szCs w:val="24"/>
              </w:rPr>
              <w:t xml:space="preserve">(Tables 2A – 2G) </w:t>
            </w:r>
            <w:r w:rsidR="4691822E" w:rsidRPr="00F37F20">
              <w:rPr>
                <w:color w:val="auto"/>
                <w:sz w:val="24"/>
                <w:szCs w:val="24"/>
              </w:rPr>
              <w:t xml:space="preserve">on agreement by </w:t>
            </w:r>
            <w:r w:rsidR="16CB9FFC" w:rsidRPr="00F37F20">
              <w:rPr>
                <w:color w:val="auto"/>
                <w:sz w:val="24"/>
                <w:szCs w:val="24"/>
              </w:rPr>
              <w:t xml:space="preserve">the </w:t>
            </w:r>
            <w:r w:rsidR="55C6ED96" w:rsidRPr="00F37F20">
              <w:rPr>
                <w:color w:val="auto"/>
                <w:sz w:val="24"/>
                <w:szCs w:val="24"/>
              </w:rPr>
              <w:t>Parties</w:t>
            </w:r>
            <w:r w:rsidR="44652502" w:rsidRPr="00F37F20">
              <w:rPr>
                <w:color w:val="auto"/>
                <w:sz w:val="24"/>
                <w:szCs w:val="24"/>
              </w:rPr>
              <w:t>.</w:t>
            </w:r>
            <w:r w:rsidR="44652502" w:rsidRPr="207B1CAC">
              <w:rPr>
                <w:rFonts w:asciiTheme="majorHAnsi" w:eastAsiaTheme="majorEastAsia" w:hAnsiTheme="majorHAnsi" w:cstheme="majorBidi"/>
                <w:color w:val="auto"/>
                <w:sz w:val="24"/>
                <w:szCs w:val="24"/>
              </w:rPr>
              <w:t xml:space="preserve"> </w:t>
            </w:r>
          </w:p>
          <w:p w14:paraId="48ACE4D3" w14:textId="2AA65628" w:rsidR="00156732" w:rsidRDefault="5062AB4E" w:rsidP="008C0B6D">
            <w:pPr>
              <w:pStyle w:val="Tableformat"/>
              <w:rPr>
                <w:color w:val="auto"/>
                <w:sz w:val="24"/>
                <w:szCs w:val="24"/>
              </w:rPr>
            </w:pPr>
            <w:r w:rsidRPr="00D87C9F">
              <w:rPr>
                <w:color w:val="auto"/>
                <w:sz w:val="24"/>
                <w:szCs w:val="24"/>
              </w:rPr>
              <w:t xml:space="preserve">States may use up to three per cent of the total Commonwealth contribution for project administration. </w:t>
            </w:r>
          </w:p>
          <w:p w14:paraId="4D66935C" w14:textId="467A6464" w:rsidR="00C9011E" w:rsidRPr="00A21727" w:rsidRDefault="009C5167" w:rsidP="00A21727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501B07A4">
              <w:rPr>
                <w:b/>
                <w:bCs/>
                <w:color w:val="auto"/>
                <w:sz w:val="24"/>
                <w:szCs w:val="24"/>
              </w:rPr>
              <w:t xml:space="preserve">Project </w:t>
            </w:r>
            <w:r w:rsidR="00C9011E" w:rsidRPr="501B07A4">
              <w:rPr>
                <w:b/>
                <w:bCs/>
                <w:color w:val="auto"/>
                <w:sz w:val="24"/>
                <w:szCs w:val="24"/>
              </w:rPr>
              <w:t>plans</w:t>
            </w:r>
          </w:p>
          <w:p w14:paraId="5B24F3A0" w14:textId="49F1FEB3" w:rsidR="00224E34" w:rsidRPr="007B60A8" w:rsidRDefault="5072FFBE" w:rsidP="00A509D2">
            <w:pPr>
              <w:pStyle w:val="Tableformat"/>
              <w:rPr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 xml:space="preserve">Once a project is </w:t>
            </w:r>
            <w:r w:rsidR="185230FA" w:rsidRPr="207B1CAC">
              <w:rPr>
                <w:color w:val="auto"/>
                <w:sz w:val="24"/>
                <w:szCs w:val="24"/>
              </w:rPr>
              <w:t>approved,</w:t>
            </w:r>
            <w:r w:rsidRPr="207B1CAC">
              <w:rPr>
                <w:color w:val="auto"/>
                <w:sz w:val="24"/>
                <w:szCs w:val="24"/>
              </w:rPr>
              <w:t xml:space="preserve"> State</w:t>
            </w:r>
            <w:r w:rsidR="185230FA" w:rsidRPr="207B1CAC">
              <w:rPr>
                <w:color w:val="auto"/>
                <w:sz w:val="24"/>
                <w:szCs w:val="24"/>
              </w:rPr>
              <w:t>s</w:t>
            </w:r>
            <w:r w:rsidRPr="207B1CAC">
              <w:rPr>
                <w:color w:val="auto"/>
                <w:sz w:val="24"/>
                <w:szCs w:val="24"/>
              </w:rPr>
              <w:t xml:space="preserve"> will be required to submit a detailed </w:t>
            </w:r>
            <w:r w:rsidR="75172329" w:rsidRPr="207B1CAC">
              <w:rPr>
                <w:color w:val="auto"/>
                <w:sz w:val="24"/>
                <w:szCs w:val="24"/>
              </w:rPr>
              <w:t xml:space="preserve">project </w:t>
            </w:r>
            <w:r w:rsidR="03D6B7CC" w:rsidRPr="207B1CAC">
              <w:rPr>
                <w:color w:val="auto"/>
                <w:sz w:val="24"/>
                <w:szCs w:val="24"/>
              </w:rPr>
              <w:t xml:space="preserve">plan for the project. </w:t>
            </w:r>
            <w:r w:rsidR="07B89C9B" w:rsidRPr="207B1CAC">
              <w:rPr>
                <w:color w:val="auto"/>
                <w:sz w:val="24"/>
                <w:szCs w:val="24"/>
              </w:rPr>
              <w:t>A</w:t>
            </w:r>
            <w:r w:rsidR="03D6B7CC" w:rsidRPr="207B1CAC">
              <w:rPr>
                <w:color w:val="auto"/>
                <w:sz w:val="24"/>
                <w:szCs w:val="24"/>
              </w:rPr>
              <w:t xml:space="preserve"> </w:t>
            </w:r>
            <w:r w:rsidR="75172329" w:rsidRPr="207B1CAC">
              <w:rPr>
                <w:color w:val="auto"/>
                <w:sz w:val="24"/>
                <w:szCs w:val="24"/>
              </w:rPr>
              <w:t xml:space="preserve">project </w:t>
            </w:r>
            <w:r w:rsidR="03D6B7CC" w:rsidRPr="207B1CAC">
              <w:rPr>
                <w:color w:val="auto"/>
                <w:sz w:val="24"/>
                <w:szCs w:val="24"/>
              </w:rPr>
              <w:t xml:space="preserve">plan </w:t>
            </w:r>
            <w:r w:rsidR="5D77A5E2" w:rsidRPr="207B1CAC">
              <w:rPr>
                <w:color w:val="auto"/>
                <w:sz w:val="24"/>
                <w:szCs w:val="24"/>
              </w:rPr>
              <w:t>template will be issued by the Commonwealth.</w:t>
            </w:r>
          </w:p>
          <w:p w14:paraId="78D86044" w14:textId="04556052" w:rsidR="00677739" w:rsidRDefault="75172329" w:rsidP="00E43FBA">
            <w:pPr>
              <w:pStyle w:val="Tableformat"/>
              <w:rPr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 xml:space="preserve">Project </w:t>
            </w:r>
            <w:r w:rsidR="58170006" w:rsidRPr="207B1CAC">
              <w:rPr>
                <w:color w:val="auto"/>
                <w:sz w:val="24"/>
                <w:szCs w:val="24"/>
              </w:rPr>
              <w:t xml:space="preserve">plans </w:t>
            </w:r>
            <w:r w:rsidR="5E4DE333" w:rsidRPr="207B1CAC">
              <w:rPr>
                <w:color w:val="auto"/>
                <w:sz w:val="24"/>
                <w:szCs w:val="24"/>
              </w:rPr>
              <w:t>will be approved</w:t>
            </w:r>
            <w:r w:rsidR="00C1416D">
              <w:rPr>
                <w:color w:val="auto"/>
                <w:sz w:val="24"/>
                <w:szCs w:val="24"/>
              </w:rPr>
              <w:t xml:space="preserve"> </w:t>
            </w:r>
            <w:r w:rsidR="5E4DE333" w:rsidRPr="207B1CAC">
              <w:rPr>
                <w:color w:val="auto"/>
                <w:sz w:val="24"/>
                <w:szCs w:val="24"/>
              </w:rPr>
              <w:t xml:space="preserve">by agreement between </w:t>
            </w:r>
            <w:r w:rsidR="0B3875A5" w:rsidRPr="207B1CAC">
              <w:rPr>
                <w:color w:val="auto"/>
                <w:sz w:val="24"/>
                <w:szCs w:val="24"/>
              </w:rPr>
              <w:t xml:space="preserve">the </w:t>
            </w:r>
            <w:r w:rsidR="5E4DE333" w:rsidRPr="207B1CAC">
              <w:rPr>
                <w:color w:val="auto"/>
                <w:sz w:val="24"/>
                <w:szCs w:val="24"/>
              </w:rPr>
              <w:t xml:space="preserve">relevant </w:t>
            </w:r>
            <w:r w:rsidR="05D85509" w:rsidRPr="207B1CAC">
              <w:rPr>
                <w:color w:val="auto"/>
                <w:sz w:val="24"/>
                <w:szCs w:val="24"/>
              </w:rPr>
              <w:t xml:space="preserve">Commonwealth and State </w:t>
            </w:r>
            <w:r w:rsidR="5E4DE333" w:rsidRPr="207B1CAC">
              <w:rPr>
                <w:color w:val="auto"/>
                <w:sz w:val="24"/>
                <w:szCs w:val="24"/>
              </w:rPr>
              <w:t xml:space="preserve">senior officials responsible for skills. </w:t>
            </w:r>
            <w:r w:rsidR="00C1416D">
              <w:rPr>
                <w:color w:val="auto"/>
                <w:sz w:val="24"/>
                <w:szCs w:val="24"/>
              </w:rPr>
              <w:t xml:space="preserve">Minor variations can also be agreed by senior officials. </w:t>
            </w:r>
          </w:p>
          <w:p w14:paraId="2210FA12" w14:textId="4ADEBE34" w:rsidR="00C1416D" w:rsidRPr="00D87C9F" w:rsidRDefault="4BF28FD3" w:rsidP="00D87C9F">
            <w:pPr>
              <w:pStyle w:val="Tableformat"/>
              <w:rPr>
                <w:color w:val="auto"/>
                <w:sz w:val="24"/>
                <w:szCs w:val="24"/>
              </w:rPr>
            </w:pPr>
            <w:r w:rsidRPr="207B1CAC">
              <w:rPr>
                <w:color w:val="auto"/>
                <w:sz w:val="24"/>
                <w:szCs w:val="24"/>
              </w:rPr>
              <w:t>M</w:t>
            </w:r>
            <w:r w:rsidR="25FA6808" w:rsidRPr="207B1CAC">
              <w:rPr>
                <w:color w:val="auto"/>
                <w:sz w:val="24"/>
                <w:szCs w:val="24"/>
              </w:rPr>
              <w:t>ajor variations</w:t>
            </w:r>
            <w:r w:rsidRPr="207B1CAC">
              <w:rPr>
                <w:color w:val="auto"/>
                <w:sz w:val="24"/>
                <w:szCs w:val="24"/>
              </w:rPr>
              <w:t xml:space="preserve"> to project plans</w:t>
            </w:r>
            <w:r w:rsidR="18559E5D" w:rsidRPr="207B1CAC">
              <w:rPr>
                <w:color w:val="auto"/>
                <w:sz w:val="24"/>
                <w:szCs w:val="24"/>
              </w:rPr>
              <w:t xml:space="preserve"> as defined by the </w:t>
            </w:r>
            <w:r w:rsidR="3A5EA0BC" w:rsidRPr="207B1CAC">
              <w:rPr>
                <w:color w:val="auto"/>
                <w:sz w:val="24"/>
                <w:szCs w:val="24"/>
              </w:rPr>
              <w:t>guidelines</w:t>
            </w:r>
            <w:r w:rsidR="5D59FF17" w:rsidRPr="207B1CAC">
              <w:rPr>
                <w:color w:val="auto"/>
                <w:sz w:val="24"/>
                <w:szCs w:val="24"/>
              </w:rPr>
              <w:t xml:space="preserve"> (Attachment A)</w:t>
            </w:r>
            <w:r w:rsidR="25FA6808" w:rsidRPr="207B1CAC">
              <w:rPr>
                <w:color w:val="auto"/>
                <w:sz w:val="24"/>
                <w:szCs w:val="24"/>
              </w:rPr>
              <w:t>, such as the extension of project completion dates beyond 30 June 2030</w:t>
            </w:r>
            <w:r w:rsidR="3A5EA0BC" w:rsidRPr="207B1CAC">
              <w:rPr>
                <w:color w:val="auto"/>
                <w:sz w:val="24"/>
                <w:szCs w:val="24"/>
              </w:rPr>
              <w:t xml:space="preserve">, </w:t>
            </w:r>
            <w:r w:rsidR="25FA6808" w:rsidRPr="207B1CAC">
              <w:rPr>
                <w:color w:val="auto"/>
                <w:sz w:val="24"/>
                <w:szCs w:val="24"/>
              </w:rPr>
              <w:t xml:space="preserve">will require </w:t>
            </w:r>
            <w:r w:rsidR="66943487" w:rsidRPr="207B1CAC">
              <w:rPr>
                <w:color w:val="auto"/>
                <w:sz w:val="24"/>
                <w:szCs w:val="24"/>
              </w:rPr>
              <w:t>agreement between the relevant Commonwealth and State Minister.</w:t>
            </w:r>
          </w:p>
          <w:p w14:paraId="026D464C" w14:textId="3930D966" w:rsidR="00C9011E" w:rsidRPr="00A21727" w:rsidRDefault="32EA8E5A" w:rsidP="207B1CAC">
            <w:pPr>
              <w:pStyle w:val="Tableformat"/>
              <w:keepNext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13F36991">
              <w:rPr>
                <w:b/>
                <w:bCs/>
                <w:color w:val="auto"/>
                <w:sz w:val="24"/>
                <w:szCs w:val="24"/>
              </w:rPr>
              <w:t>R</w:t>
            </w:r>
            <w:r w:rsidR="7A7F3C84" w:rsidRPr="13F36991">
              <w:rPr>
                <w:b/>
                <w:bCs/>
                <w:color w:val="auto"/>
                <w:sz w:val="24"/>
                <w:szCs w:val="24"/>
              </w:rPr>
              <w:t>eporting</w:t>
            </w:r>
          </w:p>
          <w:p w14:paraId="015422AC" w14:textId="639ED229" w:rsidR="00C9011E" w:rsidRDefault="0968DFFE" w:rsidP="00E43FBA">
            <w:pPr>
              <w:pStyle w:val="Tableformat"/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>State</w:t>
            </w:r>
            <w:r w:rsidR="6C750943" w:rsidRPr="6458C337">
              <w:rPr>
                <w:color w:val="auto"/>
                <w:sz w:val="24"/>
                <w:szCs w:val="24"/>
              </w:rPr>
              <w:t xml:space="preserve">s will submit </w:t>
            </w:r>
            <w:r w:rsidR="3CD8F5DD" w:rsidRPr="6458C337">
              <w:rPr>
                <w:color w:val="auto"/>
                <w:sz w:val="24"/>
                <w:szCs w:val="24"/>
              </w:rPr>
              <w:t xml:space="preserve">biannual </w:t>
            </w:r>
            <w:r w:rsidR="6C750943" w:rsidRPr="6458C337">
              <w:rPr>
                <w:color w:val="auto"/>
                <w:sz w:val="24"/>
                <w:szCs w:val="24"/>
              </w:rPr>
              <w:t>re</w:t>
            </w:r>
            <w:r w:rsidR="4A862FC4" w:rsidRPr="6458C337">
              <w:rPr>
                <w:color w:val="auto"/>
                <w:sz w:val="24"/>
                <w:szCs w:val="24"/>
              </w:rPr>
              <w:t xml:space="preserve">ports to the Commonwealth throughout the implementation period </w:t>
            </w:r>
            <w:r w:rsidR="16BCA952" w:rsidRPr="6458C337">
              <w:rPr>
                <w:color w:val="auto"/>
                <w:sz w:val="24"/>
                <w:szCs w:val="24"/>
              </w:rPr>
              <w:t xml:space="preserve">for </w:t>
            </w:r>
            <w:r w:rsidR="6A1E2B12" w:rsidRPr="6458C337">
              <w:rPr>
                <w:color w:val="auto"/>
                <w:sz w:val="24"/>
                <w:szCs w:val="24"/>
              </w:rPr>
              <w:t xml:space="preserve">projects using the template provided. </w:t>
            </w:r>
            <w:r w:rsidR="105EF75B" w:rsidRPr="6458C337">
              <w:rPr>
                <w:color w:val="auto"/>
                <w:sz w:val="24"/>
                <w:szCs w:val="24"/>
              </w:rPr>
              <w:t xml:space="preserve">Biannual </w:t>
            </w:r>
            <w:r w:rsidR="4FF51416" w:rsidRPr="6458C337">
              <w:rPr>
                <w:color w:val="auto"/>
                <w:sz w:val="24"/>
                <w:szCs w:val="24"/>
              </w:rPr>
              <w:t>r</w:t>
            </w:r>
            <w:r w:rsidR="22233BF8" w:rsidRPr="6458C337">
              <w:rPr>
                <w:color w:val="auto"/>
                <w:sz w:val="24"/>
                <w:szCs w:val="24"/>
              </w:rPr>
              <w:t>eports will set out:</w:t>
            </w:r>
          </w:p>
          <w:p w14:paraId="5451E615" w14:textId="0C4E45DE" w:rsidR="007D5610" w:rsidRDefault="00924BC0" w:rsidP="00C341AB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project </w:t>
            </w:r>
            <w:r w:rsidR="007B60A8">
              <w:rPr>
                <w:color w:val="auto"/>
                <w:sz w:val="24"/>
                <w:szCs w:val="24"/>
              </w:rPr>
              <w:t>status</w:t>
            </w:r>
          </w:p>
          <w:p w14:paraId="534F3FF0" w14:textId="2BC6A16B" w:rsidR="00622411" w:rsidRDefault="00622411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 xml:space="preserve">progress over the previous </w:t>
            </w:r>
            <w:r w:rsidR="1053FB75" w:rsidRPr="6458C337">
              <w:rPr>
                <w:color w:val="auto"/>
                <w:sz w:val="24"/>
                <w:szCs w:val="24"/>
              </w:rPr>
              <w:t>6 months</w:t>
            </w:r>
          </w:p>
          <w:p w14:paraId="56A97393" w14:textId="72E85D63" w:rsidR="00622411" w:rsidRDefault="00A321B9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>expenditure to date</w:t>
            </w:r>
          </w:p>
          <w:p w14:paraId="2254C2DD" w14:textId="15A7B241" w:rsidR="00622411" w:rsidRDefault="00622411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>activities in progress</w:t>
            </w:r>
          </w:p>
          <w:p w14:paraId="154CDA8E" w14:textId="1574B605" w:rsidR="00987009" w:rsidRDefault="00F6199D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</w:t>
            </w:r>
            <w:r w:rsidR="00987009">
              <w:rPr>
                <w:color w:val="auto"/>
                <w:sz w:val="24"/>
                <w:szCs w:val="24"/>
              </w:rPr>
              <w:t>ajor delays and/or risks to the project</w:t>
            </w:r>
          </w:p>
          <w:p w14:paraId="2BFCB2B1" w14:textId="3FD6F499" w:rsidR="00622411" w:rsidRDefault="00987009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 xml:space="preserve">outlook for the next </w:t>
            </w:r>
            <w:r w:rsidR="7BB8459C" w:rsidRPr="6458C337">
              <w:rPr>
                <w:color w:val="auto"/>
                <w:sz w:val="24"/>
                <w:szCs w:val="24"/>
              </w:rPr>
              <w:t>6 months</w:t>
            </w:r>
          </w:p>
          <w:p w14:paraId="5A08DA22" w14:textId="58864897" w:rsidR="00622411" w:rsidRDefault="00622411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>updated implementation timeline</w:t>
            </w:r>
            <w:r w:rsidR="573DC023" w:rsidRPr="6458C337">
              <w:rPr>
                <w:color w:val="auto"/>
                <w:sz w:val="24"/>
                <w:szCs w:val="24"/>
              </w:rPr>
              <w:t>, and</w:t>
            </w:r>
          </w:p>
          <w:p w14:paraId="2F180637" w14:textId="28FD7102" w:rsidR="00622411" w:rsidRDefault="573DC023" w:rsidP="00622411">
            <w:pPr>
              <w:pStyle w:val="Tableformat"/>
              <w:numPr>
                <w:ilvl w:val="0"/>
                <w:numId w:val="11"/>
              </w:numPr>
              <w:rPr>
                <w:color w:val="auto"/>
                <w:sz w:val="24"/>
                <w:szCs w:val="24"/>
              </w:rPr>
            </w:pPr>
            <w:r w:rsidRPr="6458C337">
              <w:rPr>
                <w:color w:val="auto"/>
                <w:sz w:val="24"/>
                <w:szCs w:val="24"/>
              </w:rPr>
              <w:t>Endorsement by State and provider officials.</w:t>
            </w:r>
          </w:p>
          <w:p w14:paraId="328E0393" w14:textId="77777777" w:rsidR="00F142D2" w:rsidRDefault="00F142D2" w:rsidP="00F142D2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35EE0329" w14:textId="7660964C" w:rsidR="00C9011E" w:rsidRPr="00A21727" w:rsidRDefault="00C9011E" w:rsidP="00A21727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878D0A3">
              <w:rPr>
                <w:b/>
                <w:bCs/>
                <w:color w:val="auto"/>
                <w:sz w:val="24"/>
                <w:szCs w:val="24"/>
              </w:rPr>
              <w:lastRenderedPageBreak/>
              <w:t>Attribution</w:t>
            </w:r>
          </w:p>
          <w:p w14:paraId="26064110" w14:textId="77777777" w:rsidR="00E43FBA" w:rsidRDefault="00EF630C" w:rsidP="00E43FBA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 all public materials relating to Projects funded under this Schedule</w:t>
            </w:r>
            <w:r w:rsidR="00767D35">
              <w:rPr>
                <w:color w:val="auto"/>
                <w:sz w:val="24"/>
                <w:szCs w:val="24"/>
              </w:rPr>
              <w:t>, the States will acknowledge the Commonwealth’s contribution with the following statement:</w:t>
            </w:r>
          </w:p>
          <w:p w14:paraId="42550198" w14:textId="77777777" w:rsidR="00767D35" w:rsidRDefault="00767D35" w:rsidP="00767D35">
            <w:pPr>
              <w:pStyle w:val="Tableforma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[Project name] is a joint</w:t>
            </w:r>
            <w:r w:rsidR="00B924EF">
              <w:rPr>
                <w:color w:val="auto"/>
                <w:sz w:val="24"/>
                <w:szCs w:val="24"/>
              </w:rPr>
              <w:t xml:space="preserve"> initiative between the Australian Government and the [State] Government. </w:t>
            </w:r>
          </w:p>
          <w:p w14:paraId="2230F60B" w14:textId="55F2ED93" w:rsidR="606C3C00" w:rsidRDefault="606C3C00" w:rsidP="00A509D2">
            <w:pPr>
              <w:pStyle w:val="Tableformat"/>
              <w:rPr>
                <w:color w:val="auto"/>
                <w:sz w:val="24"/>
                <w:szCs w:val="24"/>
              </w:rPr>
            </w:pPr>
            <w:r w:rsidRPr="5069B394">
              <w:rPr>
                <w:color w:val="auto"/>
                <w:sz w:val="24"/>
                <w:szCs w:val="24"/>
              </w:rPr>
              <w:t>All governments will take steps to promote</w:t>
            </w:r>
            <w:r w:rsidRPr="3E2DF2F4">
              <w:rPr>
                <w:color w:val="auto"/>
                <w:sz w:val="24"/>
                <w:szCs w:val="24"/>
              </w:rPr>
              <w:t xml:space="preserve"> Mobile TAFE projects</w:t>
            </w:r>
            <w:r w:rsidR="59E745F6" w:rsidRPr="3E2DF2F4">
              <w:rPr>
                <w:color w:val="auto"/>
                <w:sz w:val="24"/>
                <w:szCs w:val="24"/>
              </w:rPr>
              <w:t xml:space="preserve">, particularly to communities that will be served by Mobile </w:t>
            </w:r>
            <w:r w:rsidR="59E745F6" w:rsidRPr="5ABDC963">
              <w:rPr>
                <w:color w:val="auto"/>
                <w:sz w:val="24"/>
                <w:szCs w:val="24"/>
              </w:rPr>
              <w:t>TAFE projects.</w:t>
            </w:r>
          </w:p>
          <w:p w14:paraId="64F37200" w14:textId="1A13DD94" w:rsidR="00B54D62" w:rsidRPr="00E43FBA" w:rsidRDefault="0090242A" w:rsidP="004E06BF">
            <w:pPr>
              <w:widowControl/>
              <w:spacing w:after="120" w:line="276" w:lineRule="auto"/>
              <w:rPr>
                <w:sz w:val="24"/>
                <w:szCs w:val="24"/>
              </w:rPr>
            </w:pPr>
            <w:r w:rsidRPr="00A509D2">
              <w:rPr>
                <w:rFonts w:ascii="Corbel" w:eastAsia="Times New Roman" w:hAnsi="Corbel" w:cs="Arial"/>
                <w:iCs/>
                <w:sz w:val="24"/>
                <w:szCs w:val="24"/>
                <w:lang w:eastAsia="en-AU"/>
              </w:rPr>
              <w:t xml:space="preserve">States and the Commonwealth will consult on the nature and content of any events, announcements, promotional activity or publicity, for projects funded through Mobile TAFE. States will provide the </w:t>
            </w:r>
            <w:r w:rsidR="00F142D2">
              <w:rPr>
                <w:rFonts w:ascii="Corbel" w:eastAsia="Times New Roman" w:hAnsi="Corbel" w:cs="Arial"/>
                <w:iCs/>
                <w:sz w:val="24"/>
                <w:szCs w:val="24"/>
                <w:lang w:eastAsia="en-AU"/>
              </w:rPr>
              <w:t>Commonwealth</w:t>
            </w:r>
            <w:r w:rsidRPr="00A509D2">
              <w:rPr>
                <w:rFonts w:ascii="Corbel" w:eastAsia="Times New Roman" w:hAnsi="Corbel" w:cs="Arial"/>
                <w:iCs/>
                <w:sz w:val="24"/>
                <w:szCs w:val="24"/>
                <w:lang w:eastAsia="en-AU"/>
              </w:rPr>
              <w:t xml:space="preserve"> with the opportunity to open projects jointly. </w:t>
            </w:r>
          </w:p>
        </w:tc>
      </w:tr>
    </w:tbl>
    <w:p w14:paraId="6406A546" w14:textId="77777777" w:rsidR="00205899" w:rsidRDefault="00205899" w:rsidP="00205899"/>
    <w:p w14:paraId="76ADC1EA" w14:textId="4165DA1E" w:rsidR="00154CBB" w:rsidRDefault="00154CBB">
      <w:pPr>
        <w:widowControl/>
        <w:spacing w:after="160" w:line="259" w:lineRule="auto"/>
        <w:rPr>
          <w:lang w:val="en-GB"/>
        </w:rPr>
      </w:pPr>
    </w:p>
    <w:p w14:paraId="674598BA" w14:textId="6A4F138C" w:rsidR="00472671" w:rsidRDefault="00472671" w:rsidP="004E06BF">
      <w:pPr>
        <w:pageBreakBefore/>
        <w:rPr>
          <w:lang w:val="en-GB"/>
        </w:rPr>
      </w:pPr>
      <w:r w:rsidRPr="00F00A18">
        <w:rPr>
          <w:lang w:val="en-GB"/>
        </w:rPr>
        <w:lastRenderedPageBreak/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74010F74" w14:textId="77777777" w:rsidR="00472671" w:rsidRPr="00F00A18" w:rsidRDefault="00472671" w:rsidP="00472671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472671" w:rsidRPr="00F00A18" w14:paraId="776CE48A" w14:textId="77777777">
        <w:trPr>
          <w:cantSplit/>
          <w:jc w:val="center"/>
        </w:trPr>
        <w:tc>
          <w:tcPr>
            <w:tcW w:w="4536" w:type="dxa"/>
          </w:tcPr>
          <w:p w14:paraId="67BAC6F4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6F7B8D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1AED9D93" w14:textId="77777777" w:rsidR="00726562" w:rsidRDefault="00726562" w:rsidP="00726562">
            <w:pPr>
              <w:pStyle w:val="SingleParagraph"/>
              <w:rPr>
                <w:rStyle w:val="Bold"/>
              </w:rPr>
            </w:pPr>
            <w:r w:rsidRPr="7EEF4B33">
              <w:rPr>
                <w:rStyle w:val="Bold"/>
              </w:rPr>
              <w:t>The Honourable Andrew Giles MP</w:t>
            </w:r>
          </w:p>
          <w:p w14:paraId="28C2C0E2" w14:textId="77777777" w:rsidR="00726562" w:rsidRDefault="00726562" w:rsidP="00726562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 and Training </w:t>
            </w:r>
          </w:p>
          <w:p w14:paraId="1D5DACE6" w14:textId="526E6595" w:rsidR="00472671" w:rsidRPr="00F00A18" w:rsidRDefault="00726562" w:rsidP="00726562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DBEC0CF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9F78318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</w:tr>
      <w:tr w:rsidR="00472671" w:rsidRPr="00F00A18" w14:paraId="16320D2A" w14:textId="77777777">
        <w:trPr>
          <w:cantSplit/>
          <w:jc w:val="center"/>
        </w:trPr>
        <w:tc>
          <w:tcPr>
            <w:tcW w:w="4536" w:type="dxa"/>
          </w:tcPr>
          <w:p w14:paraId="27888483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504B2A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12605F3B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472671" w:rsidRPr="00F00A18" w14:paraId="3942F514" w14:textId="77777777">
        <w:trPr>
          <w:cantSplit/>
          <w:jc w:val="center"/>
        </w:trPr>
        <w:tc>
          <w:tcPr>
            <w:tcW w:w="4536" w:type="dxa"/>
          </w:tcPr>
          <w:p w14:paraId="192FB69D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7D5AE8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48722F4" w14:textId="77777777" w:rsidR="00045F7E" w:rsidRDefault="00045F7E" w:rsidP="00045F7E">
            <w:pPr>
              <w:pStyle w:val="SingleParagraph"/>
              <w:rPr>
                <w:rStyle w:val="Bold"/>
              </w:rPr>
            </w:pPr>
            <w:r w:rsidRPr="6FBF2D7F">
              <w:rPr>
                <w:rStyle w:val="Bold"/>
              </w:rPr>
              <w:t>The Honourable Steven Whan MP</w:t>
            </w:r>
          </w:p>
          <w:p w14:paraId="0F54B559" w14:textId="77777777" w:rsidR="00045F7E" w:rsidRDefault="00045F7E" w:rsidP="00045F7E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Skills, TAFE and Tertiary Education </w:t>
            </w:r>
          </w:p>
          <w:p w14:paraId="754954A5" w14:textId="3FBDCE7B" w:rsidR="00472671" w:rsidRPr="00F00A18" w:rsidRDefault="00045F7E" w:rsidP="00045F7E">
            <w:pPr>
              <w:pStyle w:val="SingleParagraph"/>
              <w:tabs>
                <w:tab w:val="num" w:pos="1134"/>
              </w:tabs>
              <w:spacing w:after="240"/>
              <w:rPr>
                <w:color w:val="auto"/>
                <w:szCs w:val="22"/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9413275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539775C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38A501DA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D44E4BC" w14:textId="2BF0E930" w:rsidR="00472671" w:rsidRPr="00F00A18" w:rsidRDefault="00472671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CB3895">
              <w:rPr>
                <w:rStyle w:val="Bold"/>
                <w:color w:val="auto"/>
              </w:rPr>
              <w:t>Gayle Tierney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4707C049" w14:textId="4780AE4A" w:rsidR="00472671" w:rsidRPr="00F00A18" w:rsidRDefault="00472671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 w:rsidR="00CB3895">
              <w:rPr>
                <w:color w:val="auto"/>
                <w:lang w:val="en-GB"/>
              </w:rPr>
              <w:t>Skills and TAFE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0F688F02" w14:textId="10584611" w:rsidR="00472671" w:rsidRPr="00F00A18" w:rsidRDefault="00CB3895" w:rsidP="00CB3895">
            <w:pPr>
              <w:pStyle w:val="SingleParagraph"/>
              <w:tabs>
                <w:tab w:val="num" w:pos="1134"/>
              </w:tabs>
              <w:spacing w:after="240"/>
              <w:rPr>
                <w:color w:val="auto"/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</w:tr>
      <w:tr w:rsidR="00472671" w:rsidRPr="00A50751" w14:paraId="560BD073" w14:textId="77777777">
        <w:trPr>
          <w:cantSplit/>
          <w:jc w:val="center"/>
        </w:trPr>
        <w:tc>
          <w:tcPr>
            <w:tcW w:w="4536" w:type="dxa"/>
          </w:tcPr>
          <w:p w14:paraId="58C0C054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59F3BF7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8CC70A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1C9C4747" w14:textId="77777777">
        <w:trPr>
          <w:cantSplit/>
          <w:jc w:val="center"/>
        </w:trPr>
        <w:tc>
          <w:tcPr>
            <w:tcW w:w="4536" w:type="dxa"/>
          </w:tcPr>
          <w:p w14:paraId="1E48B4C1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664B15F2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419A3B69" w14:textId="77777777" w:rsidR="005B7D03" w:rsidRPr="00F00A18" w:rsidRDefault="005B7D03" w:rsidP="005B7D03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Rosslyn Bates MP</w:t>
            </w:r>
          </w:p>
          <w:p w14:paraId="54E60A3A" w14:textId="77777777" w:rsidR="005B7D03" w:rsidRPr="00F00A18" w:rsidRDefault="005B7D03" w:rsidP="005B7D03">
            <w:pPr>
              <w:pStyle w:val="Position"/>
              <w:jc w:val="left"/>
              <w:rPr>
                <w:color w:val="auto"/>
                <w:lang w:val="en-GB"/>
              </w:rPr>
            </w:pPr>
            <w:r w:rsidRPr="6FBF2D7F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 xml:space="preserve">Finance, </w:t>
            </w:r>
            <w:r w:rsidRPr="6FBF2D7F">
              <w:rPr>
                <w:color w:val="auto"/>
                <w:lang w:val="en-GB"/>
              </w:rPr>
              <w:t>Trade, Employment and Training</w:t>
            </w:r>
          </w:p>
          <w:p w14:paraId="21F0073B" w14:textId="1823402B" w:rsidR="00472671" w:rsidRPr="00A50751" w:rsidRDefault="005B7D03" w:rsidP="005B7D03">
            <w:pPr>
              <w:pStyle w:val="SingleParagraph"/>
              <w:tabs>
                <w:tab w:val="num" w:pos="1134"/>
              </w:tabs>
              <w:spacing w:after="240"/>
              <w:rPr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521B62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8F133E0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185FF7D6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07051A13" w14:textId="32D3458D" w:rsidR="004D16AF" w:rsidRPr="00F00A18" w:rsidRDefault="004D16AF" w:rsidP="004D16AF">
            <w:pPr>
              <w:pStyle w:val="SingleParagraph"/>
              <w:rPr>
                <w:rStyle w:val="Bold"/>
                <w:color w:val="auto"/>
              </w:rPr>
            </w:pPr>
            <w:r w:rsidRPr="4ACF7B24">
              <w:rPr>
                <w:rStyle w:val="Bold"/>
                <w:color w:val="auto"/>
              </w:rPr>
              <w:t xml:space="preserve">The Honourable Amber-Jade Sanderson </w:t>
            </w:r>
            <w:r w:rsidR="00CB3895">
              <w:rPr>
                <w:rStyle w:val="Bold"/>
                <w:color w:val="auto"/>
              </w:rPr>
              <w:t>MLA</w:t>
            </w:r>
          </w:p>
          <w:p w14:paraId="69C5FC21" w14:textId="77777777" w:rsidR="004D16AF" w:rsidRDefault="004D16AF" w:rsidP="004D16AF">
            <w:pPr>
              <w:pStyle w:val="Position"/>
              <w:jc w:val="left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</w:t>
            </w:r>
            <w:r>
              <w:rPr>
                <w:color w:val="auto"/>
                <w:lang w:val="en-GB"/>
              </w:rPr>
              <w:t>r E</w:t>
            </w:r>
            <w:r w:rsidRPr="005C2EC5">
              <w:rPr>
                <w:color w:val="auto"/>
                <w:lang w:val="en-GB"/>
              </w:rPr>
              <w:t>nergy and Decarbonisation; Manufacturing; Skills and TAFE; Pilbara</w:t>
            </w:r>
          </w:p>
          <w:p w14:paraId="73F86DE1" w14:textId="6B6664CA" w:rsidR="00472671" w:rsidRPr="00A50751" w:rsidRDefault="004D16AF" w:rsidP="004D16AF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</w:tr>
      <w:tr w:rsidR="00472671" w:rsidRPr="00A50751" w14:paraId="3EAF7442" w14:textId="77777777">
        <w:trPr>
          <w:cantSplit/>
          <w:jc w:val="center"/>
        </w:trPr>
        <w:tc>
          <w:tcPr>
            <w:tcW w:w="4536" w:type="dxa"/>
          </w:tcPr>
          <w:p w14:paraId="3267300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AB6AF1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A3281E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6AB754C8" w14:textId="77777777">
        <w:trPr>
          <w:cantSplit/>
          <w:trHeight w:val="143"/>
          <w:jc w:val="center"/>
        </w:trPr>
        <w:tc>
          <w:tcPr>
            <w:tcW w:w="4536" w:type="dxa"/>
          </w:tcPr>
          <w:p w14:paraId="6C0BD7EC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1D6771AC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3FD2C332" w14:textId="77777777" w:rsidR="00643C57" w:rsidRPr="00F00A18" w:rsidRDefault="00643C57" w:rsidP="00643C57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Blair Boyer MP</w:t>
            </w:r>
          </w:p>
          <w:p w14:paraId="13972C29" w14:textId="77777777" w:rsidR="00643C57" w:rsidRDefault="00643C57" w:rsidP="00643C57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Education, Training and Skills </w:t>
            </w:r>
          </w:p>
          <w:p w14:paraId="4A208866" w14:textId="2985CFF4" w:rsidR="00472671" w:rsidRPr="00A50751" w:rsidRDefault="00643C57" w:rsidP="00643C57">
            <w:pPr>
              <w:pStyle w:val="SingleParagraph"/>
              <w:tabs>
                <w:tab w:val="num" w:pos="1134"/>
              </w:tabs>
              <w:spacing w:after="240"/>
              <w:rPr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D1DA052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49C5FE0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0E16F868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13FD7056" w14:textId="77777777" w:rsidR="002649A5" w:rsidRPr="00F00A18" w:rsidRDefault="002649A5" w:rsidP="002649A5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Felix Ellis MP</w:t>
            </w:r>
          </w:p>
          <w:p w14:paraId="7CCB56F9" w14:textId="77777777" w:rsidR="002649A5" w:rsidRPr="00F00A18" w:rsidRDefault="002649A5" w:rsidP="002649A5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Skills and Jobs</w:t>
            </w:r>
          </w:p>
          <w:p w14:paraId="329A7640" w14:textId="1FD49674" w:rsidR="00472671" w:rsidRPr="00A50751" w:rsidRDefault="002649A5" w:rsidP="002649A5">
            <w:pPr>
              <w:pStyle w:val="SingleParagraph"/>
              <w:tabs>
                <w:tab w:val="num" w:pos="1134"/>
              </w:tabs>
              <w:spacing w:after="240"/>
              <w:rPr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</w:tr>
      <w:tr w:rsidR="00472671" w:rsidRPr="00A50751" w14:paraId="0EEE1186" w14:textId="77777777" w:rsidTr="00CB3895">
        <w:trPr>
          <w:cantSplit/>
          <w:trHeight w:val="203"/>
          <w:jc w:val="center"/>
        </w:trPr>
        <w:tc>
          <w:tcPr>
            <w:tcW w:w="4536" w:type="dxa"/>
          </w:tcPr>
          <w:p w14:paraId="163C6D34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73610A0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60288E75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2CB9EFA1" w14:textId="77777777">
        <w:trPr>
          <w:cantSplit/>
          <w:jc w:val="center"/>
        </w:trPr>
        <w:tc>
          <w:tcPr>
            <w:tcW w:w="4536" w:type="dxa"/>
          </w:tcPr>
          <w:p w14:paraId="3D0F666D" w14:textId="77777777" w:rsidR="002649A5" w:rsidRPr="00A50751" w:rsidRDefault="002649A5" w:rsidP="002649A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2D94741" w14:textId="77777777" w:rsidR="002649A5" w:rsidRPr="00A50751" w:rsidRDefault="002649A5" w:rsidP="002649A5">
            <w:pPr>
              <w:pStyle w:val="LineForSignature"/>
            </w:pPr>
            <w:r w:rsidRPr="00A50751">
              <w:tab/>
            </w:r>
          </w:p>
          <w:p w14:paraId="1B1C2D03" w14:textId="77777777" w:rsidR="00001857" w:rsidRPr="00F00A18" w:rsidRDefault="00001857" w:rsidP="00001857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Jo Hersey</w:t>
            </w:r>
          </w:p>
          <w:p w14:paraId="22F78DA7" w14:textId="77777777" w:rsidR="00001857" w:rsidRPr="00F00A18" w:rsidRDefault="00001857" w:rsidP="00001857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for Education and Training</w:t>
            </w:r>
          </w:p>
          <w:p w14:paraId="1C134F0A" w14:textId="0E02170A" w:rsidR="00472671" w:rsidRPr="00A50751" w:rsidRDefault="00001857" w:rsidP="007F6879">
            <w:pPr>
              <w:pStyle w:val="SingleParagraph"/>
              <w:tabs>
                <w:tab w:val="num" w:pos="1134"/>
              </w:tabs>
              <w:ind w:left="1134" w:hanging="567"/>
              <w:rPr>
                <w:szCs w:val="22"/>
                <w:lang w:val="en-GB"/>
              </w:rPr>
            </w:pPr>
            <w:r w:rsidRPr="000E767D">
              <w:rPr>
                <w:lang w:val="en-GB"/>
              </w:rPr>
              <w:t xml:space="preserve">               </w:t>
            </w:r>
            <w:r>
              <w:rPr>
                <w:lang w:val="en-GB"/>
              </w:rPr>
              <w:t xml:space="preserve">       </w:t>
            </w:r>
            <w:r w:rsidRPr="000E767D">
              <w:rPr>
                <w:lang w:val="en-GB"/>
              </w:rPr>
              <w:t xml:space="preserve">       /         /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BCBFCBD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1C77AAD" w14:textId="1ED61156" w:rsidR="00472671" w:rsidRPr="00A50751" w:rsidRDefault="00472671" w:rsidP="002649A5">
            <w:pPr>
              <w:pStyle w:val="SingleParagraph"/>
              <w:tabs>
                <w:tab w:val="num" w:pos="1134"/>
              </w:tabs>
              <w:spacing w:after="240"/>
              <w:rPr>
                <w:lang w:val="en-GB"/>
              </w:rPr>
            </w:pPr>
          </w:p>
        </w:tc>
      </w:tr>
    </w:tbl>
    <w:p w14:paraId="77D2F69C" w14:textId="196948BE" w:rsidR="00205899" w:rsidRPr="00254A25" w:rsidRDefault="00205899" w:rsidP="002649A5">
      <w:pPr>
        <w:rPr>
          <w:lang w:val="en-GB"/>
        </w:rPr>
      </w:pPr>
    </w:p>
    <w:sectPr w:rsidR="00205899" w:rsidRPr="00254A25" w:rsidSect="009D2A5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CA03" w14:textId="77777777" w:rsidR="00106144" w:rsidRDefault="00106144">
      <w:r>
        <w:separator/>
      </w:r>
    </w:p>
  </w:endnote>
  <w:endnote w:type="continuationSeparator" w:id="0">
    <w:p w14:paraId="3CCB52C8" w14:textId="77777777" w:rsidR="00106144" w:rsidRDefault="00106144">
      <w:r>
        <w:continuationSeparator/>
      </w:r>
    </w:p>
  </w:endnote>
  <w:endnote w:type="continuationNotice" w:id="1">
    <w:p w14:paraId="574D053C" w14:textId="77777777" w:rsidR="00106144" w:rsidRDefault="00106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90FB" w14:textId="4C462710" w:rsidR="002C4B83" w:rsidRDefault="002C4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3A556D33" wp14:editId="11F20D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8709995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6FD4" w14:textId="4FB90C74" w:rsidR="002C4B83" w:rsidRPr="002C4B83" w:rsidRDefault="002C4B83" w:rsidP="002C4B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4B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56D3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3.45pt;height:29.65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0F26FD4" w14:textId="4FB90C74" w:rsidR="002C4B83" w:rsidRPr="002C4B83" w:rsidRDefault="002C4B83" w:rsidP="002C4B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C4B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CCF2" w14:textId="1F06D84B" w:rsidR="002C4B83" w:rsidRDefault="002C4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64A46E1D" wp14:editId="26C5C2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929674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55DD0" w14:textId="198CCF4E" w:rsidR="002C4B83" w:rsidRPr="002C4B83" w:rsidRDefault="002C4B83" w:rsidP="002C4B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4B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46E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9255DD0" w14:textId="198CCF4E" w:rsidR="002C4B83" w:rsidRPr="002C4B83" w:rsidRDefault="002C4B83" w:rsidP="002C4B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C4B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E76" w14:textId="77777777" w:rsidR="00106144" w:rsidRDefault="00106144">
      <w:r>
        <w:separator/>
      </w:r>
    </w:p>
  </w:footnote>
  <w:footnote w:type="continuationSeparator" w:id="0">
    <w:p w14:paraId="67FF14DA" w14:textId="77777777" w:rsidR="00106144" w:rsidRDefault="00106144">
      <w:r>
        <w:continuationSeparator/>
      </w:r>
    </w:p>
  </w:footnote>
  <w:footnote w:type="continuationNotice" w:id="1">
    <w:p w14:paraId="27340CD3" w14:textId="77777777" w:rsidR="00106144" w:rsidRDefault="00106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6B8F" w14:textId="677DC4F4" w:rsidR="00D10A05" w:rsidRDefault="002C4B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08F3CE0" wp14:editId="6145DE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0434224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5A93" w14:textId="0CB0BAF5" w:rsidR="002C4B83" w:rsidRPr="002C4B83" w:rsidRDefault="002C4B83" w:rsidP="002C4B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4B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F3C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1455A93" w14:textId="0CB0BAF5" w:rsidR="002C4B83" w:rsidRPr="002C4B83" w:rsidRDefault="002C4B83" w:rsidP="002C4B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C4B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3D09D06F" w:rsidR="00C220B1" w:rsidRDefault="00C220B1">
    <w:pPr>
      <w:pStyle w:val="HeaderOdd"/>
      <w:tabs>
        <w:tab w:val="num" w:pos="1134"/>
      </w:tabs>
      <w:spacing w:after="120"/>
      <w:rPr>
        <w:color w:val="8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370" w14:textId="19302811" w:rsidR="00C220B1" w:rsidRPr="00BD75FF" w:rsidRDefault="002C4B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F2D90CA" wp14:editId="6F41EB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468180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96D84" w14:textId="4CAB25F6" w:rsidR="002C4B83" w:rsidRPr="002C4B83" w:rsidRDefault="002C4B83" w:rsidP="002C4B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4B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D90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8B96D84" w14:textId="4CAB25F6" w:rsidR="002C4B83" w:rsidRPr="002C4B83" w:rsidRDefault="002C4B83" w:rsidP="002C4B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C4B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30A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8F2"/>
    <w:multiLevelType w:val="hybridMultilevel"/>
    <w:tmpl w:val="9A7AC6BE"/>
    <w:lvl w:ilvl="0" w:tplc="96526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3D78"/>
    <w:multiLevelType w:val="hybridMultilevel"/>
    <w:tmpl w:val="5E460476"/>
    <w:lvl w:ilvl="0" w:tplc="70F4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65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C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2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18F3"/>
    <w:multiLevelType w:val="hybridMultilevel"/>
    <w:tmpl w:val="C83426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D412AE"/>
    <w:multiLevelType w:val="hybridMultilevel"/>
    <w:tmpl w:val="C7A0E00E"/>
    <w:lvl w:ilvl="0" w:tplc="12C6799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592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42A2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B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00A0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CCD4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4E2B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920C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0A10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40C5E"/>
    <w:multiLevelType w:val="hybridMultilevel"/>
    <w:tmpl w:val="80FA7518"/>
    <w:lvl w:ilvl="0" w:tplc="86BC5DB4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60447A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4AA9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1007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CA57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C82F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F0EE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46FF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3A44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49333"/>
    <w:multiLevelType w:val="hybridMultilevel"/>
    <w:tmpl w:val="E7506B92"/>
    <w:lvl w:ilvl="0" w:tplc="38A44E3E">
      <w:start w:val="1"/>
      <w:numFmt w:val="bullet"/>
      <w:lvlText w:val="-"/>
      <w:lvlJc w:val="left"/>
      <w:pPr>
        <w:ind w:left="720" w:hanging="360"/>
      </w:pPr>
      <w:rPr>
        <w:rFonts w:ascii="Corbel" w:hAnsi="Corbel" w:hint="default"/>
      </w:rPr>
    </w:lvl>
    <w:lvl w:ilvl="1" w:tplc="F83CD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4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5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4B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88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0FD5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FEB"/>
    <w:multiLevelType w:val="hybridMultilevel"/>
    <w:tmpl w:val="D80CE5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669D"/>
    <w:multiLevelType w:val="hybridMultilevel"/>
    <w:tmpl w:val="C8B098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666B"/>
    <w:multiLevelType w:val="hybridMultilevel"/>
    <w:tmpl w:val="472E1EA6"/>
    <w:lvl w:ilvl="0" w:tplc="FFFFFFFF">
      <w:start w:val="1"/>
      <w:numFmt w:val="bullet"/>
      <w:lvlText w:val="-"/>
      <w:lvlJc w:val="left"/>
      <w:pPr>
        <w:ind w:left="249" w:hanging="360"/>
      </w:pPr>
      <w:rPr>
        <w:rFonts w:ascii="Corbel" w:hAnsi="Corbel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2" w15:restartNumberingAfterBreak="0">
    <w:nsid w:val="6F572880"/>
    <w:multiLevelType w:val="hybridMultilevel"/>
    <w:tmpl w:val="F1C80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4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7BFA66C5"/>
    <w:multiLevelType w:val="multilevel"/>
    <w:tmpl w:val="0D98E0C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2983192">
    <w:abstractNumId w:val="2"/>
  </w:num>
  <w:num w:numId="2" w16cid:durableId="604726369">
    <w:abstractNumId w:val="14"/>
  </w:num>
  <w:num w:numId="3" w16cid:durableId="323556866">
    <w:abstractNumId w:val="11"/>
  </w:num>
  <w:num w:numId="4" w16cid:durableId="945694390">
    <w:abstractNumId w:val="11"/>
  </w:num>
  <w:num w:numId="5" w16cid:durableId="32074361">
    <w:abstractNumId w:val="4"/>
  </w:num>
  <w:num w:numId="6" w16cid:durableId="397360468">
    <w:abstractNumId w:val="13"/>
  </w:num>
  <w:num w:numId="7" w16cid:durableId="1692993936">
    <w:abstractNumId w:val="3"/>
  </w:num>
  <w:num w:numId="8" w16cid:durableId="1222135491">
    <w:abstractNumId w:val="10"/>
  </w:num>
  <w:num w:numId="9" w16cid:durableId="1401715395">
    <w:abstractNumId w:val="12"/>
  </w:num>
  <w:num w:numId="10" w16cid:durableId="1615093237">
    <w:abstractNumId w:val="0"/>
  </w:num>
  <w:num w:numId="11" w16cid:durableId="142048858">
    <w:abstractNumId w:val="8"/>
  </w:num>
  <w:num w:numId="12" w16cid:durableId="624501276">
    <w:abstractNumId w:val="1"/>
  </w:num>
  <w:num w:numId="13" w16cid:durableId="214859727">
    <w:abstractNumId w:val="9"/>
  </w:num>
  <w:num w:numId="14" w16cid:durableId="112214734">
    <w:abstractNumId w:val="6"/>
  </w:num>
  <w:num w:numId="15" w16cid:durableId="303434069">
    <w:abstractNumId w:val="5"/>
  </w:num>
  <w:num w:numId="16" w16cid:durableId="386534409">
    <w:abstractNumId w:val="7"/>
  </w:num>
  <w:num w:numId="17" w16cid:durableId="1785031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01857"/>
    <w:rsid w:val="00003413"/>
    <w:rsid w:val="0001072E"/>
    <w:rsid w:val="000108FB"/>
    <w:rsid w:val="0001495F"/>
    <w:rsid w:val="00014C31"/>
    <w:rsid w:val="00015603"/>
    <w:rsid w:val="000172C0"/>
    <w:rsid w:val="000303B2"/>
    <w:rsid w:val="00031F0E"/>
    <w:rsid w:val="0003792F"/>
    <w:rsid w:val="0004068E"/>
    <w:rsid w:val="00041444"/>
    <w:rsid w:val="00041826"/>
    <w:rsid w:val="00043996"/>
    <w:rsid w:val="00045F7E"/>
    <w:rsid w:val="00046A13"/>
    <w:rsid w:val="00050A1C"/>
    <w:rsid w:val="00050D04"/>
    <w:rsid w:val="00051033"/>
    <w:rsid w:val="000651B7"/>
    <w:rsid w:val="00066791"/>
    <w:rsid w:val="00073FDD"/>
    <w:rsid w:val="0007534D"/>
    <w:rsid w:val="00075BF8"/>
    <w:rsid w:val="00086AF2"/>
    <w:rsid w:val="000944EF"/>
    <w:rsid w:val="0009454A"/>
    <w:rsid w:val="00094B88"/>
    <w:rsid w:val="0009567E"/>
    <w:rsid w:val="00097DBB"/>
    <w:rsid w:val="000A5556"/>
    <w:rsid w:val="000A6FEB"/>
    <w:rsid w:val="000B0840"/>
    <w:rsid w:val="000B3E12"/>
    <w:rsid w:val="000C0147"/>
    <w:rsid w:val="000C13A4"/>
    <w:rsid w:val="000C481A"/>
    <w:rsid w:val="000C5A1B"/>
    <w:rsid w:val="000D311E"/>
    <w:rsid w:val="000D3670"/>
    <w:rsid w:val="000D5754"/>
    <w:rsid w:val="000D6331"/>
    <w:rsid w:val="000D7E44"/>
    <w:rsid w:val="000E1F70"/>
    <w:rsid w:val="000E23A3"/>
    <w:rsid w:val="000E566E"/>
    <w:rsid w:val="000E5C11"/>
    <w:rsid w:val="000E73E2"/>
    <w:rsid w:val="000E7A0D"/>
    <w:rsid w:val="000E7D23"/>
    <w:rsid w:val="000F034A"/>
    <w:rsid w:val="000F1F72"/>
    <w:rsid w:val="00102497"/>
    <w:rsid w:val="00103150"/>
    <w:rsid w:val="00104C9A"/>
    <w:rsid w:val="00105D97"/>
    <w:rsid w:val="00106144"/>
    <w:rsid w:val="0010769A"/>
    <w:rsid w:val="0010781C"/>
    <w:rsid w:val="00112EC2"/>
    <w:rsid w:val="00115885"/>
    <w:rsid w:val="001159DF"/>
    <w:rsid w:val="00117698"/>
    <w:rsid w:val="00123614"/>
    <w:rsid w:val="001248BC"/>
    <w:rsid w:val="00127AEF"/>
    <w:rsid w:val="00130548"/>
    <w:rsid w:val="00130E2B"/>
    <w:rsid w:val="00134138"/>
    <w:rsid w:val="00135F13"/>
    <w:rsid w:val="0013738B"/>
    <w:rsid w:val="00140E59"/>
    <w:rsid w:val="0014152F"/>
    <w:rsid w:val="00146B36"/>
    <w:rsid w:val="0015095F"/>
    <w:rsid w:val="00151C1A"/>
    <w:rsid w:val="001538A2"/>
    <w:rsid w:val="00154CBB"/>
    <w:rsid w:val="00155268"/>
    <w:rsid w:val="00156732"/>
    <w:rsid w:val="00157E9D"/>
    <w:rsid w:val="001611DC"/>
    <w:rsid w:val="001636C7"/>
    <w:rsid w:val="001717F2"/>
    <w:rsid w:val="00172DD8"/>
    <w:rsid w:val="00174271"/>
    <w:rsid w:val="0017459E"/>
    <w:rsid w:val="001775CA"/>
    <w:rsid w:val="00186D12"/>
    <w:rsid w:val="00190DA0"/>
    <w:rsid w:val="001936B7"/>
    <w:rsid w:val="0019598A"/>
    <w:rsid w:val="001A0E08"/>
    <w:rsid w:val="001A386D"/>
    <w:rsid w:val="001A6DA9"/>
    <w:rsid w:val="001B0909"/>
    <w:rsid w:val="001B1F4C"/>
    <w:rsid w:val="001C3709"/>
    <w:rsid w:val="001C3805"/>
    <w:rsid w:val="001C3A27"/>
    <w:rsid w:val="001C7634"/>
    <w:rsid w:val="001D0EB4"/>
    <w:rsid w:val="001E17DC"/>
    <w:rsid w:val="001E2BE2"/>
    <w:rsid w:val="001E39E3"/>
    <w:rsid w:val="001F58D6"/>
    <w:rsid w:val="0020017C"/>
    <w:rsid w:val="0020225C"/>
    <w:rsid w:val="00203EF5"/>
    <w:rsid w:val="00205899"/>
    <w:rsid w:val="00206EC4"/>
    <w:rsid w:val="0021281B"/>
    <w:rsid w:val="00214A57"/>
    <w:rsid w:val="00214EA9"/>
    <w:rsid w:val="00215C9D"/>
    <w:rsid w:val="002216E1"/>
    <w:rsid w:val="002229AF"/>
    <w:rsid w:val="00222CEC"/>
    <w:rsid w:val="00224E34"/>
    <w:rsid w:val="00227BF9"/>
    <w:rsid w:val="00235421"/>
    <w:rsid w:val="00240B24"/>
    <w:rsid w:val="0024285F"/>
    <w:rsid w:val="00245CE2"/>
    <w:rsid w:val="00245EDC"/>
    <w:rsid w:val="00254A25"/>
    <w:rsid w:val="00255F98"/>
    <w:rsid w:val="002561B1"/>
    <w:rsid w:val="0026079C"/>
    <w:rsid w:val="002649A5"/>
    <w:rsid w:val="00265149"/>
    <w:rsid w:val="00265A1D"/>
    <w:rsid w:val="00267848"/>
    <w:rsid w:val="00284EAF"/>
    <w:rsid w:val="00287EB9"/>
    <w:rsid w:val="00293248"/>
    <w:rsid w:val="0029589F"/>
    <w:rsid w:val="00295F37"/>
    <w:rsid w:val="00296B59"/>
    <w:rsid w:val="002A3B02"/>
    <w:rsid w:val="002B1855"/>
    <w:rsid w:val="002B242E"/>
    <w:rsid w:val="002B2DD2"/>
    <w:rsid w:val="002B5557"/>
    <w:rsid w:val="002C108C"/>
    <w:rsid w:val="002C2B90"/>
    <w:rsid w:val="002C4B83"/>
    <w:rsid w:val="002C6732"/>
    <w:rsid w:val="002D136E"/>
    <w:rsid w:val="002D3EDA"/>
    <w:rsid w:val="002E0BF1"/>
    <w:rsid w:val="002E27B6"/>
    <w:rsid w:val="002E31C8"/>
    <w:rsid w:val="002E41C9"/>
    <w:rsid w:val="002E4A2E"/>
    <w:rsid w:val="002E5EB6"/>
    <w:rsid w:val="002E77AC"/>
    <w:rsid w:val="002F1448"/>
    <w:rsid w:val="002F28A9"/>
    <w:rsid w:val="002F30A7"/>
    <w:rsid w:val="002F3AA5"/>
    <w:rsid w:val="002F4879"/>
    <w:rsid w:val="002F48D8"/>
    <w:rsid w:val="00301A55"/>
    <w:rsid w:val="00301FCD"/>
    <w:rsid w:val="003029EF"/>
    <w:rsid w:val="00302C31"/>
    <w:rsid w:val="003065B0"/>
    <w:rsid w:val="003077C6"/>
    <w:rsid w:val="0031414B"/>
    <w:rsid w:val="00314E22"/>
    <w:rsid w:val="00317B7B"/>
    <w:rsid w:val="003229E4"/>
    <w:rsid w:val="00322ACD"/>
    <w:rsid w:val="00324E5F"/>
    <w:rsid w:val="00326973"/>
    <w:rsid w:val="00330BD5"/>
    <w:rsid w:val="00335682"/>
    <w:rsid w:val="00340170"/>
    <w:rsid w:val="00340FCC"/>
    <w:rsid w:val="00344EFE"/>
    <w:rsid w:val="00357A28"/>
    <w:rsid w:val="00360E60"/>
    <w:rsid w:val="00361186"/>
    <w:rsid w:val="0036206A"/>
    <w:rsid w:val="0036416C"/>
    <w:rsid w:val="00366D80"/>
    <w:rsid w:val="0037075D"/>
    <w:rsid w:val="00371315"/>
    <w:rsid w:val="0037175F"/>
    <w:rsid w:val="003767E2"/>
    <w:rsid w:val="00377E53"/>
    <w:rsid w:val="0038224F"/>
    <w:rsid w:val="00384351"/>
    <w:rsid w:val="003853F4"/>
    <w:rsid w:val="0038597C"/>
    <w:rsid w:val="003859CB"/>
    <w:rsid w:val="003945C4"/>
    <w:rsid w:val="00396070"/>
    <w:rsid w:val="003A03B6"/>
    <w:rsid w:val="003A1EC0"/>
    <w:rsid w:val="003A30B9"/>
    <w:rsid w:val="003A5001"/>
    <w:rsid w:val="003B0924"/>
    <w:rsid w:val="003B1B76"/>
    <w:rsid w:val="003B2EA4"/>
    <w:rsid w:val="003B49CF"/>
    <w:rsid w:val="003B629E"/>
    <w:rsid w:val="003C7BA5"/>
    <w:rsid w:val="003D285F"/>
    <w:rsid w:val="003D4047"/>
    <w:rsid w:val="003E04A6"/>
    <w:rsid w:val="003E3D8E"/>
    <w:rsid w:val="003E4770"/>
    <w:rsid w:val="003E744E"/>
    <w:rsid w:val="003F238F"/>
    <w:rsid w:val="003F3486"/>
    <w:rsid w:val="003F5566"/>
    <w:rsid w:val="00405CBC"/>
    <w:rsid w:val="00410EAB"/>
    <w:rsid w:val="00411C81"/>
    <w:rsid w:val="00412178"/>
    <w:rsid w:val="00415E2A"/>
    <w:rsid w:val="00416CC3"/>
    <w:rsid w:val="00417623"/>
    <w:rsid w:val="00421C80"/>
    <w:rsid w:val="00422AC1"/>
    <w:rsid w:val="0042529F"/>
    <w:rsid w:val="00426177"/>
    <w:rsid w:val="00430D0C"/>
    <w:rsid w:val="004326FF"/>
    <w:rsid w:val="0043425B"/>
    <w:rsid w:val="0043486C"/>
    <w:rsid w:val="00434A2F"/>
    <w:rsid w:val="004422B6"/>
    <w:rsid w:val="0044452C"/>
    <w:rsid w:val="00450477"/>
    <w:rsid w:val="004505B9"/>
    <w:rsid w:val="00451ADE"/>
    <w:rsid w:val="00457CF9"/>
    <w:rsid w:val="0046111C"/>
    <w:rsid w:val="0046399C"/>
    <w:rsid w:val="00465276"/>
    <w:rsid w:val="00471137"/>
    <w:rsid w:val="00472671"/>
    <w:rsid w:val="00480BB6"/>
    <w:rsid w:val="00482DB0"/>
    <w:rsid w:val="00486C17"/>
    <w:rsid w:val="00490477"/>
    <w:rsid w:val="004A2C4A"/>
    <w:rsid w:val="004A4AE8"/>
    <w:rsid w:val="004B10A0"/>
    <w:rsid w:val="004B4494"/>
    <w:rsid w:val="004D0DBF"/>
    <w:rsid w:val="004D1119"/>
    <w:rsid w:val="004D16AF"/>
    <w:rsid w:val="004D3EC9"/>
    <w:rsid w:val="004E06BF"/>
    <w:rsid w:val="004E1342"/>
    <w:rsid w:val="004E43C4"/>
    <w:rsid w:val="004F2D49"/>
    <w:rsid w:val="00503DBF"/>
    <w:rsid w:val="00507686"/>
    <w:rsid w:val="00507EEE"/>
    <w:rsid w:val="00521E18"/>
    <w:rsid w:val="005226CA"/>
    <w:rsid w:val="005309DF"/>
    <w:rsid w:val="005313CF"/>
    <w:rsid w:val="0053146F"/>
    <w:rsid w:val="00534AE2"/>
    <w:rsid w:val="005351D4"/>
    <w:rsid w:val="00535359"/>
    <w:rsid w:val="00540529"/>
    <w:rsid w:val="00540822"/>
    <w:rsid w:val="00542F04"/>
    <w:rsid w:val="00543B12"/>
    <w:rsid w:val="00550874"/>
    <w:rsid w:val="00550BB0"/>
    <w:rsid w:val="00551D3A"/>
    <w:rsid w:val="00551F4C"/>
    <w:rsid w:val="005541FF"/>
    <w:rsid w:val="0055556C"/>
    <w:rsid w:val="00555950"/>
    <w:rsid w:val="00560BD2"/>
    <w:rsid w:val="00563961"/>
    <w:rsid w:val="00564F22"/>
    <w:rsid w:val="00565D50"/>
    <w:rsid w:val="005676C7"/>
    <w:rsid w:val="005678EB"/>
    <w:rsid w:val="00570CAD"/>
    <w:rsid w:val="005718F7"/>
    <w:rsid w:val="00571C2B"/>
    <w:rsid w:val="00577E30"/>
    <w:rsid w:val="00580AAE"/>
    <w:rsid w:val="005827B9"/>
    <w:rsid w:val="00585BF5"/>
    <w:rsid w:val="00587B5C"/>
    <w:rsid w:val="00590BAF"/>
    <w:rsid w:val="005922E2"/>
    <w:rsid w:val="005926DC"/>
    <w:rsid w:val="00594C2F"/>
    <w:rsid w:val="00595256"/>
    <w:rsid w:val="005A044A"/>
    <w:rsid w:val="005A0F41"/>
    <w:rsid w:val="005A176C"/>
    <w:rsid w:val="005A4217"/>
    <w:rsid w:val="005A55C0"/>
    <w:rsid w:val="005B331D"/>
    <w:rsid w:val="005B485B"/>
    <w:rsid w:val="005B4E8F"/>
    <w:rsid w:val="005B7D03"/>
    <w:rsid w:val="005C3A58"/>
    <w:rsid w:val="005C4B8C"/>
    <w:rsid w:val="005D0A43"/>
    <w:rsid w:val="005D414A"/>
    <w:rsid w:val="005D576E"/>
    <w:rsid w:val="005D6831"/>
    <w:rsid w:val="005E01D7"/>
    <w:rsid w:val="005E1814"/>
    <w:rsid w:val="005E3CA0"/>
    <w:rsid w:val="005E5B67"/>
    <w:rsid w:val="005E7726"/>
    <w:rsid w:val="005F1410"/>
    <w:rsid w:val="005F2C78"/>
    <w:rsid w:val="005F396C"/>
    <w:rsid w:val="005F3FE8"/>
    <w:rsid w:val="00604306"/>
    <w:rsid w:val="00607BE5"/>
    <w:rsid w:val="00612FDF"/>
    <w:rsid w:val="00613B33"/>
    <w:rsid w:val="00622411"/>
    <w:rsid w:val="00626D11"/>
    <w:rsid w:val="00631B4A"/>
    <w:rsid w:val="00633357"/>
    <w:rsid w:val="006338B7"/>
    <w:rsid w:val="0063398B"/>
    <w:rsid w:val="00634289"/>
    <w:rsid w:val="00635A4F"/>
    <w:rsid w:val="00635DEC"/>
    <w:rsid w:val="006427CF"/>
    <w:rsid w:val="00643C57"/>
    <w:rsid w:val="0064500E"/>
    <w:rsid w:val="00646F90"/>
    <w:rsid w:val="006506C1"/>
    <w:rsid w:val="006511A2"/>
    <w:rsid w:val="00651216"/>
    <w:rsid w:val="00651680"/>
    <w:rsid w:val="00652906"/>
    <w:rsid w:val="00655730"/>
    <w:rsid w:val="006558E7"/>
    <w:rsid w:val="006562B7"/>
    <w:rsid w:val="00657B56"/>
    <w:rsid w:val="00660146"/>
    <w:rsid w:val="00664274"/>
    <w:rsid w:val="00665F32"/>
    <w:rsid w:val="00670DD2"/>
    <w:rsid w:val="00672236"/>
    <w:rsid w:val="00673168"/>
    <w:rsid w:val="00673FD1"/>
    <w:rsid w:val="00675DAC"/>
    <w:rsid w:val="00677739"/>
    <w:rsid w:val="00680B35"/>
    <w:rsid w:val="00683595"/>
    <w:rsid w:val="0068450F"/>
    <w:rsid w:val="00686D13"/>
    <w:rsid w:val="00687A8C"/>
    <w:rsid w:val="00690FC0"/>
    <w:rsid w:val="006952C3"/>
    <w:rsid w:val="006A0E13"/>
    <w:rsid w:val="006A0E98"/>
    <w:rsid w:val="006A550D"/>
    <w:rsid w:val="006B423D"/>
    <w:rsid w:val="006B6A4E"/>
    <w:rsid w:val="006C28CB"/>
    <w:rsid w:val="006C40B7"/>
    <w:rsid w:val="006C490B"/>
    <w:rsid w:val="006C5057"/>
    <w:rsid w:val="006C5D7A"/>
    <w:rsid w:val="006C655D"/>
    <w:rsid w:val="006D3500"/>
    <w:rsid w:val="006D395C"/>
    <w:rsid w:val="006D40A1"/>
    <w:rsid w:val="006D59BE"/>
    <w:rsid w:val="006D5C70"/>
    <w:rsid w:val="006D6B0D"/>
    <w:rsid w:val="006E22E7"/>
    <w:rsid w:val="006E2868"/>
    <w:rsid w:val="006E2DB1"/>
    <w:rsid w:val="006E32B6"/>
    <w:rsid w:val="006E34FC"/>
    <w:rsid w:val="006E43EF"/>
    <w:rsid w:val="006E45A6"/>
    <w:rsid w:val="006E7D26"/>
    <w:rsid w:val="006F4CA1"/>
    <w:rsid w:val="006F79B1"/>
    <w:rsid w:val="007002D4"/>
    <w:rsid w:val="0070287D"/>
    <w:rsid w:val="0070653E"/>
    <w:rsid w:val="00706789"/>
    <w:rsid w:val="00710D80"/>
    <w:rsid w:val="00716217"/>
    <w:rsid w:val="0071634C"/>
    <w:rsid w:val="007219BB"/>
    <w:rsid w:val="00726194"/>
    <w:rsid w:val="00726562"/>
    <w:rsid w:val="00726FA8"/>
    <w:rsid w:val="007279A8"/>
    <w:rsid w:val="00732AAD"/>
    <w:rsid w:val="00733C8A"/>
    <w:rsid w:val="0074612D"/>
    <w:rsid w:val="0075088C"/>
    <w:rsid w:val="00750DE7"/>
    <w:rsid w:val="007512E0"/>
    <w:rsid w:val="00752EE9"/>
    <w:rsid w:val="0075562F"/>
    <w:rsid w:val="00756B8B"/>
    <w:rsid w:val="00757669"/>
    <w:rsid w:val="00760AA6"/>
    <w:rsid w:val="007668FF"/>
    <w:rsid w:val="00767D35"/>
    <w:rsid w:val="00770339"/>
    <w:rsid w:val="007750CC"/>
    <w:rsid w:val="00775214"/>
    <w:rsid w:val="00776623"/>
    <w:rsid w:val="007766A2"/>
    <w:rsid w:val="00776790"/>
    <w:rsid w:val="00776DCB"/>
    <w:rsid w:val="00782A79"/>
    <w:rsid w:val="00784104"/>
    <w:rsid w:val="00785AC4"/>
    <w:rsid w:val="0078785C"/>
    <w:rsid w:val="00792263"/>
    <w:rsid w:val="00796A07"/>
    <w:rsid w:val="00797527"/>
    <w:rsid w:val="007A42A1"/>
    <w:rsid w:val="007A4CA0"/>
    <w:rsid w:val="007B01EC"/>
    <w:rsid w:val="007B46F2"/>
    <w:rsid w:val="007B60A8"/>
    <w:rsid w:val="007B7F74"/>
    <w:rsid w:val="007C017E"/>
    <w:rsid w:val="007C11FF"/>
    <w:rsid w:val="007C1AA1"/>
    <w:rsid w:val="007C3645"/>
    <w:rsid w:val="007C5BDE"/>
    <w:rsid w:val="007C6B6E"/>
    <w:rsid w:val="007D44D2"/>
    <w:rsid w:val="007D5610"/>
    <w:rsid w:val="007D5879"/>
    <w:rsid w:val="007E0019"/>
    <w:rsid w:val="007E5234"/>
    <w:rsid w:val="007E6619"/>
    <w:rsid w:val="007F2908"/>
    <w:rsid w:val="007F2D8B"/>
    <w:rsid w:val="007F35C0"/>
    <w:rsid w:val="007F3804"/>
    <w:rsid w:val="007F4308"/>
    <w:rsid w:val="007F4609"/>
    <w:rsid w:val="007F6879"/>
    <w:rsid w:val="007F7C65"/>
    <w:rsid w:val="00802072"/>
    <w:rsid w:val="00803582"/>
    <w:rsid w:val="00803751"/>
    <w:rsid w:val="008074A4"/>
    <w:rsid w:val="00807C11"/>
    <w:rsid w:val="0081263C"/>
    <w:rsid w:val="00812ABD"/>
    <w:rsid w:val="00814936"/>
    <w:rsid w:val="00814BA2"/>
    <w:rsid w:val="008158E8"/>
    <w:rsid w:val="008168ED"/>
    <w:rsid w:val="00823B26"/>
    <w:rsid w:val="00823FFC"/>
    <w:rsid w:val="00825A66"/>
    <w:rsid w:val="008304B3"/>
    <w:rsid w:val="00840DA7"/>
    <w:rsid w:val="00841130"/>
    <w:rsid w:val="00841DB6"/>
    <w:rsid w:val="00842BC3"/>
    <w:rsid w:val="00847D29"/>
    <w:rsid w:val="00852E6A"/>
    <w:rsid w:val="00853C04"/>
    <w:rsid w:val="00854359"/>
    <w:rsid w:val="0085516F"/>
    <w:rsid w:val="00856078"/>
    <w:rsid w:val="00861ABB"/>
    <w:rsid w:val="00864A2D"/>
    <w:rsid w:val="00865AAA"/>
    <w:rsid w:val="008706E5"/>
    <w:rsid w:val="0088032A"/>
    <w:rsid w:val="00880646"/>
    <w:rsid w:val="008813E1"/>
    <w:rsid w:val="008821AF"/>
    <w:rsid w:val="00884D39"/>
    <w:rsid w:val="00885723"/>
    <w:rsid w:val="0089583F"/>
    <w:rsid w:val="00895F6C"/>
    <w:rsid w:val="008A4181"/>
    <w:rsid w:val="008A4B58"/>
    <w:rsid w:val="008B2607"/>
    <w:rsid w:val="008B4300"/>
    <w:rsid w:val="008B5097"/>
    <w:rsid w:val="008B6706"/>
    <w:rsid w:val="008B7D8A"/>
    <w:rsid w:val="008C04E7"/>
    <w:rsid w:val="008C0B6D"/>
    <w:rsid w:val="008C2BE7"/>
    <w:rsid w:val="008C2BF2"/>
    <w:rsid w:val="008C72F1"/>
    <w:rsid w:val="008C7B53"/>
    <w:rsid w:val="008D59A1"/>
    <w:rsid w:val="008D7E3E"/>
    <w:rsid w:val="008E695A"/>
    <w:rsid w:val="008F1912"/>
    <w:rsid w:val="008F3352"/>
    <w:rsid w:val="008F7B28"/>
    <w:rsid w:val="00901C64"/>
    <w:rsid w:val="0090242A"/>
    <w:rsid w:val="00910121"/>
    <w:rsid w:val="00911A92"/>
    <w:rsid w:val="0091298D"/>
    <w:rsid w:val="00914B56"/>
    <w:rsid w:val="0091574A"/>
    <w:rsid w:val="00917599"/>
    <w:rsid w:val="00924996"/>
    <w:rsid w:val="00924BC0"/>
    <w:rsid w:val="0092588F"/>
    <w:rsid w:val="00930C68"/>
    <w:rsid w:val="009323C3"/>
    <w:rsid w:val="0093687B"/>
    <w:rsid w:val="00937BD8"/>
    <w:rsid w:val="009419C6"/>
    <w:rsid w:val="00941CD6"/>
    <w:rsid w:val="00954C79"/>
    <w:rsid w:val="00957DA3"/>
    <w:rsid w:val="0096036A"/>
    <w:rsid w:val="00965C44"/>
    <w:rsid w:val="00972BCB"/>
    <w:rsid w:val="009834C9"/>
    <w:rsid w:val="00984C70"/>
    <w:rsid w:val="0098541B"/>
    <w:rsid w:val="00987009"/>
    <w:rsid w:val="00987EC2"/>
    <w:rsid w:val="0099350E"/>
    <w:rsid w:val="009943C2"/>
    <w:rsid w:val="00995EF4"/>
    <w:rsid w:val="009A6769"/>
    <w:rsid w:val="009A6B12"/>
    <w:rsid w:val="009B2A74"/>
    <w:rsid w:val="009B3921"/>
    <w:rsid w:val="009B7C56"/>
    <w:rsid w:val="009C03B0"/>
    <w:rsid w:val="009C0A6E"/>
    <w:rsid w:val="009C1928"/>
    <w:rsid w:val="009C2EA4"/>
    <w:rsid w:val="009C3443"/>
    <w:rsid w:val="009C3DBF"/>
    <w:rsid w:val="009C5167"/>
    <w:rsid w:val="009D0482"/>
    <w:rsid w:val="009D1D83"/>
    <w:rsid w:val="009D2A56"/>
    <w:rsid w:val="009D3852"/>
    <w:rsid w:val="009D40C1"/>
    <w:rsid w:val="009D4B09"/>
    <w:rsid w:val="009D5A7C"/>
    <w:rsid w:val="009D5B93"/>
    <w:rsid w:val="009D5E47"/>
    <w:rsid w:val="009E6EC0"/>
    <w:rsid w:val="009F2638"/>
    <w:rsid w:val="009F2D2F"/>
    <w:rsid w:val="009F6042"/>
    <w:rsid w:val="009F65BA"/>
    <w:rsid w:val="009F7549"/>
    <w:rsid w:val="009FEE86"/>
    <w:rsid w:val="00A01F5C"/>
    <w:rsid w:val="00A0267D"/>
    <w:rsid w:val="00A03737"/>
    <w:rsid w:val="00A11B3B"/>
    <w:rsid w:val="00A1778C"/>
    <w:rsid w:val="00A17F22"/>
    <w:rsid w:val="00A21461"/>
    <w:rsid w:val="00A21727"/>
    <w:rsid w:val="00A21AE5"/>
    <w:rsid w:val="00A22F89"/>
    <w:rsid w:val="00A25CAE"/>
    <w:rsid w:val="00A3005A"/>
    <w:rsid w:val="00A314EA"/>
    <w:rsid w:val="00A31E79"/>
    <w:rsid w:val="00A321B9"/>
    <w:rsid w:val="00A34626"/>
    <w:rsid w:val="00A417CD"/>
    <w:rsid w:val="00A4449E"/>
    <w:rsid w:val="00A469AE"/>
    <w:rsid w:val="00A47430"/>
    <w:rsid w:val="00A508FA"/>
    <w:rsid w:val="00A509D2"/>
    <w:rsid w:val="00A50A7C"/>
    <w:rsid w:val="00A53956"/>
    <w:rsid w:val="00A567BB"/>
    <w:rsid w:val="00A60DD4"/>
    <w:rsid w:val="00A62610"/>
    <w:rsid w:val="00A7101C"/>
    <w:rsid w:val="00A7164B"/>
    <w:rsid w:val="00A73AAC"/>
    <w:rsid w:val="00A83F1A"/>
    <w:rsid w:val="00A87FDC"/>
    <w:rsid w:val="00A90C63"/>
    <w:rsid w:val="00A92279"/>
    <w:rsid w:val="00A92280"/>
    <w:rsid w:val="00A92D66"/>
    <w:rsid w:val="00A97B66"/>
    <w:rsid w:val="00AA6D66"/>
    <w:rsid w:val="00AB5C05"/>
    <w:rsid w:val="00AB6210"/>
    <w:rsid w:val="00AB7B20"/>
    <w:rsid w:val="00AC42FC"/>
    <w:rsid w:val="00AC4C8C"/>
    <w:rsid w:val="00AD0C2E"/>
    <w:rsid w:val="00AD2297"/>
    <w:rsid w:val="00AD29E2"/>
    <w:rsid w:val="00AD7FD7"/>
    <w:rsid w:val="00AE20DE"/>
    <w:rsid w:val="00AE2DC4"/>
    <w:rsid w:val="00AF0B82"/>
    <w:rsid w:val="00AF0E56"/>
    <w:rsid w:val="00AF4E40"/>
    <w:rsid w:val="00AF6511"/>
    <w:rsid w:val="00AF680E"/>
    <w:rsid w:val="00B000A0"/>
    <w:rsid w:val="00B07C2E"/>
    <w:rsid w:val="00B07F05"/>
    <w:rsid w:val="00B112D5"/>
    <w:rsid w:val="00B234E8"/>
    <w:rsid w:val="00B26A47"/>
    <w:rsid w:val="00B26F7E"/>
    <w:rsid w:val="00B26F8A"/>
    <w:rsid w:val="00B27F2D"/>
    <w:rsid w:val="00B3242F"/>
    <w:rsid w:val="00B33680"/>
    <w:rsid w:val="00B33739"/>
    <w:rsid w:val="00B33EAF"/>
    <w:rsid w:val="00B34ED7"/>
    <w:rsid w:val="00B3511F"/>
    <w:rsid w:val="00B42C32"/>
    <w:rsid w:val="00B430CA"/>
    <w:rsid w:val="00B43218"/>
    <w:rsid w:val="00B437F8"/>
    <w:rsid w:val="00B454EF"/>
    <w:rsid w:val="00B5427E"/>
    <w:rsid w:val="00B54D62"/>
    <w:rsid w:val="00B624D0"/>
    <w:rsid w:val="00B656DE"/>
    <w:rsid w:val="00B67359"/>
    <w:rsid w:val="00B70CCC"/>
    <w:rsid w:val="00B733AD"/>
    <w:rsid w:val="00B73D25"/>
    <w:rsid w:val="00B74472"/>
    <w:rsid w:val="00B80371"/>
    <w:rsid w:val="00B836D4"/>
    <w:rsid w:val="00B860D8"/>
    <w:rsid w:val="00B876CA"/>
    <w:rsid w:val="00B92219"/>
    <w:rsid w:val="00B922F0"/>
    <w:rsid w:val="00B924EF"/>
    <w:rsid w:val="00B9324B"/>
    <w:rsid w:val="00B94EA6"/>
    <w:rsid w:val="00BA0F7C"/>
    <w:rsid w:val="00BA1438"/>
    <w:rsid w:val="00BA4F54"/>
    <w:rsid w:val="00BA6A22"/>
    <w:rsid w:val="00BB1DAD"/>
    <w:rsid w:val="00BB23FD"/>
    <w:rsid w:val="00BB4D66"/>
    <w:rsid w:val="00BC245E"/>
    <w:rsid w:val="00BC2DF5"/>
    <w:rsid w:val="00BC4E46"/>
    <w:rsid w:val="00BC7F51"/>
    <w:rsid w:val="00BD041C"/>
    <w:rsid w:val="00BD15C0"/>
    <w:rsid w:val="00BD3346"/>
    <w:rsid w:val="00BD56C2"/>
    <w:rsid w:val="00BD5A52"/>
    <w:rsid w:val="00BD78A0"/>
    <w:rsid w:val="00BE0D6B"/>
    <w:rsid w:val="00BF79F8"/>
    <w:rsid w:val="00C00A7F"/>
    <w:rsid w:val="00C03EB5"/>
    <w:rsid w:val="00C06FE2"/>
    <w:rsid w:val="00C103D3"/>
    <w:rsid w:val="00C116AD"/>
    <w:rsid w:val="00C119D1"/>
    <w:rsid w:val="00C13783"/>
    <w:rsid w:val="00C1416D"/>
    <w:rsid w:val="00C20592"/>
    <w:rsid w:val="00C220B1"/>
    <w:rsid w:val="00C3114B"/>
    <w:rsid w:val="00C31C45"/>
    <w:rsid w:val="00C32811"/>
    <w:rsid w:val="00C32C7E"/>
    <w:rsid w:val="00C341AB"/>
    <w:rsid w:val="00C3433F"/>
    <w:rsid w:val="00C34CDD"/>
    <w:rsid w:val="00C3662F"/>
    <w:rsid w:val="00C47FB4"/>
    <w:rsid w:val="00C50C52"/>
    <w:rsid w:val="00C54AE8"/>
    <w:rsid w:val="00C54EE4"/>
    <w:rsid w:val="00C5659F"/>
    <w:rsid w:val="00C62BE6"/>
    <w:rsid w:val="00C6329E"/>
    <w:rsid w:val="00C63F93"/>
    <w:rsid w:val="00C66387"/>
    <w:rsid w:val="00C70DE9"/>
    <w:rsid w:val="00C750D8"/>
    <w:rsid w:val="00C774E8"/>
    <w:rsid w:val="00C9011E"/>
    <w:rsid w:val="00C92162"/>
    <w:rsid w:val="00C956DD"/>
    <w:rsid w:val="00CA48FE"/>
    <w:rsid w:val="00CB302C"/>
    <w:rsid w:val="00CB3895"/>
    <w:rsid w:val="00CB7AE7"/>
    <w:rsid w:val="00CC1FAF"/>
    <w:rsid w:val="00CC24DD"/>
    <w:rsid w:val="00CC2C65"/>
    <w:rsid w:val="00CC4644"/>
    <w:rsid w:val="00CD06A7"/>
    <w:rsid w:val="00CD321A"/>
    <w:rsid w:val="00CD4856"/>
    <w:rsid w:val="00CD4C9F"/>
    <w:rsid w:val="00CD5116"/>
    <w:rsid w:val="00CD5AE6"/>
    <w:rsid w:val="00CE2B15"/>
    <w:rsid w:val="00CE3CEB"/>
    <w:rsid w:val="00CE4E5C"/>
    <w:rsid w:val="00CF3384"/>
    <w:rsid w:val="00CF424D"/>
    <w:rsid w:val="00CF79A5"/>
    <w:rsid w:val="00D01D8F"/>
    <w:rsid w:val="00D02B29"/>
    <w:rsid w:val="00D03500"/>
    <w:rsid w:val="00D076FA"/>
    <w:rsid w:val="00D107BA"/>
    <w:rsid w:val="00D10A05"/>
    <w:rsid w:val="00D12E82"/>
    <w:rsid w:val="00D132C4"/>
    <w:rsid w:val="00D13F72"/>
    <w:rsid w:val="00D14344"/>
    <w:rsid w:val="00D1445B"/>
    <w:rsid w:val="00D17B97"/>
    <w:rsid w:val="00D22DE3"/>
    <w:rsid w:val="00D26055"/>
    <w:rsid w:val="00D26538"/>
    <w:rsid w:val="00D42B66"/>
    <w:rsid w:val="00D44ECF"/>
    <w:rsid w:val="00D45F11"/>
    <w:rsid w:val="00D5047D"/>
    <w:rsid w:val="00D519AC"/>
    <w:rsid w:val="00D56960"/>
    <w:rsid w:val="00D571D9"/>
    <w:rsid w:val="00D57E8F"/>
    <w:rsid w:val="00D60197"/>
    <w:rsid w:val="00D62D11"/>
    <w:rsid w:val="00D64A95"/>
    <w:rsid w:val="00D6675C"/>
    <w:rsid w:val="00D66E85"/>
    <w:rsid w:val="00D7378C"/>
    <w:rsid w:val="00D74CBB"/>
    <w:rsid w:val="00D74CD6"/>
    <w:rsid w:val="00D75070"/>
    <w:rsid w:val="00D76F26"/>
    <w:rsid w:val="00D87C9F"/>
    <w:rsid w:val="00D94A96"/>
    <w:rsid w:val="00D950D6"/>
    <w:rsid w:val="00DA1DED"/>
    <w:rsid w:val="00DA41A7"/>
    <w:rsid w:val="00DA6167"/>
    <w:rsid w:val="00DB21B0"/>
    <w:rsid w:val="00DB42D5"/>
    <w:rsid w:val="00DB4541"/>
    <w:rsid w:val="00DB53D8"/>
    <w:rsid w:val="00DB5A21"/>
    <w:rsid w:val="00DB5E69"/>
    <w:rsid w:val="00DB5EE3"/>
    <w:rsid w:val="00DB7D7C"/>
    <w:rsid w:val="00DC54F9"/>
    <w:rsid w:val="00DC6FDD"/>
    <w:rsid w:val="00DD1C6A"/>
    <w:rsid w:val="00DE0530"/>
    <w:rsid w:val="00DE1065"/>
    <w:rsid w:val="00DE1EB7"/>
    <w:rsid w:val="00DE3D1F"/>
    <w:rsid w:val="00DE4A3C"/>
    <w:rsid w:val="00DF0D93"/>
    <w:rsid w:val="00DF11A6"/>
    <w:rsid w:val="00DF4403"/>
    <w:rsid w:val="00DF4665"/>
    <w:rsid w:val="00DF5FAC"/>
    <w:rsid w:val="00E07FF3"/>
    <w:rsid w:val="00E10006"/>
    <w:rsid w:val="00E10F7A"/>
    <w:rsid w:val="00E1171C"/>
    <w:rsid w:val="00E135B6"/>
    <w:rsid w:val="00E143BF"/>
    <w:rsid w:val="00E155E1"/>
    <w:rsid w:val="00E1662F"/>
    <w:rsid w:val="00E17C91"/>
    <w:rsid w:val="00E230E2"/>
    <w:rsid w:val="00E2487B"/>
    <w:rsid w:val="00E27FDE"/>
    <w:rsid w:val="00E3091D"/>
    <w:rsid w:val="00E334AC"/>
    <w:rsid w:val="00E35DA8"/>
    <w:rsid w:val="00E41149"/>
    <w:rsid w:val="00E41442"/>
    <w:rsid w:val="00E424B6"/>
    <w:rsid w:val="00E43FBA"/>
    <w:rsid w:val="00E46554"/>
    <w:rsid w:val="00E46CD2"/>
    <w:rsid w:val="00E47A57"/>
    <w:rsid w:val="00E53F47"/>
    <w:rsid w:val="00E54573"/>
    <w:rsid w:val="00E566F6"/>
    <w:rsid w:val="00E56A89"/>
    <w:rsid w:val="00E60646"/>
    <w:rsid w:val="00E63503"/>
    <w:rsid w:val="00E65F34"/>
    <w:rsid w:val="00E6611B"/>
    <w:rsid w:val="00E6646C"/>
    <w:rsid w:val="00E67140"/>
    <w:rsid w:val="00E7055F"/>
    <w:rsid w:val="00E747CE"/>
    <w:rsid w:val="00E74D3A"/>
    <w:rsid w:val="00E7776F"/>
    <w:rsid w:val="00E82206"/>
    <w:rsid w:val="00E8519B"/>
    <w:rsid w:val="00E85EA9"/>
    <w:rsid w:val="00E926A2"/>
    <w:rsid w:val="00E93E53"/>
    <w:rsid w:val="00E97405"/>
    <w:rsid w:val="00E97A7F"/>
    <w:rsid w:val="00EA16F6"/>
    <w:rsid w:val="00EA2544"/>
    <w:rsid w:val="00EA774B"/>
    <w:rsid w:val="00EA7CA4"/>
    <w:rsid w:val="00EB4642"/>
    <w:rsid w:val="00EB506C"/>
    <w:rsid w:val="00EB5184"/>
    <w:rsid w:val="00EB6BB2"/>
    <w:rsid w:val="00ED1220"/>
    <w:rsid w:val="00ED2CD7"/>
    <w:rsid w:val="00ED6895"/>
    <w:rsid w:val="00EE11BE"/>
    <w:rsid w:val="00EE210A"/>
    <w:rsid w:val="00EE2CEB"/>
    <w:rsid w:val="00EF0612"/>
    <w:rsid w:val="00EF4453"/>
    <w:rsid w:val="00EF4EC6"/>
    <w:rsid w:val="00EF57D1"/>
    <w:rsid w:val="00EF630C"/>
    <w:rsid w:val="00EF76B9"/>
    <w:rsid w:val="00F03830"/>
    <w:rsid w:val="00F03948"/>
    <w:rsid w:val="00F0561F"/>
    <w:rsid w:val="00F11AE0"/>
    <w:rsid w:val="00F12FCF"/>
    <w:rsid w:val="00F13C80"/>
    <w:rsid w:val="00F142D2"/>
    <w:rsid w:val="00F1643F"/>
    <w:rsid w:val="00F21C22"/>
    <w:rsid w:val="00F2261C"/>
    <w:rsid w:val="00F226A2"/>
    <w:rsid w:val="00F22848"/>
    <w:rsid w:val="00F236DD"/>
    <w:rsid w:val="00F34C81"/>
    <w:rsid w:val="00F34F06"/>
    <w:rsid w:val="00F371C5"/>
    <w:rsid w:val="00F37F20"/>
    <w:rsid w:val="00F37F47"/>
    <w:rsid w:val="00F444E5"/>
    <w:rsid w:val="00F47E74"/>
    <w:rsid w:val="00F51DAA"/>
    <w:rsid w:val="00F5341F"/>
    <w:rsid w:val="00F556E3"/>
    <w:rsid w:val="00F6199D"/>
    <w:rsid w:val="00F65D02"/>
    <w:rsid w:val="00F67535"/>
    <w:rsid w:val="00F676FF"/>
    <w:rsid w:val="00F7123E"/>
    <w:rsid w:val="00F713BC"/>
    <w:rsid w:val="00F7454E"/>
    <w:rsid w:val="00F7522F"/>
    <w:rsid w:val="00F7690D"/>
    <w:rsid w:val="00F83F4F"/>
    <w:rsid w:val="00F84EE7"/>
    <w:rsid w:val="00F852FC"/>
    <w:rsid w:val="00F87E52"/>
    <w:rsid w:val="00F94318"/>
    <w:rsid w:val="00F96FCF"/>
    <w:rsid w:val="00FA005B"/>
    <w:rsid w:val="00FA2E2C"/>
    <w:rsid w:val="00FA2FF3"/>
    <w:rsid w:val="00FA3D44"/>
    <w:rsid w:val="00FA45AA"/>
    <w:rsid w:val="00FA49C0"/>
    <w:rsid w:val="00FA62E0"/>
    <w:rsid w:val="00FA78F6"/>
    <w:rsid w:val="00FB077A"/>
    <w:rsid w:val="00FB3001"/>
    <w:rsid w:val="00FB5ED1"/>
    <w:rsid w:val="00FC3A19"/>
    <w:rsid w:val="00FC430B"/>
    <w:rsid w:val="00FD309C"/>
    <w:rsid w:val="00FE5358"/>
    <w:rsid w:val="00FE66C2"/>
    <w:rsid w:val="01587B6E"/>
    <w:rsid w:val="02543299"/>
    <w:rsid w:val="029E75D2"/>
    <w:rsid w:val="03D6B7CC"/>
    <w:rsid w:val="04ACDFBB"/>
    <w:rsid w:val="0535F6C5"/>
    <w:rsid w:val="05B01A5C"/>
    <w:rsid w:val="05D85509"/>
    <w:rsid w:val="0603D95F"/>
    <w:rsid w:val="06876EEF"/>
    <w:rsid w:val="07B89C9B"/>
    <w:rsid w:val="0878D0A3"/>
    <w:rsid w:val="0898A756"/>
    <w:rsid w:val="08BCFE90"/>
    <w:rsid w:val="09236940"/>
    <w:rsid w:val="0968DFFE"/>
    <w:rsid w:val="0A13C13B"/>
    <w:rsid w:val="0A19BDEE"/>
    <w:rsid w:val="0B3875A5"/>
    <w:rsid w:val="0B822120"/>
    <w:rsid w:val="0C1BDE9D"/>
    <w:rsid w:val="0C8D7393"/>
    <w:rsid w:val="0D2400E4"/>
    <w:rsid w:val="0DD8345F"/>
    <w:rsid w:val="0EE6E601"/>
    <w:rsid w:val="0EF1B29C"/>
    <w:rsid w:val="0F1D2E15"/>
    <w:rsid w:val="0F9AA454"/>
    <w:rsid w:val="0FB8E15B"/>
    <w:rsid w:val="0FF2D9DA"/>
    <w:rsid w:val="1053FB75"/>
    <w:rsid w:val="105EF75B"/>
    <w:rsid w:val="10775621"/>
    <w:rsid w:val="10D3CEF8"/>
    <w:rsid w:val="117EA938"/>
    <w:rsid w:val="118E3EB4"/>
    <w:rsid w:val="11E312A7"/>
    <w:rsid w:val="12232BD9"/>
    <w:rsid w:val="1288D0D9"/>
    <w:rsid w:val="12966E0D"/>
    <w:rsid w:val="129B142E"/>
    <w:rsid w:val="12C53EFA"/>
    <w:rsid w:val="13E11FFA"/>
    <w:rsid w:val="13F36991"/>
    <w:rsid w:val="14D2338D"/>
    <w:rsid w:val="14FCD959"/>
    <w:rsid w:val="15BD7AB0"/>
    <w:rsid w:val="160B897B"/>
    <w:rsid w:val="161EB28D"/>
    <w:rsid w:val="16BCA952"/>
    <w:rsid w:val="16CB9FFC"/>
    <w:rsid w:val="1771D44E"/>
    <w:rsid w:val="17795245"/>
    <w:rsid w:val="185230FA"/>
    <w:rsid w:val="18559E5D"/>
    <w:rsid w:val="18693163"/>
    <w:rsid w:val="19038359"/>
    <w:rsid w:val="19376BAE"/>
    <w:rsid w:val="1AC31B0E"/>
    <w:rsid w:val="1AF0D8BF"/>
    <w:rsid w:val="1BF8A87C"/>
    <w:rsid w:val="1C402DCC"/>
    <w:rsid w:val="1F8DD617"/>
    <w:rsid w:val="20167C66"/>
    <w:rsid w:val="207B1CAC"/>
    <w:rsid w:val="21403FCC"/>
    <w:rsid w:val="22233BF8"/>
    <w:rsid w:val="2245C418"/>
    <w:rsid w:val="2320EA79"/>
    <w:rsid w:val="2321BD1B"/>
    <w:rsid w:val="23483826"/>
    <w:rsid w:val="23509A81"/>
    <w:rsid w:val="23DC304B"/>
    <w:rsid w:val="23EF2BF9"/>
    <w:rsid w:val="244008FE"/>
    <w:rsid w:val="249032D1"/>
    <w:rsid w:val="250AF7D4"/>
    <w:rsid w:val="25AC1F39"/>
    <w:rsid w:val="25FA6808"/>
    <w:rsid w:val="26479324"/>
    <w:rsid w:val="26887FF6"/>
    <w:rsid w:val="26CBFAB1"/>
    <w:rsid w:val="28185C16"/>
    <w:rsid w:val="2946AC90"/>
    <w:rsid w:val="297AA8B0"/>
    <w:rsid w:val="29F3CC42"/>
    <w:rsid w:val="2A1CF29E"/>
    <w:rsid w:val="2AA501C9"/>
    <w:rsid w:val="2AB3BD02"/>
    <w:rsid w:val="2B43944E"/>
    <w:rsid w:val="2BD2AECB"/>
    <w:rsid w:val="2D324376"/>
    <w:rsid w:val="2E53E0D5"/>
    <w:rsid w:val="2E802AD5"/>
    <w:rsid w:val="2ECB44F2"/>
    <w:rsid w:val="2EF500B2"/>
    <w:rsid w:val="3078A066"/>
    <w:rsid w:val="30A0443F"/>
    <w:rsid w:val="30B02E4E"/>
    <w:rsid w:val="30BB17FE"/>
    <w:rsid w:val="30C08891"/>
    <w:rsid w:val="32EA8E5A"/>
    <w:rsid w:val="34436F1F"/>
    <w:rsid w:val="34A8CDB0"/>
    <w:rsid w:val="34BC07F0"/>
    <w:rsid w:val="35C070C2"/>
    <w:rsid w:val="35D8F894"/>
    <w:rsid w:val="361C96AF"/>
    <w:rsid w:val="365CB9EF"/>
    <w:rsid w:val="36A1B12A"/>
    <w:rsid w:val="3800F55E"/>
    <w:rsid w:val="385C66B9"/>
    <w:rsid w:val="388C402A"/>
    <w:rsid w:val="38F498AF"/>
    <w:rsid w:val="393E88EE"/>
    <w:rsid w:val="3977F4CC"/>
    <w:rsid w:val="39EA2B94"/>
    <w:rsid w:val="3A03F67B"/>
    <w:rsid w:val="3A05F921"/>
    <w:rsid w:val="3A20887B"/>
    <w:rsid w:val="3A5C9E0F"/>
    <w:rsid w:val="3A5EA0BC"/>
    <w:rsid w:val="3B6A35B0"/>
    <w:rsid w:val="3C299447"/>
    <w:rsid w:val="3CD8F5DD"/>
    <w:rsid w:val="3D109676"/>
    <w:rsid w:val="3DC4F800"/>
    <w:rsid w:val="3E0F51D8"/>
    <w:rsid w:val="3E2DF2F4"/>
    <w:rsid w:val="3F17AD24"/>
    <w:rsid w:val="3F62A7CC"/>
    <w:rsid w:val="406A4BAA"/>
    <w:rsid w:val="41716CF3"/>
    <w:rsid w:val="41900584"/>
    <w:rsid w:val="43136175"/>
    <w:rsid w:val="44652502"/>
    <w:rsid w:val="44CAEB9F"/>
    <w:rsid w:val="44D3E325"/>
    <w:rsid w:val="44DBFCDB"/>
    <w:rsid w:val="45B40AC3"/>
    <w:rsid w:val="4691822E"/>
    <w:rsid w:val="4774009B"/>
    <w:rsid w:val="48ACE2E5"/>
    <w:rsid w:val="495B8720"/>
    <w:rsid w:val="4A71E46E"/>
    <w:rsid w:val="4A862FC4"/>
    <w:rsid w:val="4B0C8D21"/>
    <w:rsid w:val="4B3CD8AB"/>
    <w:rsid w:val="4B9559CD"/>
    <w:rsid w:val="4BDAEAF1"/>
    <w:rsid w:val="4BF28FD3"/>
    <w:rsid w:val="4CB7207B"/>
    <w:rsid w:val="4ECB23FD"/>
    <w:rsid w:val="4F2C35F2"/>
    <w:rsid w:val="4F5D30ED"/>
    <w:rsid w:val="4FB6DE06"/>
    <w:rsid w:val="4FF51416"/>
    <w:rsid w:val="501B07A4"/>
    <w:rsid w:val="5062AB4E"/>
    <w:rsid w:val="5069B394"/>
    <w:rsid w:val="5072FFBE"/>
    <w:rsid w:val="5075EE5B"/>
    <w:rsid w:val="50F32B1C"/>
    <w:rsid w:val="51A98853"/>
    <w:rsid w:val="526F50A5"/>
    <w:rsid w:val="52F1F749"/>
    <w:rsid w:val="53935645"/>
    <w:rsid w:val="546AD439"/>
    <w:rsid w:val="54F5F79A"/>
    <w:rsid w:val="5556550B"/>
    <w:rsid w:val="556BAA12"/>
    <w:rsid w:val="55C6ED96"/>
    <w:rsid w:val="573DC023"/>
    <w:rsid w:val="5800FAEF"/>
    <w:rsid w:val="58170006"/>
    <w:rsid w:val="589D6DC3"/>
    <w:rsid w:val="58C20969"/>
    <w:rsid w:val="59CAF20D"/>
    <w:rsid w:val="59E745F6"/>
    <w:rsid w:val="5A8BFEDB"/>
    <w:rsid w:val="5ABDC963"/>
    <w:rsid w:val="5B149486"/>
    <w:rsid w:val="5C929ACB"/>
    <w:rsid w:val="5CC04C56"/>
    <w:rsid w:val="5D3429D2"/>
    <w:rsid w:val="5D59ED48"/>
    <w:rsid w:val="5D59FF17"/>
    <w:rsid w:val="5D73C8A7"/>
    <w:rsid w:val="5D77A5E2"/>
    <w:rsid w:val="5D9A2AAA"/>
    <w:rsid w:val="5E4DE333"/>
    <w:rsid w:val="5F9A06A7"/>
    <w:rsid w:val="605BD74A"/>
    <w:rsid w:val="606C3C00"/>
    <w:rsid w:val="6071A91A"/>
    <w:rsid w:val="60E13162"/>
    <w:rsid w:val="6214E3A3"/>
    <w:rsid w:val="621C5986"/>
    <w:rsid w:val="63969BD2"/>
    <w:rsid w:val="64335967"/>
    <w:rsid w:val="6458C337"/>
    <w:rsid w:val="64E111EE"/>
    <w:rsid w:val="6531373C"/>
    <w:rsid w:val="66943487"/>
    <w:rsid w:val="67109EE4"/>
    <w:rsid w:val="68273BDE"/>
    <w:rsid w:val="685CFE88"/>
    <w:rsid w:val="689E2EB5"/>
    <w:rsid w:val="691E08B2"/>
    <w:rsid w:val="695FE2DB"/>
    <w:rsid w:val="6A1E2B12"/>
    <w:rsid w:val="6AA37F05"/>
    <w:rsid w:val="6B1A9AD0"/>
    <w:rsid w:val="6C74EDDD"/>
    <w:rsid w:val="6C750943"/>
    <w:rsid w:val="6CAFB170"/>
    <w:rsid w:val="6D9CB807"/>
    <w:rsid w:val="6E540C99"/>
    <w:rsid w:val="6EDE850D"/>
    <w:rsid w:val="6FD69A03"/>
    <w:rsid w:val="7105017D"/>
    <w:rsid w:val="71A62A5A"/>
    <w:rsid w:val="72A7E0C0"/>
    <w:rsid w:val="74435D25"/>
    <w:rsid w:val="74916BAF"/>
    <w:rsid w:val="74B6200A"/>
    <w:rsid w:val="75172329"/>
    <w:rsid w:val="756CBB1E"/>
    <w:rsid w:val="77380442"/>
    <w:rsid w:val="77896FCD"/>
    <w:rsid w:val="788B7758"/>
    <w:rsid w:val="79523868"/>
    <w:rsid w:val="7981E99A"/>
    <w:rsid w:val="79CB34C8"/>
    <w:rsid w:val="79CFEFCC"/>
    <w:rsid w:val="79D0713F"/>
    <w:rsid w:val="7A30D0E1"/>
    <w:rsid w:val="7A7F3C84"/>
    <w:rsid w:val="7AB78CEC"/>
    <w:rsid w:val="7AC98A2B"/>
    <w:rsid w:val="7BAF91CF"/>
    <w:rsid w:val="7BB0EF7C"/>
    <w:rsid w:val="7BB8459C"/>
    <w:rsid w:val="7C1DC9C7"/>
    <w:rsid w:val="7C8611B9"/>
    <w:rsid w:val="7FDCD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E5AF3A"/>
  <w15:chartTrackingRefBased/>
  <w15:docId w15:val="{4C7182F3-B97C-4322-BA9D-684948CC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2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B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B4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42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2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5682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link w:val="ListParagraph"/>
    <w:uiPriority w:val="1"/>
    <w:qFormat/>
    <w:rsid w:val="006562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71719E6-2CE4-40A0-98BA-627404EEAE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25224B0FAAF0D4E840E9717FBF546CB" ma:contentTypeVersion="" ma:contentTypeDescription="PDMS Document Site Content Type" ma:contentTypeScope="" ma:versionID="8c4f5767712b1bbc8178f70dab32095a">
  <xsd:schema xmlns:xsd="http://www.w3.org/2001/XMLSchema" xmlns:xs="http://www.w3.org/2001/XMLSchema" xmlns:p="http://schemas.microsoft.com/office/2006/metadata/properties" xmlns:ns2="371719E6-2CE4-40A0-98BA-627404EEAEE8" targetNamespace="http://schemas.microsoft.com/office/2006/metadata/properties" ma:root="true" ma:fieldsID="5e20dc13851ce47b55d355074e649941" ns2:_="">
    <xsd:import namespace="371719E6-2CE4-40A0-98BA-627404EEAEE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19E6-2CE4-40A0-98BA-627404EEAEE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20741-A263-44E3-8F38-7BBA3C2A2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DF9AB-FDEE-49CE-A5AC-1BBAAE6CC6FC}">
  <ds:schemaRefs>
    <ds:schemaRef ds:uri="http://schemas.microsoft.com/office/2006/metadata/properties"/>
    <ds:schemaRef ds:uri="http://schemas.microsoft.com/office/infopath/2007/PartnerControls"/>
    <ds:schemaRef ds:uri="371719E6-2CE4-40A0-98BA-627404EEAEE8"/>
  </ds:schemaRefs>
</ds:datastoreItem>
</file>

<file path=customXml/itemProps3.xml><?xml version="1.0" encoding="utf-8"?>
<ds:datastoreItem xmlns:ds="http://schemas.openxmlformats.org/officeDocument/2006/customXml" ds:itemID="{4FDF8685-56B7-4FAE-889B-BDD92E0EB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719E6-2CE4-40A0-98BA-627404EE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4660</Characters>
  <Application>Microsoft Office Word</Application>
  <DocSecurity>4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Fee-Free TAFE Skills Agreement</vt:lpstr>
    </vt:vector>
  </TitlesOfParts>
  <Company>Department of the Prime Minister and Cabinet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Fee-Free TAFE Skills Agreement</dc:title>
  <dc:subject/>
  <dc:creator>Le, Alan</dc:creator>
  <cp:keywords/>
  <dc:description/>
  <cp:lastModifiedBy>Pennifold, Lauren</cp:lastModifiedBy>
  <cp:revision>2</cp:revision>
  <dcterms:created xsi:type="dcterms:W3CDTF">2026-02-10T04:07:00Z</dcterms:created>
  <dcterms:modified xsi:type="dcterms:W3CDTF">2026-02-10T04:07:00Z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2025-10-22T03:39:53Z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84bad167-6e04-4fac-b8ec-88cd54cf0166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10, 0, 1, 2</vt:lpwstr>
  </property>
  <property fmtid="{D5CDD505-2E9C-101B-9397-08002B2CF9AE}" pid="10" name="ContentTypeId">
    <vt:lpwstr>0x010100266966F133664895A6EE3632470D45F500C25224B0FAAF0D4E840E9717FBF546CB</vt:lpwstr>
  </property>
  <property fmtid="{D5CDD505-2E9C-101B-9397-08002B2CF9AE}" pid="11" name="MediaServiceImageTags">
    <vt:lpwstr/>
  </property>
  <property fmtid="{D5CDD505-2E9C-101B-9397-08002B2CF9AE}" pid="12" name="eTheme">
    <vt:lpwstr>1</vt:lpwstr>
  </property>
  <property fmtid="{D5CDD505-2E9C-101B-9397-08002B2CF9AE}" pid="13" name="eTopic">
    <vt:lpwstr>30;#Federal Finances|bacab4ad-74a3-47e8-ba9b-a729110a24c1</vt:lpwstr>
  </property>
  <property fmtid="{D5CDD505-2E9C-101B-9397-08002B2CF9AE}" pid="14" name="eActivity">
    <vt:lpwstr>70</vt:lpwstr>
  </property>
  <property fmtid="{D5CDD505-2E9C-101B-9397-08002B2CF9AE}" pid="15" name="_dlc_DocIdItemGuid">
    <vt:lpwstr>334e53f2-a4aa-479e-b0b9-8d6c07291ce5</vt:lpwstr>
  </property>
  <property fmtid="{D5CDD505-2E9C-101B-9397-08002B2CF9AE}" pid="16" name="TSYStatus">
    <vt:lpwstr/>
  </property>
  <property fmtid="{D5CDD505-2E9C-101B-9397-08002B2CF9AE}" pid="17" name="SPPCode">
    <vt:lpwstr/>
  </property>
  <property fmtid="{D5CDD505-2E9C-101B-9397-08002B2CF9AE}" pid="18" name="eDocumentType">
    <vt:lpwstr>28;#Agreement (Right of use or Memorandum of understanding)|f8448f88-8343-4d6d-a573-2505a5b4876a</vt:lpwstr>
  </property>
  <property fmtid="{D5CDD505-2E9C-101B-9397-08002B2CF9AE}" pid="19" name="ClassificationContentMarkingHeaderShapeIds">
    <vt:lpwstr>46347f7,67028ac9,e45c1f7</vt:lpwstr>
  </property>
  <property fmtid="{D5CDD505-2E9C-101B-9397-08002B2CF9AE}" pid="20" name="ClassificationContentMarkingHeaderFontProps">
    <vt:lpwstr>#ff0000,12,Calibri</vt:lpwstr>
  </property>
  <property fmtid="{D5CDD505-2E9C-101B-9397-08002B2CF9AE}" pid="21" name="ClassificationContentMarkingHeaderText">
    <vt:lpwstr>OFFICIAL</vt:lpwstr>
  </property>
  <property fmtid="{D5CDD505-2E9C-101B-9397-08002B2CF9AE}" pid="22" name="ClassificationContentMarkingFooterShapeIds">
    <vt:lpwstr>4c31df0c,739c0f07,42d7394c</vt:lpwstr>
  </property>
  <property fmtid="{D5CDD505-2E9C-101B-9397-08002B2CF9AE}" pid="23" name="ClassificationContentMarkingFooterFontProps">
    <vt:lpwstr>#ff0000,12,Calibri</vt:lpwstr>
  </property>
  <property fmtid="{D5CDD505-2E9C-101B-9397-08002B2CF9AE}" pid="24" name="ClassificationContentMarkingFooterText">
    <vt:lpwstr>OFFICIAL</vt:lpwstr>
  </property>
  <property fmtid="{D5CDD505-2E9C-101B-9397-08002B2CF9AE}" pid="25" name="docLang">
    <vt:lpwstr>en</vt:lpwstr>
  </property>
  <property fmtid="{D5CDD505-2E9C-101B-9397-08002B2CF9AE}" pid="26" name="MSIP_Label_4f932d64-9ab1-4d9b-81d2-a3a8b82dd47d_Enabled">
    <vt:lpwstr>true</vt:lpwstr>
  </property>
  <property fmtid="{D5CDD505-2E9C-101B-9397-08002B2CF9AE}" pid="27" name="MSIP_Label_4f932d64-9ab1-4d9b-81d2-a3a8b82dd47d_SetDate">
    <vt:lpwstr>2026-02-10T04:06:40Z</vt:lpwstr>
  </property>
  <property fmtid="{D5CDD505-2E9C-101B-9397-08002B2CF9AE}" pid="28" name="MSIP_Label_4f932d64-9ab1-4d9b-81d2-a3a8b82dd47d_Method">
    <vt:lpwstr>Privileged</vt:lpwstr>
  </property>
  <property fmtid="{D5CDD505-2E9C-101B-9397-08002B2CF9AE}" pid="29" name="MSIP_Label_4f932d64-9ab1-4d9b-81d2-a3a8b82dd47d_Name">
    <vt:lpwstr>OFFICIAL No Visual Marking</vt:lpwstr>
  </property>
  <property fmtid="{D5CDD505-2E9C-101B-9397-08002B2CF9AE}" pid="30" name="MSIP_Label_4f932d64-9ab1-4d9b-81d2-a3a8b82dd47d_SiteId">
    <vt:lpwstr>214f1646-2021-47cc-8397-e3d3a7ba7d9d</vt:lpwstr>
  </property>
  <property fmtid="{D5CDD505-2E9C-101B-9397-08002B2CF9AE}" pid="31" name="MSIP_Label_4f932d64-9ab1-4d9b-81d2-a3a8b82dd47d_ActionId">
    <vt:lpwstr>4fd8b0f0-bd08-46e2-80e6-9c8e72b20f06</vt:lpwstr>
  </property>
  <property fmtid="{D5CDD505-2E9C-101B-9397-08002B2CF9AE}" pid="32" name="MSIP_Label_4f932d64-9ab1-4d9b-81d2-a3a8b82dd47d_ContentBits">
    <vt:lpwstr>0</vt:lpwstr>
  </property>
  <property fmtid="{D5CDD505-2E9C-101B-9397-08002B2CF9AE}" pid="33" name="MSIP_Label_4f932d64-9ab1-4d9b-81d2-a3a8b82dd47d_Tag">
    <vt:lpwstr>10, 0, 1, 1</vt:lpwstr>
  </property>
</Properties>
</file>