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2B52" w14:textId="77777777" w:rsidR="00CB262E" w:rsidRPr="001756EC" w:rsidRDefault="00CB262E"/>
    <w:p w14:paraId="7D0562AE" w14:textId="21990D7A" w:rsidR="00C91B5F" w:rsidRPr="001756EC" w:rsidRDefault="00317FB3" w:rsidP="00C91B5F">
      <w:pPr>
        <w:pStyle w:val="Heading9"/>
        <w:jc w:val="right"/>
        <w:rPr>
          <w:rStyle w:val="ParagraphnumberingChar"/>
          <w:rFonts w:eastAsiaTheme="majorEastAsia"/>
          <w:i w:val="0"/>
          <w:sz w:val="28"/>
          <w:szCs w:val="28"/>
        </w:rPr>
      </w:pPr>
      <w:r w:rsidRPr="001756EC">
        <w:rPr>
          <w:i w:val="0"/>
          <w:sz w:val="28"/>
          <w:szCs w:val="28"/>
        </w:rPr>
        <w:t>Schedule</w:t>
      </w:r>
    </w:p>
    <w:p w14:paraId="52A7986F" w14:textId="2C58ECA6" w:rsidR="00C91B5F" w:rsidRPr="001756EC" w:rsidRDefault="00D30F8C" w:rsidP="00C91B5F">
      <w:pPr>
        <w:pStyle w:val="Title"/>
      </w:pPr>
      <w:r w:rsidRPr="001756EC">
        <w:t>Lake Macquarie Mines Grouting Fund</w:t>
      </w:r>
    </w:p>
    <w:p w14:paraId="028FB178" w14:textId="372155CB" w:rsidR="00C91B5F" w:rsidRPr="001756EC" w:rsidRDefault="00D54783" w:rsidP="00C91B5F">
      <w:pPr>
        <w:pStyle w:val="Subtitle"/>
      </w:pPr>
      <w:r w:rsidRPr="001756EC">
        <w:t xml:space="preserve">FEDERATION FUNDING AGREEMENT – </w:t>
      </w:r>
      <w:r w:rsidR="00CB2ED7" w:rsidRPr="001756EC">
        <w:t>INFRASTRUCTURE</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691"/>
        <w:gridCol w:w="7938"/>
      </w:tblGrid>
      <w:tr w:rsidR="00C91B5F" w:rsidRPr="001756EC" w14:paraId="2C1B1FCA" w14:textId="77777777" w:rsidTr="005D3905">
        <w:tc>
          <w:tcPr>
            <w:tcW w:w="9629" w:type="dxa"/>
            <w:gridSpan w:val="2"/>
            <w:shd w:val="clear" w:color="auto" w:fill="DEEAF6" w:themeFill="accent1" w:themeFillTint="33"/>
          </w:tcPr>
          <w:p w14:paraId="5D980595" w14:textId="77777777" w:rsidR="00C91B5F" w:rsidRPr="001756EC" w:rsidRDefault="00C91B5F" w:rsidP="005D3905">
            <w:pPr>
              <w:pStyle w:val="Tableformat"/>
              <w:rPr>
                <w:b/>
                <w:color w:val="auto"/>
              </w:rPr>
            </w:pPr>
            <w:r w:rsidRPr="001756EC">
              <w:rPr>
                <w:b/>
                <w:color w:val="auto"/>
              </w:rPr>
              <w:t>Table 1: Formalities and operation of schedule</w:t>
            </w:r>
          </w:p>
        </w:tc>
      </w:tr>
      <w:tr w:rsidR="00C91B5F" w:rsidRPr="001756EC" w14:paraId="65A8E909" w14:textId="77777777" w:rsidTr="00317FB3">
        <w:tc>
          <w:tcPr>
            <w:tcW w:w="1691" w:type="dxa"/>
          </w:tcPr>
          <w:p w14:paraId="279F6020" w14:textId="77777777" w:rsidR="00C91B5F" w:rsidRPr="001756EC" w:rsidRDefault="00C91B5F" w:rsidP="005D3905">
            <w:pPr>
              <w:pStyle w:val="Tableformat"/>
              <w:rPr>
                <w:color w:val="auto"/>
              </w:rPr>
            </w:pPr>
            <w:r w:rsidRPr="001756EC">
              <w:rPr>
                <w:color w:val="auto"/>
              </w:rPr>
              <w:t>Parties</w:t>
            </w:r>
          </w:p>
        </w:tc>
        <w:tc>
          <w:tcPr>
            <w:tcW w:w="7938" w:type="dxa"/>
          </w:tcPr>
          <w:p w14:paraId="189B51C6" w14:textId="77777777" w:rsidR="00F762B1" w:rsidRPr="00F762B1" w:rsidRDefault="00F762B1" w:rsidP="00F762B1">
            <w:pPr>
              <w:pStyle w:val="Tableformat"/>
              <w:rPr>
                <w:color w:val="auto"/>
              </w:rPr>
            </w:pPr>
            <w:r w:rsidRPr="00F762B1">
              <w:rPr>
                <w:color w:val="auto"/>
              </w:rPr>
              <w:t>Commonwealth of Australia (</w:t>
            </w:r>
            <w:r w:rsidRPr="00F762B1">
              <w:rPr>
                <w:b/>
                <w:color w:val="auto"/>
              </w:rPr>
              <w:t>Commonwealth</w:t>
            </w:r>
            <w:r w:rsidRPr="00F762B1">
              <w:rPr>
                <w:color w:val="auto"/>
              </w:rPr>
              <w:t>)</w:t>
            </w:r>
          </w:p>
          <w:p w14:paraId="73502BB0" w14:textId="199CCDAF" w:rsidR="00C91B5F" w:rsidRPr="001756EC" w:rsidRDefault="00F762B1" w:rsidP="00F762B1">
            <w:pPr>
              <w:pStyle w:val="Tableformat"/>
              <w:rPr>
                <w:color w:val="auto"/>
              </w:rPr>
            </w:pPr>
            <w:r w:rsidRPr="00F762B1">
              <w:rPr>
                <w:color w:val="auto"/>
              </w:rPr>
              <w:t>State of New South Wales (</w:t>
            </w:r>
            <w:r w:rsidRPr="00F762B1">
              <w:rPr>
                <w:b/>
                <w:color w:val="auto"/>
              </w:rPr>
              <w:t>State</w:t>
            </w:r>
            <w:r w:rsidRPr="00F762B1">
              <w:rPr>
                <w:color w:val="auto"/>
              </w:rPr>
              <w:t>)</w:t>
            </w:r>
          </w:p>
        </w:tc>
      </w:tr>
      <w:tr w:rsidR="00C91B5F" w:rsidRPr="001756EC" w14:paraId="0789EB7E" w14:textId="77777777" w:rsidTr="00317FB3">
        <w:tc>
          <w:tcPr>
            <w:tcW w:w="1691" w:type="dxa"/>
          </w:tcPr>
          <w:p w14:paraId="1C00DFE7" w14:textId="77777777" w:rsidR="00C91B5F" w:rsidRPr="001756EC" w:rsidRDefault="00C91B5F" w:rsidP="005D3905">
            <w:pPr>
              <w:pStyle w:val="Tableformat"/>
              <w:rPr>
                <w:color w:val="auto"/>
              </w:rPr>
            </w:pPr>
            <w:r w:rsidRPr="001756EC">
              <w:rPr>
                <w:color w:val="auto"/>
              </w:rPr>
              <w:t>Duration</w:t>
            </w:r>
          </w:p>
        </w:tc>
        <w:tc>
          <w:tcPr>
            <w:tcW w:w="7938" w:type="dxa"/>
          </w:tcPr>
          <w:p w14:paraId="689A6E64" w14:textId="48FE0CCC" w:rsidR="00C91B5F" w:rsidRPr="003D2C33" w:rsidRDefault="00F762B1" w:rsidP="003D2C33">
            <w:pPr>
              <w:pStyle w:val="Tableformat"/>
              <w:rPr>
                <w:bCs/>
                <w:color w:val="auto"/>
              </w:rPr>
            </w:pPr>
            <w:r w:rsidRPr="00F762B1">
              <w:rPr>
                <w:color w:val="auto"/>
              </w:rPr>
              <w:t xml:space="preserve">This Schedule </w:t>
            </w:r>
            <w:r w:rsidR="00123B92">
              <w:rPr>
                <w:color w:val="auto"/>
              </w:rPr>
              <w:t>is expected to</w:t>
            </w:r>
            <w:r w:rsidRPr="00F762B1">
              <w:rPr>
                <w:color w:val="auto"/>
              </w:rPr>
              <w:t xml:space="preserve"> expire</w:t>
            </w:r>
            <w:r w:rsidR="00A30A89">
              <w:rPr>
                <w:color w:val="auto"/>
              </w:rPr>
              <w:t xml:space="preserve"> </w:t>
            </w:r>
            <w:r w:rsidR="00123B92">
              <w:rPr>
                <w:color w:val="auto"/>
              </w:rPr>
              <w:t>by</w:t>
            </w:r>
            <w:r w:rsidR="00A30A89">
              <w:rPr>
                <w:color w:val="auto"/>
              </w:rPr>
              <w:t xml:space="preserve"> 3</w:t>
            </w:r>
            <w:r w:rsidR="006B5CAA">
              <w:rPr>
                <w:color w:val="auto"/>
              </w:rPr>
              <w:t>1 August</w:t>
            </w:r>
            <w:r w:rsidR="00A30A89">
              <w:rPr>
                <w:color w:val="auto"/>
              </w:rPr>
              <w:t xml:space="preserve"> 2036</w:t>
            </w:r>
            <w:r w:rsidRPr="00F762B1">
              <w:rPr>
                <w:color w:val="auto"/>
              </w:rPr>
              <w:t xml:space="preserve"> or</w:t>
            </w:r>
            <w:r w:rsidR="00235ABD">
              <w:rPr>
                <w:color w:val="auto"/>
              </w:rPr>
              <w:t xml:space="preserve"> by agreement of the Parties, as outlined in the ‘Additional terms’ below.</w:t>
            </w:r>
          </w:p>
        </w:tc>
      </w:tr>
      <w:tr w:rsidR="00C91B5F" w:rsidRPr="001756EC" w14:paraId="516BC532" w14:textId="77777777" w:rsidTr="00317FB3">
        <w:tc>
          <w:tcPr>
            <w:tcW w:w="1691" w:type="dxa"/>
          </w:tcPr>
          <w:p w14:paraId="511BE93C" w14:textId="77777777" w:rsidR="00C91B5F" w:rsidRPr="001756EC" w:rsidRDefault="00C91B5F" w:rsidP="005D3905">
            <w:pPr>
              <w:pStyle w:val="Tableformat"/>
              <w:rPr>
                <w:color w:val="auto"/>
              </w:rPr>
            </w:pPr>
            <w:bookmarkStart w:id="0" w:name="_Hlk216075970"/>
            <w:r w:rsidRPr="001756EC">
              <w:rPr>
                <w:color w:val="auto"/>
              </w:rPr>
              <w:t>Purpose</w:t>
            </w:r>
          </w:p>
        </w:tc>
        <w:tc>
          <w:tcPr>
            <w:tcW w:w="7938" w:type="dxa"/>
          </w:tcPr>
          <w:p w14:paraId="36CF7FEF" w14:textId="3C0DFB8E" w:rsidR="00C91B5F" w:rsidRPr="001756EC" w:rsidRDefault="00F762B1" w:rsidP="005D3905">
            <w:pPr>
              <w:pStyle w:val="Tableformat"/>
              <w:rPr>
                <w:color w:val="auto"/>
              </w:rPr>
            </w:pPr>
            <w:r w:rsidRPr="00F762B1">
              <w:rPr>
                <w:color w:val="auto"/>
              </w:rPr>
              <w:t>This Schedule will support the delivery of the Lake Macquarie Mines Grouting Fund (</w:t>
            </w:r>
            <w:r w:rsidRPr="00F762B1">
              <w:rPr>
                <w:b/>
                <w:color w:val="auto"/>
              </w:rPr>
              <w:t>Fund</w:t>
            </w:r>
            <w:r w:rsidRPr="00F762B1">
              <w:rPr>
                <w:color w:val="auto"/>
              </w:rPr>
              <w:t>), to be operated in alignment with the operating principles outlined in the ‘Additional terms’ below. The purpose of the Fund is to strengthen developer confidence and support informed investment decisions in the Lake Macquarie Local Government Area (</w:t>
            </w:r>
            <w:r w:rsidRPr="00F762B1">
              <w:rPr>
                <w:b/>
                <w:color w:val="auto"/>
              </w:rPr>
              <w:t>LGA</w:t>
            </w:r>
            <w:r w:rsidRPr="00F762B1">
              <w:rPr>
                <w:color w:val="auto"/>
              </w:rPr>
              <w:t>) by providing a contingency fund that developers can apply to for contributions to the cost of grouting historic mines</w:t>
            </w:r>
            <w:r w:rsidR="002F7B4F">
              <w:rPr>
                <w:color w:val="auto"/>
              </w:rPr>
              <w:t>,</w:t>
            </w:r>
            <w:r w:rsidRPr="00F762B1">
              <w:rPr>
                <w:color w:val="auto"/>
              </w:rPr>
              <w:t xml:space="preserve"> in circumstances where the costs exceed agreed caps. The agreed caps are set by the Fund.</w:t>
            </w:r>
          </w:p>
        </w:tc>
      </w:tr>
      <w:bookmarkEnd w:id="0"/>
      <w:tr w:rsidR="00C91B5F" w:rsidRPr="001756EC" w14:paraId="2C63A902" w14:textId="77777777" w:rsidTr="003C05AD">
        <w:trPr>
          <w:trHeight w:val="4452"/>
        </w:trPr>
        <w:tc>
          <w:tcPr>
            <w:tcW w:w="1691" w:type="dxa"/>
          </w:tcPr>
          <w:p w14:paraId="2E78F30B" w14:textId="77777777" w:rsidR="00C91B5F" w:rsidRPr="001756EC" w:rsidRDefault="00C91B5F" w:rsidP="005D3905">
            <w:pPr>
              <w:pStyle w:val="Tableformat"/>
              <w:rPr>
                <w:color w:val="auto"/>
              </w:rPr>
            </w:pPr>
            <w:r w:rsidRPr="001756EC">
              <w:rPr>
                <w:color w:val="auto"/>
              </w:rPr>
              <w:t>Estimated financial contributions</w:t>
            </w:r>
          </w:p>
        </w:tc>
        <w:tc>
          <w:tcPr>
            <w:tcW w:w="7938" w:type="dxa"/>
          </w:tcPr>
          <w:p w14:paraId="7110CBB4" w14:textId="638CC25E" w:rsidR="00062CA7" w:rsidRPr="001756EC" w:rsidRDefault="0064121C" w:rsidP="005D3905">
            <w:pPr>
              <w:pStyle w:val="Tableformat"/>
              <w:rPr>
                <w:color w:val="auto"/>
              </w:rPr>
            </w:pPr>
            <w:r w:rsidRPr="001756EC">
              <w:rPr>
                <w:noProof/>
                <w:color w:val="auto"/>
              </w:rPr>
              <mc:AlternateContent>
                <mc:Choice Requires="wps">
                  <w:drawing>
                    <wp:anchor distT="45720" distB="45720" distL="114300" distR="114300" simplePos="0" relativeHeight="251659264" behindDoc="0" locked="0" layoutInCell="1" allowOverlap="1" wp14:anchorId="48EB322D" wp14:editId="68EEE74D">
                      <wp:simplePos x="0" y="0"/>
                      <wp:positionH relativeFrom="column">
                        <wp:posOffset>-52705</wp:posOffset>
                      </wp:positionH>
                      <wp:positionV relativeFrom="paragraph">
                        <wp:posOffset>772795</wp:posOffset>
                      </wp:positionV>
                      <wp:extent cx="4895850" cy="2352675"/>
                      <wp:effectExtent l="0" t="0" r="0" b="9525"/>
                      <wp:wrapSquare wrapText="bothSides"/>
                      <wp:docPr id="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352675"/>
                              </a:xfrm>
                              <a:prstGeom prst="rect">
                                <a:avLst/>
                              </a:prstGeom>
                              <a:solidFill>
                                <a:srgbClr val="FFFFFF"/>
                              </a:solidFill>
                              <a:ln w="9525">
                                <a:noFill/>
                                <a:miter lim="800000"/>
                                <a:headEnd/>
                                <a:tailEnd/>
                              </a:ln>
                            </wps:spPr>
                            <wps:txbx>
                              <w:txbxContent>
                                <w:tbl>
                                  <w:tblPr>
                                    <w:tblW w:w="0" w:type="auto"/>
                                    <w:tblLook w:val="01E0" w:firstRow="1" w:lastRow="1" w:firstColumn="1" w:lastColumn="1" w:noHBand="0" w:noVBand="0"/>
                                  </w:tblPr>
                                  <w:tblGrid>
                                    <w:gridCol w:w="3450"/>
                                    <w:gridCol w:w="1544"/>
                                    <w:gridCol w:w="1542"/>
                                  </w:tblGrid>
                                  <w:tr w:rsidR="008258E3" w:rsidRPr="00101AB3" w14:paraId="533FE7BA" w14:textId="77777777" w:rsidTr="008258E3">
                                    <w:trPr>
                                      <w:cantSplit/>
                                      <w:trHeight w:val="917"/>
                                    </w:trPr>
                                    <w:tc>
                                      <w:tcPr>
                                        <w:tcW w:w="3450" w:type="dxa"/>
                                        <w:tcBorders>
                                          <w:top w:val="single" w:sz="4" w:space="0" w:color="000080"/>
                                          <w:bottom w:val="single" w:sz="4" w:space="0" w:color="000080"/>
                                        </w:tcBorders>
                                      </w:tcPr>
                                      <w:p w14:paraId="09C865BD" w14:textId="4FDE1C9C" w:rsidR="008258E3" w:rsidRDefault="008258E3" w:rsidP="007E44E6">
                                        <w:pPr>
                                          <w:keepNext/>
                                          <w:keepLines/>
                                          <w:spacing w:before="40" w:after="40"/>
                                          <w:ind w:left="-111"/>
                                          <w:rPr>
                                            <w:b/>
                                            <w:sz w:val="21"/>
                                            <w:szCs w:val="21"/>
                                          </w:rPr>
                                        </w:pPr>
                                        <w:bookmarkStart w:id="1" w:name="_Hlk216075894"/>
                                        <w:r>
                                          <w:rPr>
                                            <w:b/>
                                            <w:sz w:val="21"/>
                                            <w:szCs w:val="21"/>
                                          </w:rPr>
                                          <w:t>Table 1</w:t>
                                        </w:r>
                                      </w:p>
                                      <w:p w14:paraId="6430D4A7" w14:textId="64CC398B" w:rsidR="008258E3" w:rsidRPr="005D39DD" w:rsidRDefault="008258E3" w:rsidP="007E44E6">
                                        <w:pPr>
                                          <w:keepNext/>
                                          <w:keepLines/>
                                          <w:spacing w:before="40" w:after="40"/>
                                          <w:ind w:left="-111"/>
                                          <w:rPr>
                                            <w:b/>
                                            <w:sz w:val="21"/>
                                            <w:szCs w:val="21"/>
                                          </w:rPr>
                                        </w:pPr>
                                        <w:r w:rsidRPr="005D39DD">
                                          <w:rPr>
                                            <w:b/>
                                            <w:sz w:val="21"/>
                                            <w:szCs w:val="21"/>
                                          </w:rPr>
                                          <w:t>($ million)</w:t>
                                        </w:r>
                                      </w:p>
                                    </w:tc>
                                    <w:tc>
                                      <w:tcPr>
                                        <w:tcW w:w="1544" w:type="dxa"/>
                                        <w:tcBorders>
                                          <w:top w:val="single" w:sz="4" w:space="0" w:color="000080"/>
                                          <w:bottom w:val="single" w:sz="4" w:space="0" w:color="000080"/>
                                        </w:tcBorders>
                                      </w:tcPr>
                                      <w:p w14:paraId="6B65C7BA" w14:textId="77777777" w:rsidR="008258E3" w:rsidRDefault="008258E3" w:rsidP="007E44E6">
                                        <w:pPr>
                                          <w:keepNext/>
                                          <w:keepLines/>
                                          <w:spacing w:before="40" w:after="40"/>
                                          <w:jc w:val="right"/>
                                          <w:rPr>
                                            <w:b/>
                                            <w:sz w:val="21"/>
                                            <w:szCs w:val="21"/>
                                          </w:rPr>
                                        </w:pPr>
                                      </w:p>
                                      <w:p w14:paraId="405AF358" w14:textId="3FCE4F32" w:rsidR="008258E3" w:rsidRPr="005D39DD" w:rsidRDefault="008258E3" w:rsidP="007E44E6">
                                        <w:pPr>
                                          <w:keepNext/>
                                          <w:keepLines/>
                                          <w:spacing w:before="40" w:after="40"/>
                                          <w:jc w:val="right"/>
                                          <w:rPr>
                                            <w:b/>
                                            <w:sz w:val="21"/>
                                            <w:szCs w:val="21"/>
                                          </w:rPr>
                                        </w:pPr>
                                        <w:r>
                                          <w:rPr>
                                            <w:b/>
                                            <w:sz w:val="21"/>
                                            <w:szCs w:val="21"/>
                                          </w:rPr>
                                          <w:t>2025-26</w:t>
                                        </w:r>
                                      </w:p>
                                    </w:tc>
                                    <w:tc>
                                      <w:tcPr>
                                        <w:tcW w:w="1542" w:type="dxa"/>
                                        <w:tcBorders>
                                          <w:top w:val="single" w:sz="4" w:space="0" w:color="000080"/>
                                          <w:bottom w:val="single" w:sz="4" w:space="0" w:color="000080"/>
                                        </w:tcBorders>
                                      </w:tcPr>
                                      <w:p w14:paraId="1E1B4A7A" w14:textId="77777777" w:rsidR="008258E3" w:rsidRDefault="008258E3" w:rsidP="007E44E6">
                                        <w:pPr>
                                          <w:keepNext/>
                                          <w:keepLines/>
                                          <w:spacing w:before="40" w:after="40"/>
                                          <w:jc w:val="right"/>
                                          <w:rPr>
                                            <w:b/>
                                            <w:sz w:val="21"/>
                                            <w:szCs w:val="21"/>
                                          </w:rPr>
                                        </w:pPr>
                                      </w:p>
                                      <w:p w14:paraId="710B22B8" w14:textId="13BB93A1" w:rsidR="008258E3" w:rsidRPr="005D39DD" w:rsidRDefault="008258E3" w:rsidP="007E44E6">
                                        <w:pPr>
                                          <w:keepNext/>
                                          <w:keepLines/>
                                          <w:spacing w:before="40" w:after="40"/>
                                          <w:jc w:val="right"/>
                                          <w:rPr>
                                            <w:b/>
                                            <w:sz w:val="21"/>
                                            <w:szCs w:val="21"/>
                                          </w:rPr>
                                        </w:pPr>
                                        <w:r w:rsidRPr="005D39DD">
                                          <w:rPr>
                                            <w:b/>
                                            <w:sz w:val="21"/>
                                            <w:szCs w:val="21"/>
                                          </w:rPr>
                                          <w:t>Total</w:t>
                                        </w:r>
                                      </w:p>
                                    </w:tc>
                                  </w:tr>
                                  <w:tr w:rsidR="008258E3" w:rsidRPr="00101AB3" w14:paraId="54AEFD11" w14:textId="77777777" w:rsidTr="008258E3">
                                    <w:trPr>
                                      <w:cantSplit/>
                                      <w:trHeight w:val="653"/>
                                    </w:trPr>
                                    <w:tc>
                                      <w:tcPr>
                                        <w:tcW w:w="3450" w:type="dxa"/>
                                        <w:tcBorders>
                                          <w:top w:val="single" w:sz="4" w:space="0" w:color="000080"/>
                                        </w:tcBorders>
                                      </w:tcPr>
                                      <w:p w14:paraId="55A9A036" w14:textId="77777777" w:rsidR="008258E3" w:rsidRPr="005D39DD" w:rsidRDefault="008258E3" w:rsidP="007E44E6">
                                        <w:pPr>
                                          <w:keepNext/>
                                          <w:keepLines/>
                                          <w:spacing w:before="60" w:after="60"/>
                                          <w:ind w:left="-111"/>
                                          <w:rPr>
                                            <w:b/>
                                            <w:sz w:val="21"/>
                                            <w:szCs w:val="21"/>
                                          </w:rPr>
                                        </w:pPr>
                                        <w:r w:rsidRPr="005D39DD">
                                          <w:rPr>
                                            <w:b/>
                                            <w:sz w:val="21"/>
                                            <w:szCs w:val="21"/>
                                          </w:rPr>
                                          <w:t>Estimated total budget</w:t>
                                        </w:r>
                                      </w:p>
                                    </w:tc>
                                    <w:tc>
                                      <w:tcPr>
                                        <w:tcW w:w="1544" w:type="dxa"/>
                                        <w:tcBorders>
                                          <w:top w:val="single" w:sz="4" w:space="0" w:color="000080"/>
                                        </w:tcBorders>
                                      </w:tcPr>
                                      <w:p w14:paraId="6774290E" w14:textId="71A01261" w:rsidR="008258E3" w:rsidRPr="005D39DD" w:rsidRDefault="008258E3" w:rsidP="007E44E6">
                                        <w:pPr>
                                          <w:keepNext/>
                                          <w:keepLines/>
                                          <w:spacing w:before="40" w:after="40"/>
                                          <w:jc w:val="right"/>
                                          <w:rPr>
                                            <w:b/>
                                            <w:sz w:val="21"/>
                                            <w:szCs w:val="21"/>
                                          </w:rPr>
                                        </w:pPr>
                                        <w:r>
                                          <w:rPr>
                                            <w:b/>
                                            <w:sz w:val="21"/>
                                            <w:szCs w:val="21"/>
                                          </w:rPr>
                                          <w:t>9.861</w:t>
                                        </w:r>
                                      </w:p>
                                    </w:tc>
                                    <w:tc>
                                      <w:tcPr>
                                        <w:tcW w:w="1542" w:type="dxa"/>
                                        <w:tcBorders>
                                          <w:top w:val="single" w:sz="4" w:space="0" w:color="000080"/>
                                        </w:tcBorders>
                                      </w:tcPr>
                                      <w:p w14:paraId="08FC5E01" w14:textId="24EDFB2A" w:rsidR="008258E3" w:rsidRPr="005D39DD" w:rsidRDefault="008258E3" w:rsidP="007E44E6">
                                        <w:pPr>
                                          <w:keepNext/>
                                          <w:keepLines/>
                                          <w:spacing w:before="40" w:after="40"/>
                                          <w:jc w:val="right"/>
                                          <w:rPr>
                                            <w:b/>
                                            <w:sz w:val="21"/>
                                            <w:szCs w:val="21"/>
                                          </w:rPr>
                                        </w:pPr>
                                        <w:r>
                                          <w:rPr>
                                            <w:b/>
                                            <w:sz w:val="21"/>
                                            <w:szCs w:val="21"/>
                                          </w:rPr>
                                          <w:t>9.861</w:t>
                                        </w:r>
                                      </w:p>
                                    </w:tc>
                                  </w:tr>
                                  <w:tr w:rsidR="008258E3" w:rsidRPr="00101AB3" w14:paraId="4D48DC1E" w14:textId="77777777" w:rsidTr="008258E3">
                                    <w:trPr>
                                      <w:cantSplit/>
                                      <w:trHeight w:val="917"/>
                                    </w:trPr>
                                    <w:tc>
                                      <w:tcPr>
                                        <w:tcW w:w="3450" w:type="dxa"/>
                                      </w:tcPr>
                                      <w:p w14:paraId="582F5190" w14:textId="77777777" w:rsidR="008258E3" w:rsidRPr="0064121C" w:rsidRDefault="008258E3" w:rsidP="007E44E6">
                                        <w:pPr>
                                          <w:keepNext/>
                                          <w:keepLines/>
                                          <w:spacing w:before="60" w:after="60"/>
                                          <w:ind w:left="-111"/>
                                          <w:rPr>
                                            <w:i/>
                                            <w:iCs/>
                                            <w:sz w:val="21"/>
                                            <w:szCs w:val="21"/>
                                          </w:rPr>
                                        </w:pPr>
                                        <w:r w:rsidRPr="0064121C">
                                          <w:rPr>
                                            <w:i/>
                                            <w:iCs/>
                                            <w:sz w:val="21"/>
                                            <w:szCs w:val="21"/>
                                          </w:rPr>
                                          <w:t xml:space="preserve">Less estimated National Partnership Payments </w:t>
                                        </w:r>
                                      </w:p>
                                    </w:tc>
                                    <w:tc>
                                      <w:tcPr>
                                        <w:tcW w:w="1544" w:type="dxa"/>
                                      </w:tcPr>
                                      <w:p w14:paraId="2A58D9BB" w14:textId="3E5018E5" w:rsidR="008258E3" w:rsidRPr="005D39DD" w:rsidRDefault="008258E3" w:rsidP="007E44E6">
                                        <w:pPr>
                                          <w:keepNext/>
                                          <w:keepLines/>
                                          <w:spacing w:before="40" w:after="40"/>
                                          <w:jc w:val="right"/>
                                          <w:rPr>
                                            <w:sz w:val="21"/>
                                            <w:szCs w:val="21"/>
                                          </w:rPr>
                                        </w:pPr>
                                        <w:r>
                                          <w:rPr>
                                            <w:sz w:val="21"/>
                                            <w:szCs w:val="21"/>
                                          </w:rPr>
                                          <w:t>9.861</w:t>
                                        </w:r>
                                      </w:p>
                                    </w:tc>
                                    <w:tc>
                                      <w:tcPr>
                                        <w:tcW w:w="1542" w:type="dxa"/>
                                      </w:tcPr>
                                      <w:p w14:paraId="4E7A84E3" w14:textId="58C951B3" w:rsidR="008258E3" w:rsidRPr="005D39DD" w:rsidRDefault="008258E3" w:rsidP="007E44E6">
                                        <w:pPr>
                                          <w:keepNext/>
                                          <w:keepLines/>
                                          <w:spacing w:before="40" w:after="40"/>
                                          <w:jc w:val="right"/>
                                          <w:rPr>
                                            <w:sz w:val="21"/>
                                            <w:szCs w:val="21"/>
                                          </w:rPr>
                                        </w:pPr>
                                        <w:r>
                                          <w:rPr>
                                            <w:sz w:val="21"/>
                                            <w:szCs w:val="21"/>
                                          </w:rPr>
                                          <w:t>9.861</w:t>
                                        </w:r>
                                      </w:p>
                                    </w:tc>
                                  </w:tr>
                                  <w:tr w:rsidR="008258E3" w:rsidRPr="00101AB3" w14:paraId="406CC52C" w14:textId="77777777" w:rsidTr="008258E3">
                                    <w:trPr>
                                      <w:cantSplit/>
                                      <w:trHeight w:val="870"/>
                                    </w:trPr>
                                    <w:tc>
                                      <w:tcPr>
                                        <w:tcW w:w="3450" w:type="dxa"/>
                                        <w:tcBorders>
                                          <w:bottom w:val="single" w:sz="4" w:space="0" w:color="000080"/>
                                        </w:tcBorders>
                                      </w:tcPr>
                                      <w:p w14:paraId="7DF3D17D" w14:textId="77777777" w:rsidR="008258E3" w:rsidRPr="008C6B79" w:rsidRDefault="008258E3" w:rsidP="007E44E6">
                                        <w:pPr>
                                          <w:keepNext/>
                                          <w:keepLines/>
                                          <w:spacing w:before="40" w:after="40"/>
                                          <w:ind w:left="-111"/>
                                          <w:rPr>
                                            <w:sz w:val="21"/>
                                            <w:szCs w:val="21"/>
                                          </w:rPr>
                                        </w:pPr>
                                        <w:r w:rsidRPr="008C6B79">
                                          <w:rPr>
                                            <w:sz w:val="21"/>
                                            <w:szCs w:val="21"/>
                                          </w:rPr>
                                          <w:t>Balance of non-Commonwealth contributions</w:t>
                                        </w:r>
                                      </w:p>
                                    </w:tc>
                                    <w:tc>
                                      <w:tcPr>
                                        <w:tcW w:w="1544" w:type="dxa"/>
                                        <w:tcBorders>
                                          <w:bottom w:val="single" w:sz="4" w:space="0" w:color="000080"/>
                                        </w:tcBorders>
                                      </w:tcPr>
                                      <w:p w14:paraId="0DB89270" w14:textId="75109095" w:rsidR="008258E3" w:rsidRPr="005D39DD" w:rsidRDefault="008258E3" w:rsidP="007E44E6">
                                        <w:pPr>
                                          <w:keepNext/>
                                          <w:keepLines/>
                                          <w:spacing w:before="40" w:after="40"/>
                                          <w:jc w:val="right"/>
                                          <w:rPr>
                                            <w:sz w:val="21"/>
                                            <w:szCs w:val="21"/>
                                          </w:rPr>
                                        </w:pPr>
                                        <w:r>
                                          <w:rPr>
                                            <w:sz w:val="21"/>
                                            <w:szCs w:val="21"/>
                                          </w:rPr>
                                          <w:t>0.00</w:t>
                                        </w:r>
                                      </w:p>
                                    </w:tc>
                                    <w:tc>
                                      <w:tcPr>
                                        <w:tcW w:w="1542" w:type="dxa"/>
                                        <w:tcBorders>
                                          <w:bottom w:val="single" w:sz="4" w:space="0" w:color="000080"/>
                                        </w:tcBorders>
                                      </w:tcPr>
                                      <w:p w14:paraId="51C9A932" w14:textId="40F88363" w:rsidR="008258E3" w:rsidRPr="005D39DD" w:rsidRDefault="008258E3" w:rsidP="007E44E6">
                                        <w:pPr>
                                          <w:keepNext/>
                                          <w:keepLines/>
                                          <w:spacing w:before="40" w:after="40"/>
                                          <w:jc w:val="right"/>
                                          <w:rPr>
                                            <w:sz w:val="21"/>
                                            <w:szCs w:val="21"/>
                                          </w:rPr>
                                        </w:pPr>
                                        <w:r>
                                          <w:rPr>
                                            <w:sz w:val="21"/>
                                            <w:szCs w:val="21"/>
                                          </w:rPr>
                                          <w:t>0.00</w:t>
                                        </w:r>
                                      </w:p>
                                    </w:tc>
                                  </w:tr>
                                  <w:bookmarkEnd w:id="1"/>
                                </w:tbl>
                                <w:p w14:paraId="27D4F2F1" w14:textId="240950A5" w:rsidR="00C91B5F" w:rsidRPr="00101AB3" w:rsidRDefault="00C91B5F" w:rsidP="00C91B5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B322D" id="_x0000_t202" coordsize="21600,21600" o:spt="202" path="m,l,21600r21600,l21600,xe">
                      <v:stroke joinstyle="miter"/>
                      <v:path gradientshapeok="t" o:connecttype="rect"/>
                    </v:shapetype>
                    <v:shape id="Text Box 2" o:spid="_x0000_s1026" type="#_x0000_t202" style="position:absolute;margin-left:-4.15pt;margin-top:60.85pt;width:385.5pt;height:18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" stroked="f">
                      <v:textbox>
                        <w:txbxContent>
                          <w:tbl>
                            <w:tblPr>
                              <w:tblW w:w="0" w:type="auto"/>
                              <w:tblLook w:val="01E0" w:firstRow="1" w:lastRow="1" w:firstColumn="1" w:lastColumn="1" w:noHBand="0" w:noVBand="0"/>
                            </w:tblPr>
                            <w:tblGrid>
                              <w:gridCol w:w="3450"/>
                              <w:gridCol w:w="1544"/>
                              <w:gridCol w:w="1542"/>
                            </w:tblGrid>
                            <w:tr w:rsidR="008258E3" w:rsidRPr="00101AB3" w14:paraId="533FE7BA" w14:textId="77777777" w:rsidTr="008258E3">
                              <w:trPr>
                                <w:cantSplit/>
                                <w:trHeight w:val="917"/>
                              </w:trPr>
                              <w:tc>
                                <w:tcPr>
                                  <w:tcW w:w="3450" w:type="dxa"/>
                                  <w:tcBorders>
                                    <w:top w:val="single" w:sz="4" w:space="0" w:color="000080"/>
                                    <w:bottom w:val="single" w:sz="4" w:space="0" w:color="000080"/>
                                  </w:tcBorders>
                                </w:tcPr>
                                <w:p w14:paraId="09C865BD" w14:textId="4FDE1C9C" w:rsidR="008258E3" w:rsidRDefault="008258E3" w:rsidP="007E44E6">
                                  <w:pPr>
                                    <w:keepNext/>
                                    <w:keepLines/>
                                    <w:spacing w:before="40" w:after="40"/>
                                    <w:ind w:left="-111"/>
                                    <w:rPr>
                                      <w:b/>
                                      <w:sz w:val="21"/>
                                      <w:szCs w:val="21"/>
                                    </w:rPr>
                                  </w:pPr>
                                  <w:bookmarkStart w:id="2" w:name="_Hlk216075894"/>
                                  <w:r>
                                    <w:rPr>
                                      <w:b/>
                                      <w:sz w:val="21"/>
                                      <w:szCs w:val="21"/>
                                    </w:rPr>
                                    <w:t>Table 1</w:t>
                                  </w:r>
                                </w:p>
                                <w:p w14:paraId="6430D4A7" w14:textId="64CC398B" w:rsidR="008258E3" w:rsidRPr="005D39DD" w:rsidRDefault="008258E3" w:rsidP="007E44E6">
                                  <w:pPr>
                                    <w:keepNext/>
                                    <w:keepLines/>
                                    <w:spacing w:before="40" w:after="40"/>
                                    <w:ind w:left="-111"/>
                                    <w:rPr>
                                      <w:b/>
                                      <w:sz w:val="21"/>
                                      <w:szCs w:val="21"/>
                                    </w:rPr>
                                  </w:pPr>
                                  <w:r w:rsidRPr="005D39DD">
                                    <w:rPr>
                                      <w:b/>
                                      <w:sz w:val="21"/>
                                      <w:szCs w:val="21"/>
                                    </w:rPr>
                                    <w:t>($ million)</w:t>
                                  </w:r>
                                </w:p>
                              </w:tc>
                              <w:tc>
                                <w:tcPr>
                                  <w:tcW w:w="1544" w:type="dxa"/>
                                  <w:tcBorders>
                                    <w:top w:val="single" w:sz="4" w:space="0" w:color="000080"/>
                                    <w:bottom w:val="single" w:sz="4" w:space="0" w:color="000080"/>
                                  </w:tcBorders>
                                </w:tcPr>
                                <w:p w14:paraId="6B65C7BA" w14:textId="77777777" w:rsidR="008258E3" w:rsidRDefault="008258E3" w:rsidP="007E44E6">
                                  <w:pPr>
                                    <w:keepNext/>
                                    <w:keepLines/>
                                    <w:spacing w:before="40" w:after="40"/>
                                    <w:jc w:val="right"/>
                                    <w:rPr>
                                      <w:b/>
                                      <w:sz w:val="21"/>
                                      <w:szCs w:val="21"/>
                                    </w:rPr>
                                  </w:pPr>
                                </w:p>
                                <w:p w14:paraId="405AF358" w14:textId="3FCE4F32" w:rsidR="008258E3" w:rsidRPr="005D39DD" w:rsidRDefault="008258E3" w:rsidP="007E44E6">
                                  <w:pPr>
                                    <w:keepNext/>
                                    <w:keepLines/>
                                    <w:spacing w:before="40" w:after="40"/>
                                    <w:jc w:val="right"/>
                                    <w:rPr>
                                      <w:b/>
                                      <w:sz w:val="21"/>
                                      <w:szCs w:val="21"/>
                                    </w:rPr>
                                  </w:pPr>
                                  <w:r>
                                    <w:rPr>
                                      <w:b/>
                                      <w:sz w:val="21"/>
                                      <w:szCs w:val="21"/>
                                    </w:rPr>
                                    <w:t>2025-26</w:t>
                                  </w:r>
                                </w:p>
                              </w:tc>
                              <w:tc>
                                <w:tcPr>
                                  <w:tcW w:w="1542" w:type="dxa"/>
                                  <w:tcBorders>
                                    <w:top w:val="single" w:sz="4" w:space="0" w:color="000080"/>
                                    <w:bottom w:val="single" w:sz="4" w:space="0" w:color="000080"/>
                                  </w:tcBorders>
                                </w:tcPr>
                                <w:p w14:paraId="1E1B4A7A" w14:textId="77777777" w:rsidR="008258E3" w:rsidRDefault="008258E3" w:rsidP="007E44E6">
                                  <w:pPr>
                                    <w:keepNext/>
                                    <w:keepLines/>
                                    <w:spacing w:before="40" w:after="40"/>
                                    <w:jc w:val="right"/>
                                    <w:rPr>
                                      <w:b/>
                                      <w:sz w:val="21"/>
                                      <w:szCs w:val="21"/>
                                    </w:rPr>
                                  </w:pPr>
                                </w:p>
                                <w:p w14:paraId="710B22B8" w14:textId="13BB93A1" w:rsidR="008258E3" w:rsidRPr="005D39DD" w:rsidRDefault="008258E3" w:rsidP="007E44E6">
                                  <w:pPr>
                                    <w:keepNext/>
                                    <w:keepLines/>
                                    <w:spacing w:before="40" w:after="40"/>
                                    <w:jc w:val="right"/>
                                    <w:rPr>
                                      <w:b/>
                                      <w:sz w:val="21"/>
                                      <w:szCs w:val="21"/>
                                    </w:rPr>
                                  </w:pPr>
                                  <w:r w:rsidRPr="005D39DD">
                                    <w:rPr>
                                      <w:b/>
                                      <w:sz w:val="21"/>
                                      <w:szCs w:val="21"/>
                                    </w:rPr>
                                    <w:t>Total</w:t>
                                  </w:r>
                                </w:p>
                              </w:tc>
                            </w:tr>
                            <w:tr w:rsidR="008258E3" w:rsidRPr="00101AB3" w14:paraId="54AEFD11" w14:textId="77777777" w:rsidTr="008258E3">
                              <w:trPr>
                                <w:cantSplit/>
                                <w:trHeight w:val="653"/>
                              </w:trPr>
                              <w:tc>
                                <w:tcPr>
                                  <w:tcW w:w="3450" w:type="dxa"/>
                                  <w:tcBorders>
                                    <w:top w:val="single" w:sz="4" w:space="0" w:color="000080"/>
                                  </w:tcBorders>
                                </w:tcPr>
                                <w:p w14:paraId="55A9A036" w14:textId="77777777" w:rsidR="008258E3" w:rsidRPr="005D39DD" w:rsidRDefault="008258E3" w:rsidP="007E44E6">
                                  <w:pPr>
                                    <w:keepNext/>
                                    <w:keepLines/>
                                    <w:spacing w:before="60" w:after="60"/>
                                    <w:ind w:left="-111"/>
                                    <w:rPr>
                                      <w:b/>
                                      <w:sz w:val="21"/>
                                      <w:szCs w:val="21"/>
                                    </w:rPr>
                                  </w:pPr>
                                  <w:r w:rsidRPr="005D39DD">
                                    <w:rPr>
                                      <w:b/>
                                      <w:sz w:val="21"/>
                                      <w:szCs w:val="21"/>
                                    </w:rPr>
                                    <w:t>Estimated total budget</w:t>
                                  </w:r>
                                </w:p>
                              </w:tc>
                              <w:tc>
                                <w:tcPr>
                                  <w:tcW w:w="1544" w:type="dxa"/>
                                  <w:tcBorders>
                                    <w:top w:val="single" w:sz="4" w:space="0" w:color="000080"/>
                                  </w:tcBorders>
                                </w:tcPr>
                                <w:p w14:paraId="6774290E" w14:textId="71A01261" w:rsidR="008258E3" w:rsidRPr="005D39DD" w:rsidRDefault="008258E3" w:rsidP="007E44E6">
                                  <w:pPr>
                                    <w:keepNext/>
                                    <w:keepLines/>
                                    <w:spacing w:before="40" w:after="40"/>
                                    <w:jc w:val="right"/>
                                    <w:rPr>
                                      <w:b/>
                                      <w:sz w:val="21"/>
                                      <w:szCs w:val="21"/>
                                    </w:rPr>
                                  </w:pPr>
                                  <w:r>
                                    <w:rPr>
                                      <w:b/>
                                      <w:sz w:val="21"/>
                                      <w:szCs w:val="21"/>
                                    </w:rPr>
                                    <w:t>9.861</w:t>
                                  </w:r>
                                </w:p>
                              </w:tc>
                              <w:tc>
                                <w:tcPr>
                                  <w:tcW w:w="1542" w:type="dxa"/>
                                  <w:tcBorders>
                                    <w:top w:val="single" w:sz="4" w:space="0" w:color="000080"/>
                                  </w:tcBorders>
                                </w:tcPr>
                                <w:p w14:paraId="08FC5E01" w14:textId="24EDFB2A" w:rsidR="008258E3" w:rsidRPr="005D39DD" w:rsidRDefault="008258E3" w:rsidP="007E44E6">
                                  <w:pPr>
                                    <w:keepNext/>
                                    <w:keepLines/>
                                    <w:spacing w:before="40" w:after="40"/>
                                    <w:jc w:val="right"/>
                                    <w:rPr>
                                      <w:b/>
                                      <w:sz w:val="21"/>
                                      <w:szCs w:val="21"/>
                                    </w:rPr>
                                  </w:pPr>
                                  <w:r>
                                    <w:rPr>
                                      <w:b/>
                                      <w:sz w:val="21"/>
                                      <w:szCs w:val="21"/>
                                    </w:rPr>
                                    <w:t>9.861</w:t>
                                  </w:r>
                                </w:p>
                              </w:tc>
                            </w:tr>
                            <w:tr w:rsidR="008258E3" w:rsidRPr="00101AB3" w14:paraId="4D48DC1E" w14:textId="77777777" w:rsidTr="008258E3">
                              <w:trPr>
                                <w:cantSplit/>
                                <w:trHeight w:val="917"/>
                              </w:trPr>
                              <w:tc>
                                <w:tcPr>
                                  <w:tcW w:w="3450" w:type="dxa"/>
                                </w:tcPr>
                                <w:p w14:paraId="582F5190" w14:textId="77777777" w:rsidR="008258E3" w:rsidRPr="0064121C" w:rsidRDefault="008258E3" w:rsidP="007E44E6">
                                  <w:pPr>
                                    <w:keepNext/>
                                    <w:keepLines/>
                                    <w:spacing w:before="60" w:after="60"/>
                                    <w:ind w:left="-111"/>
                                    <w:rPr>
                                      <w:i/>
                                      <w:iCs/>
                                      <w:sz w:val="21"/>
                                      <w:szCs w:val="21"/>
                                    </w:rPr>
                                  </w:pPr>
                                  <w:r w:rsidRPr="0064121C">
                                    <w:rPr>
                                      <w:i/>
                                      <w:iCs/>
                                      <w:sz w:val="21"/>
                                      <w:szCs w:val="21"/>
                                    </w:rPr>
                                    <w:t xml:space="preserve">Less estimated National Partnership Payments </w:t>
                                  </w:r>
                                </w:p>
                              </w:tc>
                              <w:tc>
                                <w:tcPr>
                                  <w:tcW w:w="1544" w:type="dxa"/>
                                </w:tcPr>
                                <w:p w14:paraId="2A58D9BB" w14:textId="3E5018E5" w:rsidR="008258E3" w:rsidRPr="005D39DD" w:rsidRDefault="008258E3" w:rsidP="007E44E6">
                                  <w:pPr>
                                    <w:keepNext/>
                                    <w:keepLines/>
                                    <w:spacing w:before="40" w:after="40"/>
                                    <w:jc w:val="right"/>
                                    <w:rPr>
                                      <w:sz w:val="21"/>
                                      <w:szCs w:val="21"/>
                                    </w:rPr>
                                  </w:pPr>
                                  <w:r>
                                    <w:rPr>
                                      <w:sz w:val="21"/>
                                      <w:szCs w:val="21"/>
                                    </w:rPr>
                                    <w:t>9.861</w:t>
                                  </w:r>
                                </w:p>
                              </w:tc>
                              <w:tc>
                                <w:tcPr>
                                  <w:tcW w:w="1542" w:type="dxa"/>
                                </w:tcPr>
                                <w:p w14:paraId="4E7A84E3" w14:textId="58C951B3" w:rsidR="008258E3" w:rsidRPr="005D39DD" w:rsidRDefault="008258E3" w:rsidP="007E44E6">
                                  <w:pPr>
                                    <w:keepNext/>
                                    <w:keepLines/>
                                    <w:spacing w:before="40" w:after="40"/>
                                    <w:jc w:val="right"/>
                                    <w:rPr>
                                      <w:sz w:val="21"/>
                                      <w:szCs w:val="21"/>
                                    </w:rPr>
                                  </w:pPr>
                                  <w:r>
                                    <w:rPr>
                                      <w:sz w:val="21"/>
                                      <w:szCs w:val="21"/>
                                    </w:rPr>
                                    <w:t>9.861</w:t>
                                  </w:r>
                                </w:p>
                              </w:tc>
                            </w:tr>
                            <w:tr w:rsidR="008258E3" w:rsidRPr="00101AB3" w14:paraId="406CC52C" w14:textId="77777777" w:rsidTr="008258E3">
                              <w:trPr>
                                <w:cantSplit/>
                                <w:trHeight w:val="870"/>
                              </w:trPr>
                              <w:tc>
                                <w:tcPr>
                                  <w:tcW w:w="3450" w:type="dxa"/>
                                  <w:tcBorders>
                                    <w:bottom w:val="single" w:sz="4" w:space="0" w:color="000080"/>
                                  </w:tcBorders>
                                </w:tcPr>
                                <w:p w14:paraId="7DF3D17D" w14:textId="77777777" w:rsidR="008258E3" w:rsidRPr="008C6B79" w:rsidRDefault="008258E3" w:rsidP="007E44E6">
                                  <w:pPr>
                                    <w:keepNext/>
                                    <w:keepLines/>
                                    <w:spacing w:before="40" w:after="40"/>
                                    <w:ind w:left="-111"/>
                                    <w:rPr>
                                      <w:sz w:val="21"/>
                                      <w:szCs w:val="21"/>
                                    </w:rPr>
                                  </w:pPr>
                                  <w:r w:rsidRPr="008C6B79">
                                    <w:rPr>
                                      <w:sz w:val="21"/>
                                      <w:szCs w:val="21"/>
                                    </w:rPr>
                                    <w:t>Balance of non-Commonwealth contributions</w:t>
                                  </w:r>
                                </w:p>
                              </w:tc>
                              <w:tc>
                                <w:tcPr>
                                  <w:tcW w:w="1544" w:type="dxa"/>
                                  <w:tcBorders>
                                    <w:bottom w:val="single" w:sz="4" w:space="0" w:color="000080"/>
                                  </w:tcBorders>
                                </w:tcPr>
                                <w:p w14:paraId="0DB89270" w14:textId="75109095" w:rsidR="008258E3" w:rsidRPr="005D39DD" w:rsidRDefault="008258E3" w:rsidP="007E44E6">
                                  <w:pPr>
                                    <w:keepNext/>
                                    <w:keepLines/>
                                    <w:spacing w:before="40" w:after="40"/>
                                    <w:jc w:val="right"/>
                                    <w:rPr>
                                      <w:sz w:val="21"/>
                                      <w:szCs w:val="21"/>
                                    </w:rPr>
                                  </w:pPr>
                                  <w:r>
                                    <w:rPr>
                                      <w:sz w:val="21"/>
                                      <w:szCs w:val="21"/>
                                    </w:rPr>
                                    <w:t>0.00</w:t>
                                  </w:r>
                                </w:p>
                              </w:tc>
                              <w:tc>
                                <w:tcPr>
                                  <w:tcW w:w="1542" w:type="dxa"/>
                                  <w:tcBorders>
                                    <w:bottom w:val="single" w:sz="4" w:space="0" w:color="000080"/>
                                  </w:tcBorders>
                                </w:tcPr>
                                <w:p w14:paraId="51C9A932" w14:textId="40F88363" w:rsidR="008258E3" w:rsidRPr="005D39DD" w:rsidRDefault="008258E3" w:rsidP="007E44E6">
                                  <w:pPr>
                                    <w:keepNext/>
                                    <w:keepLines/>
                                    <w:spacing w:before="40" w:after="40"/>
                                    <w:jc w:val="right"/>
                                    <w:rPr>
                                      <w:sz w:val="21"/>
                                      <w:szCs w:val="21"/>
                                    </w:rPr>
                                  </w:pPr>
                                  <w:r>
                                    <w:rPr>
                                      <w:sz w:val="21"/>
                                      <w:szCs w:val="21"/>
                                    </w:rPr>
                                    <w:t>0.00</w:t>
                                  </w:r>
                                </w:p>
                              </w:tc>
                            </w:tr>
                            <w:bookmarkEnd w:id="2"/>
                          </w:tbl>
                          <w:p w14:paraId="27D4F2F1" w14:textId="240950A5" w:rsidR="00C91B5F" w:rsidRPr="00101AB3" w:rsidRDefault="00C91B5F" w:rsidP="00C91B5F">
                            <w:pPr>
                              <w:rPr>
                                <w:sz w:val="18"/>
                                <w:szCs w:val="18"/>
                              </w:rPr>
                            </w:pPr>
                          </w:p>
                        </w:txbxContent>
                      </v:textbox>
                      <w10:wrap type="square"/>
                    </v:shape>
                  </w:pict>
                </mc:Fallback>
              </mc:AlternateContent>
            </w:r>
            <w:r w:rsidR="00C91B5F" w:rsidRPr="001756EC">
              <w:rPr>
                <w:color w:val="auto"/>
              </w:rPr>
              <w:t xml:space="preserve">The Commonwealth will provide an estimated total financial contribution to </w:t>
            </w:r>
            <w:r w:rsidR="002F7B4F">
              <w:rPr>
                <w:color w:val="auto"/>
              </w:rPr>
              <w:t>the State</w:t>
            </w:r>
            <w:r w:rsidR="00C91B5F" w:rsidRPr="001756EC">
              <w:rPr>
                <w:color w:val="auto"/>
              </w:rPr>
              <w:t xml:space="preserve"> </w:t>
            </w:r>
            <w:r w:rsidR="00C91B5F" w:rsidRPr="000164EC">
              <w:rPr>
                <w:color w:val="auto"/>
              </w:rPr>
              <w:t>of $</w:t>
            </w:r>
            <w:r w:rsidR="00D30F8C" w:rsidRPr="000164EC">
              <w:rPr>
                <w:color w:val="auto"/>
              </w:rPr>
              <w:t>9</w:t>
            </w:r>
            <w:r w:rsidR="00C91B5F" w:rsidRPr="000164EC">
              <w:rPr>
                <w:color w:val="auto"/>
              </w:rPr>
              <w:t>.</w:t>
            </w:r>
            <w:r w:rsidR="00D30F8C" w:rsidRPr="000164EC">
              <w:rPr>
                <w:color w:val="auto"/>
              </w:rPr>
              <w:t>861</w:t>
            </w:r>
            <w:r w:rsidR="00C91B5F" w:rsidRPr="000164EC">
              <w:rPr>
                <w:color w:val="auto"/>
              </w:rPr>
              <w:t>m</w:t>
            </w:r>
            <w:r w:rsidR="00C91B5F" w:rsidRPr="001756EC">
              <w:rPr>
                <w:color w:val="auto"/>
              </w:rPr>
              <w:t xml:space="preserve"> in respect of this Schedule.</w:t>
            </w:r>
          </w:p>
        </w:tc>
      </w:tr>
      <w:tr w:rsidR="00C91B5F" w:rsidRPr="001756EC" w14:paraId="21E3D649" w14:textId="77777777" w:rsidTr="00317FB3">
        <w:tc>
          <w:tcPr>
            <w:tcW w:w="1691" w:type="dxa"/>
          </w:tcPr>
          <w:p w14:paraId="06578BDF" w14:textId="2A3A08F6" w:rsidR="00C91B5F" w:rsidRPr="001756EC" w:rsidRDefault="00C91B5F" w:rsidP="005D3905">
            <w:pPr>
              <w:pStyle w:val="Tableformat"/>
              <w:rPr>
                <w:color w:val="auto"/>
              </w:rPr>
            </w:pPr>
            <w:r w:rsidRPr="001756EC">
              <w:rPr>
                <w:color w:val="auto"/>
              </w:rPr>
              <w:t>Additional terms</w:t>
            </w:r>
          </w:p>
        </w:tc>
        <w:tc>
          <w:tcPr>
            <w:tcW w:w="7938" w:type="dxa"/>
          </w:tcPr>
          <w:p w14:paraId="2D5EA7EB" w14:textId="77777777" w:rsidR="00D03A44" w:rsidRDefault="00D03A44" w:rsidP="00D03A44">
            <w:pPr>
              <w:pStyle w:val="Tableformat"/>
              <w:rPr>
                <w:b/>
                <w:color w:val="auto"/>
              </w:rPr>
            </w:pPr>
            <w:r>
              <w:rPr>
                <w:b/>
                <w:color w:val="auto"/>
              </w:rPr>
              <w:t>Operating principles of the Lake Macquarie Mines Grouting Fund</w:t>
            </w:r>
          </w:p>
          <w:p w14:paraId="774DE97F" w14:textId="3C09DB6C" w:rsidR="0022460F" w:rsidRPr="0022460F" w:rsidRDefault="0022460F" w:rsidP="00196BF0">
            <w:pPr>
              <w:pStyle w:val="Tableformat"/>
              <w:rPr>
                <w:color w:val="auto"/>
              </w:rPr>
            </w:pPr>
            <w:r w:rsidRPr="0022460F">
              <w:rPr>
                <w:color w:val="auto"/>
              </w:rPr>
              <w:t xml:space="preserve">The Fund is a non-competitive, demand-driven form of financial assistance, which aims to mitigate the financial risks to development associated with mine subsidence in the </w:t>
            </w:r>
            <w:r w:rsidR="00F762B1">
              <w:rPr>
                <w:color w:val="auto"/>
              </w:rPr>
              <w:t>LGA.</w:t>
            </w:r>
          </w:p>
          <w:p w14:paraId="108A5087" w14:textId="77777777" w:rsidR="00F762B1" w:rsidRDefault="00F762B1" w:rsidP="0022460F">
            <w:pPr>
              <w:pStyle w:val="Tableformat"/>
              <w:rPr>
                <w:color w:val="auto"/>
              </w:rPr>
            </w:pPr>
            <w:r w:rsidRPr="00F762B1">
              <w:rPr>
                <w:color w:val="auto"/>
              </w:rPr>
              <w:t xml:space="preserve">The Fund will be operated in accordance with a publicly available program guideline, to be published and maintained by the Lake </w:t>
            </w:r>
            <w:r w:rsidRPr="00F762B1">
              <w:rPr>
                <w:color w:val="auto"/>
              </w:rPr>
              <w:lastRenderedPageBreak/>
              <w:t>Macquarie City Council (</w:t>
            </w:r>
            <w:r w:rsidRPr="00F762B1">
              <w:rPr>
                <w:b/>
                <w:color w:val="auto"/>
              </w:rPr>
              <w:t>Council</w:t>
            </w:r>
            <w:r w:rsidRPr="00F762B1">
              <w:rPr>
                <w:color w:val="auto"/>
              </w:rPr>
              <w:t>), as a third-party proponent and Fund operator.</w:t>
            </w:r>
          </w:p>
          <w:p w14:paraId="556D742D" w14:textId="3DF8E587" w:rsidR="00D03A44" w:rsidRDefault="00D03A44" w:rsidP="0022460F">
            <w:pPr>
              <w:pStyle w:val="Tableformat"/>
              <w:rPr>
                <w:b/>
                <w:color w:val="auto"/>
              </w:rPr>
            </w:pPr>
            <w:r w:rsidRPr="007D42A7">
              <w:rPr>
                <w:b/>
                <w:color w:val="auto"/>
              </w:rPr>
              <w:t xml:space="preserve">Eligible </w:t>
            </w:r>
            <w:r>
              <w:rPr>
                <w:b/>
                <w:color w:val="auto"/>
              </w:rPr>
              <w:t>e</w:t>
            </w:r>
            <w:r w:rsidRPr="007D42A7">
              <w:rPr>
                <w:b/>
                <w:color w:val="auto"/>
              </w:rPr>
              <w:t>xpenditure</w:t>
            </w:r>
          </w:p>
          <w:p w14:paraId="4CF27D62" w14:textId="626903E2" w:rsidR="00AB3A83" w:rsidRDefault="00F762B1" w:rsidP="006D4A09">
            <w:pPr>
              <w:pStyle w:val="Tableformat"/>
              <w:rPr>
                <w:color w:val="auto"/>
              </w:rPr>
            </w:pPr>
            <w:r w:rsidRPr="00F762B1">
              <w:rPr>
                <w:color w:val="auto"/>
              </w:rPr>
              <w:t>The Commonwealth’s financial contribution is only to be used for the purpose of making financial assistance payments from the Fund to eligible applicants</w:t>
            </w:r>
            <w:r w:rsidR="006D4A09">
              <w:rPr>
                <w:color w:val="auto"/>
              </w:rPr>
              <w:t>,</w:t>
            </w:r>
            <w:r w:rsidR="00E577A7">
              <w:rPr>
                <w:color w:val="auto"/>
              </w:rPr>
              <w:t xml:space="preserve"> other than </w:t>
            </w:r>
            <w:r w:rsidR="00AB3A83">
              <w:rPr>
                <w:color w:val="auto"/>
              </w:rPr>
              <w:t xml:space="preserve">during </w:t>
            </w:r>
            <w:r w:rsidR="00E577A7">
              <w:rPr>
                <w:color w:val="auto"/>
              </w:rPr>
              <w:t>the first twelve months from the date of execution of this Schedule, as set out below.</w:t>
            </w:r>
            <w:r w:rsidR="006D4A09">
              <w:rPr>
                <w:color w:val="auto"/>
              </w:rPr>
              <w:t xml:space="preserve"> </w:t>
            </w:r>
          </w:p>
          <w:p w14:paraId="19F68DDD" w14:textId="71C6F36E" w:rsidR="00E577A7" w:rsidRDefault="00AD10B0" w:rsidP="006D4A09">
            <w:pPr>
              <w:pStyle w:val="Tableformat"/>
              <w:rPr>
                <w:color w:val="auto"/>
              </w:rPr>
            </w:pPr>
            <w:r>
              <w:rPr>
                <w:color w:val="auto"/>
              </w:rPr>
              <w:t>After the first twelve months, t</w:t>
            </w:r>
            <w:r w:rsidR="00E577A7" w:rsidRPr="00F762B1">
              <w:rPr>
                <w:color w:val="auto"/>
              </w:rPr>
              <w:t>he costs of administering the Fund, including</w:t>
            </w:r>
            <w:r w:rsidR="00E577A7">
              <w:rPr>
                <w:color w:val="auto"/>
              </w:rPr>
              <w:t>,</w:t>
            </w:r>
            <w:r w:rsidR="00E577A7" w:rsidRPr="00F762B1">
              <w:rPr>
                <w:color w:val="auto"/>
              </w:rPr>
              <w:t xml:space="preserve"> but not limited to, payments to external service providers engaged to support the operation of the Fund, are to be met using interest </w:t>
            </w:r>
            <w:r w:rsidR="00E577A7">
              <w:rPr>
                <w:color w:val="auto"/>
              </w:rPr>
              <w:t xml:space="preserve">revenue </w:t>
            </w:r>
            <w:r w:rsidR="00E577A7" w:rsidRPr="00F762B1">
              <w:rPr>
                <w:color w:val="auto"/>
              </w:rPr>
              <w:t>(see below) or other own-sourced funding.</w:t>
            </w:r>
            <w:r w:rsidR="00E577A7">
              <w:rPr>
                <w:color w:val="auto"/>
              </w:rPr>
              <w:t xml:space="preserve"> This can be achieved by ensuring that the cumulative amount of funding expended from the Fund balance on administration costs is not higher than the cumulative amount of interest revenue applied over the life of the Fund.</w:t>
            </w:r>
          </w:p>
          <w:p w14:paraId="10617FAE" w14:textId="7875A63D" w:rsidR="00E577A7" w:rsidRPr="00AD10B0" w:rsidRDefault="00E577A7" w:rsidP="006D4A09">
            <w:pPr>
              <w:pStyle w:val="Tableformat"/>
              <w:rPr>
                <w:b/>
                <w:bCs/>
                <w:color w:val="auto"/>
              </w:rPr>
            </w:pPr>
            <w:r>
              <w:rPr>
                <w:b/>
                <w:bCs/>
                <w:color w:val="auto"/>
              </w:rPr>
              <w:t xml:space="preserve">Eligible expenditure – </w:t>
            </w:r>
            <w:r w:rsidR="00EB7C0E">
              <w:rPr>
                <w:b/>
                <w:bCs/>
                <w:color w:val="auto"/>
              </w:rPr>
              <w:t>first</w:t>
            </w:r>
            <w:r>
              <w:rPr>
                <w:b/>
                <w:bCs/>
                <w:color w:val="auto"/>
              </w:rPr>
              <w:t xml:space="preserve"> 12 months</w:t>
            </w:r>
          </w:p>
          <w:p w14:paraId="0F228705" w14:textId="374C87A6" w:rsidR="006D4A09" w:rsidRDefault="00E577A7" w:rsidP="006D4A09">
            <w:pPr>
              <w:pStyle w:val="Tableformat"/>
              <w:rPr>
                <w:color w:val="auto"/>
              </w:rPr>
            </w:pPr>
            <w:r>
              <w:rPr>
                <w:color w:val="auto"/>
              </w:rPr>
              <w:t>For</w:t>
            </w:r>
            <w:r w:rsidRPr="00F762B1">
              <w:rPr>
                <w:color w:val="auto"/>
              </w:rPr>
              <w:t xml:space="preserve"> </w:t>
            </w:r>
            <w:r w:rsidR="00F762B1" w:rsidRPr="00F762B1">
              <w:rPr>
                <w:color w:val="auto"/>
              </w:rPr>
              <w:t>twelve months from the date of execution of this Schedule</w:t>
            </w:r>
            <w:r w:rsidR="006D4A09">
              <w:rPr>
                <w:color w:val="auto"/>
              </w:rPr>
              <w:t xml:space="preserve"> only,</w:t>
            </w:r>
            <w:r w:rsidR="00F762B1" w:rsidRPr="00F762B1">
              <w:rPr>
                <w:color w:val="auto"/>
              </w:rPr>
              <w:t xml:space="preserve"> the costs of administering the Fund, including payments to external service providers engaged to support the operation of the Fund</w:t>
            </w:r>
            <w:r w:rsidR="00EB7C0E">
              <w:rPr>
                <w:color w:val="auto"/>
              </w:rPr>
              <w:t>,</w:t>
            </w:r>
            <w:r w:rsidR="001D3BE1">
              <w:rPr>
                <w:color w:val="auto"/>
              </w:rPr>
              <w:t xml:space="preserve"> may be considered eligible expenditure</w:t>
            </w:r>
            <w:r w:rsidR="00EB7C0E">
              <w:rPr>
                <w:color w:val="auto"/>
              </w:rPr>
              <w:t xml:space="preserve"> of the Commonwealth’s financial contribution</w:t>
            </w:r>
            <w:r w:rsidR="001D3BE1">
              <w:rPr>
                <w:color w:val="auto"/>
              </w:rPr>
              <w:t>.</w:t>
            </w:r>
            <w:r w:rsidR="006D4A09">
              <w:rPr>
                <w:color w:val="auto"/>
              </w:rPr>
              <w:t xml:space="preserve"> </w:t>
            </w:r>
          </w:p>
          <w:p w14:paraId="3575BCB1" w14:textId="5D53F5DF" w:rsidR="00F762B1" w:rsidRPr="00F762B1" w:rsidRDefault="006D4A09" w:rsidP="006D4A09">
            <w:pPr>
              <w:pStyle w:val="Tableformat"/>
              <w:rPr>
                <w:color w:val="auto"/>
              </w:rPr>
            </w:pPr>
            <w:r>
              <w:rPr>
                <w:color w:val="auto"/>
              </w:rPr>
              <w:t xml:space="preserve">The amount of </w:t>
            </w:r>
            <w:r w:rsidR="00AD10B0">
              <w:rPr>
                <w:color w:val="auto"/>
              </w:rPr>
              <w:t>the Commonwealth’s financial contribution</w:t>
            </w:r>
            <w:r>
              <w:rPr>
                <w:color w:val="auto"/>
              </w:rPr>
              <w:t xml:space="preserve"> that can be spent on administering the Fund in the first twelve months </w:t>
            </w:r>
            <w:r w:rsidR="001D3BE1">
              <w:rPr>
                <w:color w:val="auto"/>
              </w:rPr>
              <w:t>may not exceed</w:t>
            </w:r>
            <w:r w:rsidR="00F762B1" w:rsidRPr="00F762B1">
              <w:rPr>
                <w:color w:val="auto"/>
              </w:rPr>
              <w:t xml:space="preserve"> $</w:t>
            </w:r>
            <w:r w:rsidR="00C02A8A">
              <w:rPr>
                <w:color w:val="auto"/>
              </w:rPr>
              <w:t>85</w:t>
            </w:r>
            <w:r w:rsidR="00F762B1" w:rsidRPr="00F762B1">
              <w:rPr>
                <w:color w:val="auto"/>
              </w:rPr>
              <w:t>,000.</w:t>
            </w:r>
          </w:p>
          <w:p w14:paraId="5CCAD82C" w14:textId="781C46EC" w:rsidR="00196BF0" w:rsidRDefault="00196BF0" w:rsidP="00F762B1">
            <w:pPr>
              <w:pStyle w:val="Tableformat"/>
              <w:rPr>
                <w:b/>
                <w:color w:val="auto"/>
              </w:rPr>
            </w:pPr>
            <w:r>
              <w:rPr>
                <w:b/>
                <w:color w:val="auto"/>
              </w:rPr>
              <w:t>Interest</w:t>
            </w:r>
          </w:p>
          <w:p w14:paraId="226B7A0D" w14:textId="23479C38" w:rsidR="00F762B1" w:rsidRPr="00F762B1" w:rsidRDefault="00F762B1" w:rsidP="00F762B1">
            <w:pPr>
              <w:pStyle w:val="Tableformat"/>
              <w:rPr>
                <w:color w:val="auto"/>
              </w:rPr>
            </w:pPr>
            <w:r w:rsidRPr="00F762B1">
              <w:rPr>
                <w:color w:val="auto"/>
              </w:rPr>
              <w:t xml:space="preserve">Interest </w:t>
            </w:r>
            <w:r w:rsidR="00C02A8A">
              <w:rPr>
                <w:color w:val="auto"/>
              </w:rPr>
              <w:t>revenue attributed to</w:t>
            </w:r>
            <w:r w:rsidRPr="00F762B1">
              <w:rPr>
                <w:color w:val="auto"/>
              </w:rPr>
              <w:t xml:space="preserve"> the Fund is to be reinvested into the balance of the Fund</w:t>
            </w:r>
            <w:r w:rsidR="00C02A8A">
              <w:rPr>
                <w:color w:val="auto"/>
              </w:rPr>
              <w:t xml:space="preserve"> annually and</w:t>
            </w:r>
            <w:r w:rsidRPr="00F762B1">
              <w:rPr>
                <w:color w:val="auto"/>
              </w:rPr>
              <w:t xml:space="preserve"> not diverted to other uses.</w:t>
            </w:r>
          </w:p>
          <w:p w14:paraId="10360A2F" w14:textId="0D40C4F2" w:rsidR="00F762B1" w:rsidRPr="00F762B1" w:rsidRDefault="00F762B1" w:rsidP="00F762B1">
            <w:pPr>
              <w:pStyle w:val="Tableformat"/>
              <w:rPr>
                <w:color w:val="auto"/>
              </w:rPr>
            </w:pPr>
            <w:r w:rsidRPr="00F762B1">
              <w:rPr>
                <w:color w:val="auto"/>
              </w:rPr>
              <w:t xml:space="preserve">Interest </w:t>
            </w:r>
            <w:r w:rsidR="00C02A8A">
              <w:rPr>
                <w:color w:val="auto"/>
              </w:rPr>
              <w:t>revenue</w:t>
            </w:r>
            <w:r w:rsidRPr="00F762B1">
              <w:rPr>
                <w:color w:val="auto"/>
              </w:rPr>
              <w:t xml:space="preserve"> must be clearly shown in the Annual Fund Reports (see below).</w:t>
            </w:r>
          </w:p>
          <w:p w14:paraId="04316F2A" w14:textId="08D03F06" w:rsidR="00F762B1" w:rsidRPr="00F762B1" w:rsidRDefault="00F762B1" w:rsidP="00F762B1">
            <w:pPr>
              <w:pStyle w:val="Tableformat"/>
              <w:rPr>
                <w:color w:val="auto"/>
              </w:rPr>
            </w:pPr>
            <w:r w:rsidRPr="00F762B1">
              <w:rPr>
                <w:color w:val="auto"/>
              </w:rPr>
              <w:t xml:space="preserve">Interest </w:t>
            </w:r>
            <w:r w:rsidR="00C02A8A">
              <w:rPr>
                <w:color w:val="auto"/>
              </w:rPr>
              <w:t>revenue</w:t>
            </w:r>
            <w:r w:rsidRPr="00F762B1">
              <w:rPr>
                <w:color w:val="auto"/>
              </w:rPr>
              <w:t xml:space="preserve"> may be used towards the costs of administering the Fund, including costs payable to external service providers engaged to support the operation of the Fund. </w:t>
            </w:r>
          </w:p>
          <w:p w14:paraId="31EA5DE5" w14:textId="0720E9C5" w:rsidR="00F762B1" w:rsidRDefault="00F762B1" w:rsidP="00F762B1">
            <w:pPr>
              <w:pStyle w:val="Tableformat"/>
              <w:rPr>
                <w:color w:val="auto"/>
              </w:rPr>
            </w:pPr>
            <w:r w:rsidRPr="00F762B1">
              <w:rPr>
                <w:color w:val="auto"/>
              </w:rPr>
              <w:t>Details of the engagement of external service providers are required as part of the reporting requirements outlined in Table 2, and the reason for engaging each external service provider should be clearly demonstrated.</w:t>
            </w:r>
            <w:r>
              <w:rPr>
                <w:color w:val="auto"/>
              </w:rPr>
              <w:t xml:space="preserve"> </w:t>
            </w:r>
          </w:p>
          <w:p w14:paraId="52385899" w14:textId="5EB71D42" w:rsidR="00E35762" w:rsidRPr="001756EC" w:rsidRDefault="00E35762" w:rsidP="00F762B1">
            <w:pPr>
              <w:pStyle w:val="Tableformat"/>
              <w:rPr>
                <w:b/>
                <w:color w:val="auto"/>
              </w:rPr>
            </w:pPr>
            <w:r w:rsidRPr="001756EC">
              <w:rPr>
                <w:b/>
                <w:color w:val="auto"/>
              </w:rPr>
              <w:t>Funding arrangements</w:t>
            </w:r>
          </w:p>
          <w:p w14:paraId="220F359F" w14:textId="79276422" w:rsidR="00196BF0" w:rsidRPr="00196BF0" w:rsidRDefault="00E35762" w:rsidP="00E35762">
            <w:pPr>
              <w:pStyle w:val="Tableformat"/>
              <w:rPr>
                <w:color w:val="auto"/>
              </w:rPr>
            </w:pPr>
            <w:r w:rsidRPr="001756EC">
              <w:rPr>
                <w:color w:val="auto"/>
              </w:rPr>
              <w:t xml:space="preserve">Consistent with Clause 20a of the </w:t>
            </w:r>
            <w:r w:rsidRPr="001756EC">
              <w:rPr>
                <w:i/>
                <w:color w:val="auto"/>
              </w:rPr>
              <w:t xml:space="preserve">Federation Funding Agreement – </w:t>
            </w:r>
            <w:r w:rsidRPr="00196BF0">
              <w:rPr>
                <w:i/>
                <w:color w:val="auto"/>
              </w:rPr>
              <w:t xml:space="preserve">Infrastructure, </w:t>
            </w:r>
            <w:r w:rsidRPr="00196BF0">
              <w:rPr>
                <w:color w:val="auto"/>
              </w:rPr>
              <w:t>the State’s role includes facilitating submission of milestone requests from, and on-forwarding Commonwealth funding contributions to, the Council to meet the requirements of this Schedule.</w:t>
            </w:r>
          </w:p>
          <w:p w14:paraId="5C292DED" w14:textId="20FBD1BF" w:rsidR="00F762B1" w:rsidRDefault="00F762B1" w:rsidP="00E35762">
            <w:pPr>
              <w:pStyle w:val="Tableformat"/>
              <w:rPr>
                <w:color w:val="auto"/>
              </w:rPr>
            </w:pPr>
            <w:r w:rsidRPr="00F762B1">
              <w:rPr>
                <w:color w:val="auto"/>
              </w:rPr>
              <w:lastRenderedPageBreak/>
              <w:t xml:space="preserve">It is understood that the Council will hold the </w:t>
            </w:r>
            <w:r w:rsidR="00815021">
              <w:rPr>
                <w:color w:val="auto"/>
              </w:rPr>
              <w:t>F</w:t>
            </w:r>
            <w:r w:rsidRPr="00F762B1">
              <w:rPr>
                <w:color w:val="auto"/>
              </w:rPr>
              <w:t>und in a restricted reserve.</w:t>
            </w:r>
          </w:p>
          <w:p w14:paraId="2F240344" w14:textId="39DFDCDF" w:rsidR="00E35762" w:rsidRPr="001756EC" w:rsidRDefault="00E35762" w:rsidP="00E35762">
            <w:pPr>
              <w:pStyle w:val="Tableformat"/>
              <w:rPr>
                <w:b/>
                <w:color w:val="auto"/>
              </w:rPr>
            </w:pPr>
            <w:r w:rsidRPr="001756EC">
              <w:rPr>
                <w:b/>
                <w:color w:val="auto"/>
              </w:rPr>
              <w:t xml:space="preserve">Commonwealth </w:t>
            </w:r>
            <w:r w:rsidR="00F25A89">
              <w:rPr>
                <w:b/>
                <w:color w:val="auto"/>
              </w:rPr>
              <w:t>f</w:t>
            </w:r>
            <w:r w:rsidRPr="001756EC">
              <w:rPr>
                <w:b/>
                <w:color w:val="auto"/>
              </w:rPr>
              <w:t xml:space="preserve">unding </w:t>
            </w:r>
            <w:r w:rsidR="00F25A89">
              <w:rPr>
                <w:b/>
                <w:color w:val="auto"/>
              </w:rPr>
              <w:t>r</w:t>
            </w:r>
            <w:r w:rsidRPr="001756EC">
              <w:rPr>
                <w:b/>
                <w:color w:val="auto"/>
              </w:rPr>
              <w:t>ecognition</w:t>
            </w:r>
          </w:p>
          <w:p w14:paraId="139E0E5D" w14:textId="79C3CB41" w:rsidR="00E35762" w:rsidRPr="001756EC" w:rsidRDefault="00E35762" w:rsidP="00E35762">
            <w:pPr>
              <w:pStyle w:val="Tableformat"/>
              <w:rPr>
                <w:color w:val="auto"/>
              </w:rPr>
            </w:pPr>
            <w:r w:rsidRPr="001756EC">
              <w:rPr>
                <w:color w:val="auto"/>
              </w:rPr>
              <w:t xml:space="preserve">In addition to the requirements set out in Clause 21 of the </w:t>
            </w:r>
            <w:r w:rsidRPr="001756EC">
              <w:rPr>
                <w:i/>
                <w:color w:val="auto"/>
              </w:rPr>
              <w:t xml:space="preserve">Federation Funding Agreement – Infrastructure, </w:t>
            </w:r>
            <w:r w:rsidRPr="001756EC">
              <w:rPr>
                <w:color w:val="auto"/>
              </w:rPr>
              <w:t xml:space="preserve">the </w:t>
            </w:r>
            <w:r w:rsidR="00096606">
              <w:rPr>
                <w:color w:val="auto"/>
              </w:rPr>
              <w:t>State</w:t>
            </w:r>
            <w:r w:rsidRPr="001756EC">
              <w:rPr>
                <w:color w:val="auto"/>
              </w:rPr>
              <w:t xml:space="preserve"> agree</w:t>
            </w:r>
            <w:r w:rsidR="00096606">
              <w:rPr>
                <w:color w:val="auto"/>
              </w:rPr>
              <w:t>s</w:t>
            </w:r>
            <w:r w:rsidRPr="001756EC">
              <w:rPr>
                <w:color w:val="auto"/>
              </w:rPr>
              <w:t xml:space="preserve"> to:</w:t>
            </w:r>
          </w:p>
          <w:p w14:paraId="3199C447" w14:textId="77777777" w:rsidR="00E35762" w:rsidRPr="001756EC" w:rsidRDefault="00E35762" w:rsidP="00E35762">
            <w:pPr>
              <w:pStyle w:val="Tableformat"/>
              <w:numPr>
                <w:ilvl w:val="0"/>
                <w:numId w:val="3"/>
              </w:numPr>
              <w:rPr>
                <w:color w:val="auto"/>
              </w:rPr>
            </w:pPr>
            <w:r w:rsidRPr="001756EC">
              <w:rPr>
                <w:color w:val="auto"/>
              </w:rPr>
              <w:t xml:space="preserve">Recognise the Commonwealth’s funding contributions to the project in publications, promotional and advertising materials, including project signage, and public announcements and activities in relation to the project as </w:t>
            </w:r>
            <w:proofErr w:type="gramStart"/>
            <w:r w:rsidRPr="001756EC">
              <w:rPr>
                <w:color w:val="auto"/>
              </w:rPr>
              <w:t>appropriate;</w:t>
            </w:r>
            <w:proofErr w:type="gramEnd"/>
          </w:p>
          <w:p w14:paraId="730B9DFF" w14:textId="2A43E743" w:rsidR="00E35762" w:rsidRPr="001756EC" w:rsidRDefault="00E35762" w:rsidP="00E35762">
            <w:pPr>
              <w:pStyle w:val="Tableformat"/>
              <w:numPr>
                <w:ilvl w:val="0"/>
                <w:numId w:val="3"/>
              </w:numPr>
              <w:rPr>
                <w:color w:val="auto"/>
              </w:rPr>
            </w:pPr>
            <w:r w:rsidRPr="001756EC">
              <w:rPr>
                <w:color w:val="auto"/>
              </w:rPr>
              <w:t xml:space="preserve">Provide reasonable opportunity for </w:t>
            </w:r>
            <w:r w:rsidR="00096606">
              <w:rPr>
                <w:color w:val="auto"/>
              </w:rPr>
              <w:t>the Commonwealth</w:t>
            </w:r>
            <w:r w:rsidRPr="001756EC">
              <w:rPr>
                <w:color w:val="auto"/>
              </w:rPr>
              <w:t xml:space="preserve"> to contribute to developing communications</w:t>
            </w:r>
            <w:r w:rsidR="00F762B1">
              <w:rPr>
                <w:color w:val="auto"/>
              </w:rPr>
              <w:t xml:space="preserve"> products and</w:t>
            </w:r>
            <w:r w:rsidRPr="001756EC">
              <w:rPr>
                <w:color w:val="auto"/>
              </w:rPr>
              <w:t xml:space="preserve"> strategies for the project; and</w:t>
            </w:r>
          </w:p>
          <w:p w14:paraId="1FB94769" w14:textId="4C349DD4" w:rsidR="00E35762" w:rsidRPr="001756EC" w:rsidRDefault="00E35762" w:rsidP="00E35762">
            <w:pPr>
              <w:pStyle w:val="Tableformat"/>
              <w:numPr>
                <w:ilvl w:val="0"/>
                <w:numId w:val="3"/>
              </w:numPr>
              <w:rPr>
                <w:color w:val="auto"/>
              </w:rPr>
            </w:pPr>
            <w:r w:rsidRPr="001756EC">
              <w:rPr>
                <w:color w:val="auto"/>
              </w:rPr>
              <w:t xml:space="preserve">Provide </w:t>
            </w:r>
            <w:r w:rsidR="00096606">
              <w:rPr>
                <w:color w:val="auto"/>
              </w:rPr>
              <w:t xml:space="preserve">the Commonwealth with </w:t>
            </w:r>
            <w:r w:rsidRPr="001756EC">
              <w:rPr>
                <w:color w:val="auto"/>
              </w:rPr>
              <w:t xml:space="preserve">equal access to products that they obtain for use in the development of promotional material for the project, including but not limited to project data, footage and images. </w:t>
            </w:r>
          </w:p>
          <w:p w14:paraId="087478BC" w14:textId="23E98391" w:rsidR="00474C5E" w:rsidRPr="001756EC" w:rsidRDefault="003E3844" w:rsidP="00474C5E">
            <w:pPr>
              <w:pStyle w:val="Tableformat"/>
              <w:rPr>
                <w:b/>
                <w:color w:val="auto"/>
              </w:rPr>
            </w:pPr>
            <w:r>
              <w:rPr>
                <w:b/>
                <w:color w:val="auto"/>
              </w:rPr>
              <w:t>Communication and m</w:t>
            </w:r>
            <w:r w:rsidR="00474C5E" w:rsidRPr="001756EC">
              <w:rPr>
                <w:b/>
                <w:color w:val="auto"/>
              </w:rPr>
              <w:t>eetings</w:t>
            </w:r>
          </w:p>
          <w:p w14:paraId="09CF281D" w14:textId="77777777" w:rsidR="00F762B1" w:rsidRPr="00F762B1" w:rsidRDefault="00F762B1" w:rsidP="00F762B1">
            <w:pPr>
              <w:pStyle w:val="Tableformat"/>
              <w:rPr>
                <w:color w:val="auto"/>
              </w:rPr>
            </w:pPr>
            <w:r w:rsidRPr="00F762B1">
              <w:rPr>
                <w:color w:val="auto"/>
              </w:rPr>
              <w:t xml:space="preserve">The Parties will participate in regular project oversight meetings, with the attendance requirements, agenda and frequency to be agreed by officials.  </w:t>
            </w:r>
          </w:p>
          <w:p w14:paraId="7214F7D5" w14:textId="77777777" w:rsidR="00F762B1" w:rsidRDefault="00F762B1" w:rsidP="00F762B1">
            <w:pPr>
              <w:pStyle w:val="Tableformat"/>
              <w:rPr>
                <w:color w:val="auto"/>
              </w:rPr>
            </w:pPr>
            <w:r w:rsidRPr="00F762B1">
              <w:rPr>
                <w:color w:val="auto"/>
              </w:rPr>
              <w:t>The State will liaise with the Council where required, to assist the Commonwealth with performing its roles and responsibilities. The State will provide relevant information on the status and progress of the Fund to the Commonwealth (in accordance with the performance milestones in Table 2, the Change notification requirements below, and occasionally on request with reasonable notice).</w:t>
            </w:r>
          </w:p>
          <w:p w14:paraId="214051B9" w14:textId="77777777" w:rsidR="00F762B1" w:rsidRDefault="00F762B1" w:rsidP="00F762B1">
            <w:pPr>
              <w:pStyle w:val="Tableformat"/>
              <w:rPr>
                <w:b/>
                <w:color w:val="auto"/>
              </w:rPr>
            </w:pPr>
            <w:r>
              <w:rPr>
                <w:b/>
                <w:color w:val="auto"/>
              </w:rPr>
              <w:t>Change</w:t>
            </w:r>
            <w:r w:rsidRPr="0098158F">
              <w:rPr>
                <w:b/>
                <w:color w:val="auto"/>
              </w:rPr>
              <w:t xml:space="preserve"> notification requirements</w:t>
            </w:r>
          </w:p>
          <w:p w14:paraId="47ED7BA9" w14:textId="77777777" w:rsidR="00F762B1" w:rsidRPr="00F762B1" w:rsidRDefault="00F762B1" w:rsidP="00F762B1">
            <w:pPr>
              <w:pStyle w:val="Tableformat"/>
              <w:rPr>
                <w:color w:val="auto"/>
              </w:rPr>
            </w:pPr>
            <w:r w:rsidRPr="00F762B1">
              <w:rPr>
                <w:color w:val="auto"/>
              </w:rPr>
              <w:t xml:space="preserve">While this Schedule is in effect, the State is required to notify the Commonwealth whenever there are changes to the operation of the Fund or changes and issues that may impact the Fund’s ability to achieve the </w:t>
            </w:r>
            <w:r w:rsidRPr="00F762B1">
              <w:rPr>
                <w:b/>
                <w:color w:val="auto"/>
              </w:rPr>
              <w:t>Purpose</w:t>
            </w:r>
            <w:r w:rsidRPr="00F762B1">
              <w:rPr>
                <w:color w:val="auto"/>
              </w:rPr>
              <w:t xml:space="preserve"> agreed in this Schedule. Key changes to the operation may include changes to external service provider contracts, program guidelines, </w:t>
            </w:r>
            <w:bookmarkStart w:id="3" w:name="_Hlk221524766"/>
            <w:r w:rsidRPr="00F762B1">
              <w:rPr>
                <w:color w:val="auto"/>
              </w:rPr>
              <w:t>the Council’s internal procedure for managing the Fund</w:t>
            </w:r>
            <w:bookmarkEnd w:id="3"/>
            <w:r w:rsidRPr="00F762B1">
              <w:rPr>
                <w:color w:val="auto"/>
              </w:rPr>
              <w:t>, deed template, or key Fund parameters (such as the capped rates or defined town centre locations).</w:t>
            </w:r>
          </w:p>
          <w:p w14:paraId="7CADECCB" w14:textId="77777777" w:rsidR="00F762B1" w:rsidRPr="00F762B1" w:rsidRDefault="00F762B1" w:rsidP="00F762B1">
            <w:pPr>
              <w:pStyle w:val="Tableformat"/>
              <w:rPr>
                <w:color w:val="auto"/>
              </w:rPr>
            </w:pPr>
            <w:r w:rsidRPr="00F762B1">
              <w:rPr>
                <w:color w:val="auto"/>
              </w:rPr>
              <w:t>This requirement is in addition to the performance milestone requirements in Table 2.</w:t>
            </w:r>
          </w:p>
          <w:p w14:paraId="281A9362" w14:textId="77C91AAC" w:rsidR="003E3844" w:rsidRDefault="003E3844" w:rsidP="00F762B1">
            <w:pPr>
              <w:pStyle w:val="Tableformat"/>
              <w:rPr>
                <w:b/>
                <w:color w:val="auto"/>
              </w:rPr>
            </w:pPr>
            <w:r w:rsidRPr="003E3844">
              <w:rPr>
                <w:b/>
                <w:color w:val="auto"/>
              </w:rPr>
              <w:t>Annual Fund Reports</w:t>
            </w:r>
          </w:p>
          <w:p w14:paraId="734F023C" w14:textId="2E789A44" w:rsidR="00F762B1" w:rsidRPr="00F762B1" w:rsidRDefault="00F762B1" w:rsidP="00F762B1">
            <w:pPr>
              <w:spacing w:after="120"/>
              <w:rPr>
                <w:rFonts w:ascii="Corbel" w:eastAsia="Times New Roman" w:hAnsi="Corbel" w:cs="Segoe UI"/>
                <w:iCs/>
                <w:sz w:val="26"/>
                <w:szCs w:val="26"/>
                <w:lang w:eastAsia="en-AU"/>
              </w:rPr>
            </w:pPr>
            <w:r w:rsidRPr="00F762B1">
              <w:rPr>
                <w:rFonts w:ascii="Corbel" w:eastAsia="Times New Roman" w:hAnsi="Corbel" w:cs="Arial"/>
                <w:iCs/>
                <w:sz w:val="26"/>
                <w:szCs w:val="26"/>
                <w:lang w:eastAsia="en-AU"/>
              </w:rPr>
              <w:t xml:space="preserve">The performance milestones include Annual Fund Reports, which must be submitted to the Commonwealth in accordance with the performance milestones at </w:t>
            </w:r>
            <w:r w:rsidR="00F065EC">
              <w:rPr>
                <w:rFonts w:ascii="Corbel" w:eastAsia="Times New Roman" w:hAnsi="Corbel" w:cs="Arial"/>
                <w:iCs/>
                <w:sz w:val="26"/>
                <w:szCs w:val="26"/>
                <w:lang w:eastAsia="en-AU"/>
              </w:rPr>
              <w:t>T</w:t>
            </w:r>
            <w:r w:rsidRPr="00F762B1">
              <w:rPr>
                <w:rFonts w:ascii="Corbel" w:eastAsia="Times New Roman" w:hAnsi="Corbel" w:cs="Arial"/>
                <w:iCs/>
                <w:sz w:val="26"/>
                <w:szCs w:val="26"/>
                <w:lang w:eastAsia="en-AU"/>
              </w:rPr>
              <w:t>able 2, and will include, at a minimum:</w:t>
            </w:r>
          </w:p>
          <w:p w14:paraId="40DA2969" w14:textId="77777777" w:rsidR="007E5110" w:rsidRPr="00F762B1" w:rsidRDefault="007E5110" w:rsidP="007E5110">
            <w:pPr>
              <w:pStyle w:val="ListParagraph"/>
              <w:numPr>
                <w:ilvl w:val="0"/>
                <w:numId w:val="5"/>
              </w:numPr>
              <w:rPr>
                <w:rFonts w:ascii="Corbel" w:eastAsia="Times New Roman" w:hAnsi="Corbel" w:cs="Segoe UI"/>
                <w:iCs/>
                <w:sz w:val="26"/>
                <w:szCs w:val="26"/>
                <w:lang w:eastAsia="en-AU"/>
              </w:rPr>
            </w:pPr>
            <w:r w:rsidRPr="00F762B1">
              <w:rPr>
                <w:rFonts w:ascii="Corbel" w:eastAsia="Times New Roman" w:hAnsi="Corbel" w:cs="Segoe UI"/>
                <w:iCs/>
                <w:sz w:val="26"/>
                <w:szCs w:val="26"/>
                <w:lang w:eastAsia="en-AU"/>
              </w:rPr>
              <w:t xml:space="preserve">Evidence of the Fund’s role in enabling developer confidence and </w:t>
            </w:r>
            <w:r w:rsidRPr="00F762B1">
              <w:rPr>
                <w:rFonts w:ascii="Corbel" w:eastAsia="Times New Roman" w:hAnsi="Corbel" w:cs="Segoe UI"/>
                <w:iCs/>
                <w:sz w:val="26"/>
                <w:szCs w:val="26"/>
                <w:lang w:eastAsia="en-AU"/>
              </w:rPr>
              <w:lastRenderedPageBreak/>
              <w:t>supporting informed investment decisions, which may include, but is not limited to:</w:t>
            </w:r>
          </w:p>
          <w:p w14:paraId="0C738A33" w14:textId="77777777" w:rsidR="007E5110" w:rsidRPr="00F762B1" w:rsidRDefault="007E5110" w:rsidP="007E5110">
            <w:pPr>
              <w:pStyle w:val="Milestonetable"/>
              <w:numPr>
                <w:ilvl w:val="1"/>
                <w:numId w:val="5"/>
              </w:numPr>
              <w:rPr>
                <w:rFonts w:cs="Segoe UI"/>
                <w:color w:val="auto"/>
                <w:sz w:val="26"/>
                <w:szCs w:val="26"/>
              </w:rPr>
            </w:pPr>
            <w:r w:rsidRPr="00F762B1">
              <w:rPr>
                <w:rFonts w:cs="Segoe UI"/>
                <w:color w:val="auto"/>
                <w:sz w:val="26"/>
                <w:szCs w:val="26"/>
              </w:rPr>
              <w:t>Industry surveys</w:t>
            </w:r>
          </w:p>
          <w:p w14:paraId="47896CF7" w14:textId="2EF87469" w:rsidR="007E5110" w:rsidRPr="00F762B1" w:rsidRDefault="007E5110" w:rsidP="007E5110">
            <w:pPr>
              <w:pStyle w:val="Milestonetable"/>
              <w:numPr>
                <w:ilvl w:val="1"/>
                <w:numId w:val="5"/>
              </w:numPr>
              <w:rPr>
                <w:rFonts w:cs="Segoe UI"/>
                <w:color w:val="auto"/>
                <w:sz w:val="26"/>
                <w:szCs w:val="26"/>
              </w:rPr>
            </w:pPr>
            <w:r w:rsidRPr="00F762B1">
              <w:rPr>
                <w:rFonts w:cs="Segoe UI"/>
                <w:color w:val="auto"/>
                <w:sz w:val="26"/>
                <w:szCs w:val="26"/>
              </w:rPr>
              <w:t xml:space="preserve">Evidence of development activity in eligible areas where the </w:t>
            </w:r>
            <w:r w:rsidR="00815021">
              <w:rPr>
                <w:rFonts w:cs="Segoe UI"/>
                <w:color w:val="auto"/>
                <w:sz w:val="26"/>
                <w:szCs w:val="26"/>
              </w:rPr>
              <w:t>F</w:t>
            </w:r>
            <w:r w:rsidRPr="00F762B1">
              <w:rPr>
                <w:rFonts w:cs="Segoe UI"/>
                <w:color w:val="auto"/>
                <w:sz w:val="26"/>
                <w:szCs w:val="26"/>
              </w:rPr>
              <w:t>und has been cited as a contributing factor to investment decisions.</w:t>
            </w:r>
          </w:p>
          <w:p w14:paraId="78D08ED9" w14:textId="05AF3796" w:rsidR="00F762B1" w:rsidRPr="00F762B1" w:rsidRDefault="00F762B1" w:rsidP="00F762B1">
            <w:pPr>
              <w:pStyle w:val="ListParagraph"/>
              <w:numPr>
                <w:ilvl w:val="0"/>
                <w:numId w:val="5"/>
              </w:numPr>
              <w:rPr>
                <w:rFonts w:ascii="Corbel" w:eastAsia="Times New Roman" w:hAnsi="Corbel" w:cs="Segoe UI"/>
                <w:iCs/>
                <w:sz w:val="26"/>
                <w:szCs w:val="26"/>
                <w:lang w:eastAsia="en-AU"/>
              </w:rPr>
            </w:pPr>
            <w:r w:rsidRPr="00F762B1">
              <w:rPr>
                <w:rFonts w:ascii="Corbel" w:eastAsia="Times New Roman" w:hAnsi="Corbel" w:cs="Segoe UI"/>
                <w:iCs/>
                <w:sz w:val="26"/>
                <w:szCs w:val="26"/>
                <w:lang w:eastAsia="en-AU"/>
              </w:rPr>
              <w:t xml:space="preserve">The number of applications received, the number of applications approved, and the number of applicants that have </w:t>
            </w:r>
            <w:proofErr w:type="gramStart"/>
            <w:r w:rsidRPr="00F762B1">
              <w:rPr>
                <w:rFonts w:ascii="Corbel" w:eastAsia="Times New Roman" w:hAnsi="Corbel" w:cs="Segoe UI"/>
                <w:iCs/>
                <w:sz w:val="26"/>
                <w:szCs w:val="26"/>
                <w:lang w:eastAsia="en-AU"/>
              </w:rPr>
              <w:t>entered into</w:t>
            </w:r>
            <w:proofErr w:type="gramEnd"/>
            <w:r w:rsidRPr="00F762B1">
              <w:rPr>
                <w:rFonts w:ascii="Corbel" w:eastAsia="Times New Roman" w:hAnsi="Corbel" w:cs="Segoe UI"/>
                <w:iCs/>
                <w:sz w:val="26"/>
                <w:szCs w:val="26"/>
                <w:lang w:eastAsia="en-AU"/>
              </w:rPr>
              <w:t xml:space="preserve"> a Funding Deed, over the p</w:t>
            </w:r>
            <w:r w:rsidR="00F065EC">
              <w:rPr>
                <w:rFonts w:ascii="Corbel" w:eastAsia="Times New Roman" w:hAnsi="Corbel" w:cs="Segoe UI"/>
                <w:iCs/>
                <w:sz w:val="26"/>
                <w:szCs w:val="26"/>
                <w:lang w:eastAsia="en-AU"/>
              </w:rPr>
              <w:t>receding</w:t>
            </w:r>
            <w:r w:rsidRPr="00F762B1">
              <w:rPr>
                <w:rFonts w:ascii="Corbel" w:eastAsia="Times New Roman" w:hAnsi="Corbel" w:cs="Segoe UI"/>
                <w:iCs/>
                <w:sz w:val="26"/>
                <w:szCs w:val="26"/>
                <w:lang w:eastAsia="en-AU"/>
              </w:rPr>
              <w:t xml:space="preserve"> twelve months and cumulatively over the life of the </w:t>
            </w:r>
            <w:r w:rsidR="00E95A7F">
              <w:rPr>
                <w:rFonts w:ascii="Corbel" w:eastAsia="Times New Roman" w:hAnsi="Corbel" w:cs="Segoe UI"/>
                <w:iCs/>
                <w:sz w:val="26"/>
                <w:szCs w:val="26"/>
                <w:lang w:eastAsia="en-AU"/>
              </w:rPr>
              <w:t>F</w:t>
            </w:r>
            <w:r w:rsidRPr="00F762B1">
              <w:rPr>
                <w:rFonts w:ascii="Corbel" w:eastAsia="Times New Roman" w:hAnsi="Corbel" w:cs="Segoe UI"/>
                <w:iCs/>
                <w:sz w:val="26"/>
                <w:szCs w:val="26"/>
                <w:lang w:eastAsia="en-AU"/>
              </w:rPr>
              <w:t>und.</w:t>
            </w:r>
          </w:p>
          <w:p w14:paraId="1A0ACE69" w14:textId="5D9C0D59" w:rsidR="00F762B1" w:rsidRPr="00F762B1" w:rsidRDefault="00815021" w:rsidP="00F762B1">
            <w:pPr>
              <w:pStyle w:val="ListParagraph"/>
              <w:numPr>
                <w:ilvl w:val="0"/>
                <w:numId w:val="5"/>
              </w:numPr>
              <w:rPr>
                <w:rFonts w:ascii="Corbel" w:eastAsia="Times New Roman" w:hAnsi="Corbel" w:cs="Segoe UI"/>
                <w:iCs/>
                <w:sz w:val="26"/>
                <w:szCs w:val="26"/>
                <w:lang w:eastAsia="en-AU"/>
              </w:rPr>
            </w:pPr>
            <w:r>
              <w:rPr>
                <w:rFonts w:ascii="Corbel" w:eastAsia="Times New Roman" w:hAnsi="Corbel" w:cs="Segoe UI"/>
                <w:iCs/>
                <w:sz w:val="26"/>
                <w:szCs w:val="26"/>
                <w:lang w:eastAsia="en-AU"/>
              </w:rPr>
              <w:t>An annual income and expenditure statement for the relevant financial year (ending 30 June), including yearly and cumulative totals over the life of the Fund, of:</w:t>
            </w:r>
          </w:p>
          <w:p w14:paraId="7FBA6962" w14:textId="46B8FC5A" w:rsidR="00F762B1" w:rsidRPr="00F762B1" w:rsidRDefault="00F762B1" w:rsidP="00F762B1">
            <w:pPr>
              <w:pStyle w:val="Milestonetable"/>
              <w:numPr>
                <w:ilvl w:val="1"/>
                <w:numId w:val="5"/>
              </w:numPr>
              <w:rPr>
                <w:rFonts w:cs="Segoe UI"/>
                <w:color w:val="auto"/>
                <w:sz w:val="26"/>
                <w:szCs w:val="26"/>
              </w:rPr>
            </w:pPr>
            <w:r w:rsidRPr="00F762B1">
              <w:rPr>
                <w:rFonts w:cs="Segoe UI"/>
                <w:color w:val="auto"/>
                <w:sz w:val="26"/>
                <w:szCs w:val="26"/>
              </w:rPr>
              <w:t>Interest</w:t>
            </w:r>
            <w:r w:rsidR="00E95A7F">
              <w:rPr>
                <w:rFonts w:cs="Segoe UI"/>
                <w:color w:val="auto"/>
                <w:sz w:val="26"/>
                <w:szCs w:val="26"/>
              </w:rPr>
              <w:t xml:space="preserve"> revenue applied to</w:t>
            </w:r>
            <w:r w:rsidRPr="00F762B1">
              <w:rPr>
                <w:rFonts w:cs="Segoe UI"/>
                <w:color w:val="auto"/>
                <w:sz w:val="26"/>
                <w:szCs w:val="26"/>
              </w:rPr>
              <w:t xml:space="preserve"> the Fund</w:t>
            </w:r>
          </w:p>
          <w:p w14:paraId="2D69E1D8" w14:textId="77777777" w:rsidR="00F762B1" w:rsidRPr="00F762B1" w:rsidRDefault="00F762B1" w:rsidP="00F762B1">
            <w:pPr>
              <w:pStyle w:val="Milestonetable"/>
              <w:numPr>
                <w:ilvl w:val="1"/>
                <w:numId w:val="5"/>
              </w:numPr>
              <w:rPr>
                <w:rFonts w:cs="Segoe UI"/>
                <w:color w:val="auto"/>
                <w:sz w:val="26"/>
                <w:szCs w:val="26"/>
              </w:rPr>
            </w:pPr>
            <w:r w:rsidRPr="00F762B1">
              <w:rPr>
                <w:rFonts w:cs="Segoe UI"/>
                <w:color w:val="auto"/>
                <w:sz w:val="26"/>
                <w:szCs w:val="26"/>
              </w:rPr>
              <w:t xml:space="preserve">Payments made to any external service providers engaged to support the operation of the Fund </w:t>
            </w:r>
          </w:p>
          <w:p w14:paraId="5209DE14" w14:textId="77777777" w:rsidR="00F762B1" w:rsidRPr="00F762B1" w:rsidRDefault="00F762B1" w:rsidP="00F762B1">
            <w:pPr>
              <w:pStyle w:val="Milestonetable"/>
              <w:numPr>
                <w:ilvl w:val="1"/>
                <w:numId w:val="5"/>
              </w:numPr>
              <w:rPr>
                <w:rFonts w:cs="Segoe UI"/>
                <w:color w:val="auto"/>
                <w:sz w:val="26"/>
                <w:szCs w:val="26"/>
              </w:rPr>
            </w:pPr>
            <w:r w:rsidRPr="00F762B1">
              <w:rPr>
                <w:rFonts w:cs="Segoe UI"/>
                <w:color w:val="auto"/>
                <w:sz w:val="26"/>
                <w:szCs w:val="26"/>
              </w:rPr>
              <w:t>Other administration costs incurred by the Council and costed to the Fund, supported by evidence such as timesheets or general ledger records.</w:t>
            </w:r>
          </w:p>
          <w:p w14:paraId="5F999176" w14:textId="77777777" w:rsidR="00F762B1" w:rsidRPr="00F762B1" w:rsidRDefault="00F762B1" w:rsidP="00F762B1">
            <w:pPr>
              <w:pStyle w:val="Milestonetable"/>
              <w:numPr>
                <w:ilvl w:val="1"/>
                <w:numId w:val="5"/>
              </w:numPr>
              <w:rPr>
                <w:rFonts w:cs="Segoe UI"/>
                <w:color w:val="auto"/>
                <w:sz w:val="26"/>
                <w:szCs w:val="26"/>
              </w:rPr>
            </w:pPr>
            <w:r w:rsidRPr="00F762B1">
              <w:rPr>
                <w:rFonts w:cs="Segoe UI"/>
                <w:color w:val="auto"/>
                <w:sz w:val="26"/>
                <w:szCs w:val="26"/>
              </w:rPr>
              <w:t>Any financial assistance payments made to applicants, including details of the applicant and the development receiving the payment.</w:t>
            </w:r>
          </w:p>
          <w:p w14:paraId="216E40CC" w14:textId="41B5ED8D" w:rsidR="00F762B1" w:rsidRPr="00F762B1" w:rsidRDefault="00F762B1" w:rsidP="00F762B1">
            <w:pPr>
              <w:pStyle w:val="Milestonetable"/>
              <w:numPr>
                <w:ilvl w:val="1"/>
                <w:numId w:val="5"/>
              </w:numPr>
              <w:rPr>
                <w:rFonts w:cs="Segoe UI"/>
                <w:color w:val="auto"/>
                <w:sz w:val="26"/>
                <w:szCs w:val="26"/>
              </w:rPr>
            </w:pPr>
            <w:r w:rsidRPr="00F762B1">
              <w:rPr>
                <w:rFonts w:cs="Segoe UI"/>
                <w:color w:val="auto"/>
                <w:sz w:val="26"/>
                <w:szCs w:val="26"/>
              </w:rPr>
              <w:t xml:space="preserve">The current </w:t>
            </w:r>
            <w:r w:rsidR="00815021">
              <w:rPr>
                <w:rFonts w:cs="Segoe UI"/>
                <w:color w:val="auto"/>
                <w:sz w:val="26"/>
                <w:szCs w:val="26"/>
              </w:rPr>
              <w:t>F</w:t>
            </w:r>
            <w:r w:rsidRPr="00F762B1">
              <w:rPr>
                <w:rFonts w:cs="Segoe UI"/>
                <w:color w:val="auto"/>
                <w:sz w:val="26"/>
                <w:szCs w:val="26"/>
              </w:rPr>
              <w:t>und balance.</w:t>
            </w:r>
          </w:p>
          <w:p w14:paraId="66E18B83" w14:textId="77777777" w:rsidR="00F762B1" w:rsidRPr="00F762B1" w:rsidRDefault="00F762B1" w:rsidP="00F762B1">
            <w:pPr>
              <w:pStyle w:val="ListParagraph"/>
              <w:numPr>
                <w:ilvl w:val="0"/>
                <w:numId w:val="5"/>
              </w:numPr>
              <w:rPr>
                <w:rFonts w:ascii="Corbel" w:eastAsia="Times New Roman" w:hAnsi="Corbel" w:cs="Segoe UI"/>
                <w:iCs/>
                <w:sz w:val="26"/>
                <w:szCs w:val="26"/>
                <w:lang w:eastAsia="en-AU"/>
              </w:rPr>
            </w:pPr>
            <w:r w:rsidRPr="00F762B1">
              <w:rPr>
                <w:rFonts w:ascii="Corbel" w:eastAsia="Times New Roman" w:hAnsi="Corbel" w:cs="Segoe UI"/>
                <w:iCs/>
                <w:sz w:val="26"/>
                <w:szCs w:val="26"/>
                <w:lang w:eastAsia="en-AU"/>
              </w:rPr>
              <w:t>Number of enquiries made to the Council regarding the Fund, and any relevant feedback received from industry or stakeholders regarding the operation of the Fund</w:t>
            </w:r>
          </w:p>
          <w:p w14:paraId="08A0DFA8" w14:textId="77777777" w:rsidR="00F762B1" w:rsidRPr="00F762B1" w:rsidRDefault="00F762B1" w:rsidP="00F762B1">
            <w:pPr>
              <w:pStyle w:val="Milestonetable"/>
              <w:numPr>
                <w:ilvl w:val="0"/>
                <w:numId w:val="5"/>
              </w:numPr>
              <w:rPr>
                <w:rFonts w:cs="Segoe UI"/>
                <w:color w:val="auto"/>
                <w:sz w:val="26"/>
                <w:szCs w:val="26"/>
              </w:rPr>
            </w:pPr>
            <w:r w:rsidRPr="00F762B1">
              <w:rPr>
                <w:rFonts w:cs="Segoe UI"/>
                <w:color w:val="auto"/>
                <w:sz w:val="26"/>
                <w:szCs w:val="26"/>
              </w:rPr>
              <w:t>A summary of key media and communications activities over the preceding twelve months, including media releases and stakeholder or community engagement activities.</w:t>
            </w:r>
          </w:p>
          <w:p w14:paraId="1EB0F558" w14:textId="2DF436E8" w:rsidR="00F762B1" w:rsidRPr="00F762B1" w:rsidRDefault="00F762B1" w:rsidP="00F762B1">
            <w:pPr>
              <w:pStyle w:val="Milestonetable"/>
              <w:numPr>
                <w:ilvl w:val="0"/>
                <w:numId w:val="5"/>
              </w:numPr>
              <w:rPr>
                <w:rFonts w:cs="Segoe UI"/>
                <w:color w:val="auto"/>
                <w:sz w:val="26"/>
                <w:szCs w:val="26"/>
              </w:rPr>
            </w:pPr>
            <w:r w:rsidRPr="00F762B1">
              <w:rPr>
                <w:rFonts w:cs="Segoe UI"/>
                <w:color w:val="auto"/>
                <w:sz w:val="26"/>
                <w:szCs w:val="26"/>
              </w:rPr>
              <w:t>Details of any reviews or evaluation of the Fund and any updates to the Fund operation or governance, including contracting, varying</w:t>
            </w:r>
            <w:r w:rsidR="00F065EC">
              <w:rPr>
                <w:rFonts w:cs="Segoe UI"/>
                <w:color w:val="auto"/>
                <w:sz w:val="26"/>
                <w:szCs w:val="26"/>
              </w:rPr>
              <w:t>,</w:t>
            </w:r>
            <w:r w:rsidRPr="00F762B1">
              <w:rPr>
                <w:rFonts w:cs="Segoe UI"/>
                <w:color w:val="auto"/>
                <w:sz w:val="26"/>
                <w:szCs w:val="26"/>
              </w:rPr>
              <w:t xml:space="preserve"> renewing or re-tendering any external service provider contracts, and any updates to the program guideline, internal procedures, deed template, or key </w:t>
            </w:r>
            <w:r w:rsidR="00815021">
              <w:rPr>
                <w:rFonts w:cs="Segoe UI"/>
                <w:color w:val="auto"/>
                <w:sz w:val="26"/>
                <w:szCs w:val="26"/>
              </w:rPr>
              <w:t>F</w:t>
            </w:r>
            <w:r w:rsidRPr="00F762B1">
              <w:rPr>
                <w:rFonts w:cs="Segoe UI"/>
                <w:color w:val="auto"/>
                <w:sz w:val="26"/>
                <w:szCs w:val="26"/>
              </w:rPr>
              <w:t>und parameters (such as the capped rates or defined town centre locations).</w:t>
            </w:r>
          </w:p>
          <w:p w14:paraId="05C0E51F" w14:textId="77777777" w:rsidR="00F762B1" w:rsidRPr="00F762B1" w:rsidRDefault="00F762B1" w:rsidP="00F762B1">
            <w:pPr>
              <w:pStyle w:val="Milestonetable"/>
              <w:numPr>
                <w:ilvl w:val="0"/>
                <w:numId w:val="5"/>
              </w:numPr>
              <w:rPr>
                <w:rFonts w:cs="Segoe UI"/>
                <w:color w:val="auto"/>
                <w:sz w:val="26"/>
                <w:szCs w:val="26"/>
              </w:rPr>
            </w:pPr>
            <w:r w:rsidRPr="00F762B1">
              <w:rPr>
                <w:rFonts w:cs="Segoe UI"/>
                <w:color w:val="auto"/>
                <w:sz w:val="26"/>
                <w:szCs w:val="26"/>
              </w:rPr>
              <w:t xml:space="preserve">A current risk register, highlighting any new or realised risks or issues and mitigation measures that are being enacted in response. </w:t>
            </w:r>
          </w:p>
          <w:p w14:paraId="614F78FA" w14:textId="542299EC" w:rsidR="00412653" w:rsidRDefault="00412653" w:rsidP="002A43A2">
            <w:pPr>
              <w:pStyle w:val="Tableformat"/>
              <w:rPr>
                <w:b/>
                <w:color w:val="auto"/>
              </w:rPr>
            </w:pPr>
            <w:r w:rsidRPr="00412653">
              <w:rPr>
                <w:b/>
                <w:color w:val="auto"/>
              </w:rPr>
              <w:t>Fund Review Report and Schedule re-negotiation</w:t>
            </w:r>
          </w:p>
          <w:p w14:paraId="07F46E3B" w14:textId="28002A51" w:rsidR="00F762B1" w:rsidRPr="00F762B1" w:rsidRDefault="00F762B1" w:rsidP="00F762B1">
            <w:pPr>
              <w:pStyle w:val="Tableformat"/>
              <w:rPr>
                <w:color w:val="auto"/>
              </w:rPr>
            </w:pPr>
            <w:r w:rsidRPr="00F762B1">
              <w:rPr>
                <w:color w:val="auto"/>
              </w:rPr>
              <w:t xml:space="preserve">Submission of a Fund Review Report to the Commonwealth is required at </w:t>
            </w:r>
            <w:r w:rsidR="00163FE7">
              <w:rPr>
                <w:color w:val="auto"/>
              </w:rPr>
              <w:t>Milestone 6 and again at Milestone 10,</w:t>
            </w:r>
            <w:r w:rsidRPr="00F762B1">
              <w:rPr>
                <w:color w:val="auto"/>
              </w:rPr>
              <w:t xml:space="preserve"> in accordance with the performance milestones at Table 2.</w:t>
            </w:r>
          </w:p>
          <w:p w14:paraId="138C4681" w14:textId="632066FD" w:rsidR="00F762B1" w:rsidRDefault="00F762B1" w:rsidP="00F762B1">
            <w:pPr>
              <w:pStyle w:val="Tableformat"/>
              <w:rPr>
                <w:color w:val="auto"/>
              </w:rPr>
            </w:pPr>
            <w:r w:rsidRPr="00F762B1">
              <w:rPr>
                <w:color w:val="auto"/>
              </w:rPr>
              <w:lastRenderedPageBreak/>
              <w:t xml:space="preserve">The Fund Review Report will include a summary of the Fund’s progress and outcomes to date. At </w:t>
            </w:r>
            <w:r w:rsidR="00163FE7">
              <w:rPr>
                <w:color w:val="auto"/>
              </w:rPr>
              <w:t>Milestone 10</w:t>
            </w:r>
            <w:r w:rsidRPr="00F762B1">
              <w:rPr>
                <w:color w:val="auto"/>
              </w:rPr>
              <w:t xml:space="preserve">, the Fund Review Report will provide the rationale to support negotiation of a new Schedule and continued operation of the Fund. This will allow the State and the Commonwealth, with the involvement of the Council, to commence negotiations for a new Schedule to be executed at the expiry of this Schedule. </w:t>
            </w:r>
          </w:p>
          <w:p w14:paraId="1CF57850" w14:textId="6A09C30A" w:rsidR="00412653" w:rsidRDefault="00412653" w:rsidP="00F762B1">
            <w:pPr>
              <w:pStyle w:val="Tableformat"/>
              <w:rPr>
                <w:color w:val="auto"/>
              </w:rPr>
            </w:pPr>
            <w:r w:rsidRPr="00412653">
              <w:rPr>
                <w:color w:val="auto"/>
              </w:rPr>
              <w:t>In particular, the Fund Review Report will include, at a minimum:</w:t>
            </w:r>
          </w:p>
          <w:p w14:paraId="5D021B37" w14:textId="77777777" w:rsidR="00F762B1" w:rsidRPr="00F762B1" w:rsidRDefault="00F762B1" w:rsidP="00F762B1">
            <w:pPr>
              <w:pStyle w:val="Tableformat"/>
              <w:numPr>
                <w:ilvl w:val="0"/>
                <w:numId w:val="9"/>
              </w:numPr>
              <w:rPr>
                <w:color w:val="auto"/>
              </w:rPr>
            </w:pPr>
            <w:r w:rsidRPr="00F762B1">
              <w:rPr>
                <w:color w:val="auto"/>
              </w:rPr>
              <w:t>Overview of Fund activities to date</w:t>
            </w:r>
          </w:p>
          <w:p w14:paraId="34DAFCD9" w14:textId="77777777" w:rsidR="00F762B1" w:rsidRPr="00F762B1" w:rsidRDefault="00F762B1" w:rsidP="00F762B1">
            <w:pPr>
              <w:pStyle w:val="Tableformat"/>
              <w:numPr>
                <w:ilvl w:val="0"/>
                <w:numId w:val="9"/>
              </w:numPr>
              <w:rPr>
                <w:color w:val="auto"/>
              </w:rPr>
            </w:pPr>
            <w:r w:rsidRPr="00F762B1">
              <w:rPr>
                <w:color w:val="auto"/>
              </w:rPr>
              <w:t>Demonstration of the Fund’s impact to date on development in the LGA, and anticipated benefits of continuing the Fund</w:t>
            </w:r>
          </w:p>
          <w:p w14:paraId="5022F1F0" w14:textId="77777777" w:rsidR="00F762B1" w:rsidRPr="00F762B1" w:rsidRDefault="00F762B1" w:rsidP="00F762B1">
            <w:pPr>
              <w:pStyle w:val="Tableformat"/>
              <w:numPr>
                <w:ilvl w:val="0"/>
                <w:numId w:val="9"/>
              </w:numPr>
              <w:rPr>
                <w:color w:val="auto"/>
              </w:rPr>
            </w:pPr>
            <w:r w:rsidRPr="00F762B1">
              <w:rPr>
                <w:color w:val="auto"/>
              </w:rPr>
              <w:t xml:space="preserve">Demonstration of the Fund’s contributions and alignment to the Council’s plans or policies </w:t>
            </w:r>
          </w:p>
          <w:p w14:paraId="67A86D9C" w14:textId="77777777" w:rsidR="00F762B1" w:rsidRPr="00F762B1" w:rsidRDefault="00F762B1" w:rsidP="00F762B1">
            <w:pPr>
              <w:pStyle w:val="Tableformat"/>
              <w:numPr>
                <w:ilvl w:val="0"/>
                <w:numId w:val="9"/>
              </w:numPr>
              <w:rPr>
                <w:color w:val="auto"/>
              </w:rPr>
            </w:pPr>
            <w:r w:rsidRPr="00F762B1">
              <w:rPr>
                <w:color w:val="auto"/>
              </w:rPr>
              <w:t>Demonstration of the Fund’s contributions and alignment to State and Commonwealth plans or policies where applicable</w:t>
            </w:r>
          </w:p>
          <w:p w14:paraId="4381E951" w14:textId="77777777" w:rsidR="00F762B1" w:rsidRPr="00F762B1" w:rsidRDefault="00F762B1" w:rsidP="00F762B1">
            <w:pPr>
              <w:pStyle w:val="Tableformat"/>
              <w:numPr>
                <w:ilvl w:val="0"/>
                <w:numId w:val="9"/>
              </w:numPr>
              <w:rPr>
                <w:color w:val="auto"/>
              </w:rPr>
            </w:pPr>
            <w:r w:rsidRPr="00F762B1">
              <w:rPr>
                <w:color w:val="auto"/>
              </w:rPr>
              <w:t>Lessons learnt</w:t>
            </w:r>
          </w:p>
          <w:p w14:paraId="38837090" w14:textId="77777777" w:rsidR="00F762B1" w:rsidRPr="00F762B1" w:rsidRDefault="00F762B1" w:rsidP="00F762B1">
            <w:pPr>
              <w:pStyle w:val="Tableformat"/>
              <w:numPr>
                <w:ilvl w:val="0"/>
                <w:numId w:val="9"/>
              </w:numPr>
              <w:rPr>
                <w:color w:val="auto"/>
              </w:rPr>
            </w:pPr>
            <w:r w:rsidRPr="00F762B1">
              <w:rPr>
                <w:color w:val="auto"/>
              </w:rPr>
              <w:t>Overview and explanation of any proposed changes to the Fund operation or governance</w:t>
            </w:r>
          </w:p>
          <w:p w14:paraId="258213F7" w14:textId="52FA308A" w:rsidR="00F762B1" w:rsidRPr="00F762B1" w:rsidRDefault="00F762B1" w:rsidP="00F762B1">
            <w:pPr>
              <w:pStyle w:val="Tableformat"/>
              <w:numPr>
                <w:ilvl w:val="0"/>
                <w:numId w:val="9"/>
              </w:numPr>
              <w:rPr>
                <w:color w:val="auto"/>
              </w:rPr>
            </w:pPr>
            <w:r w:rsidRPr="00F762B1">
              <w:rPr>
                <w:color w:val="auto"/>
              </w:rPr>
              <w:t xml:space="preserve">Any updates to the financial assumptions underpinning the </w:t>
            </w:r>
            <w:r w:rsidR="00815021">
              <w:rPr>
                <w:color w:val="auto"/>
              </w:rPr>
              <w:t>F</w:t>
            </w:r>
            <w:r w:rsidRPr="00F762B1">
              <w:rPr>
                <w:color w:val="auto"/>
              </w:rPr>
              <w:t>und such as estimated annual administration costs, drawdown rates or projected benefits</w:t>
            </w:r>
          </w:p>
          <w:p w14:paraId="0A44A16F" w14:textId="77777777" w:rsidR="00F762B1" w:rsidRPr="00F762B1" w:rsidRDefault="00F762B1" w:rsidP="00F762B1">
            <w:pPr>
              <w:pStyle w:val="Tableformat"/>
              <w:numPr>
                <w:ilvl w:val="0"/>
                <w:numId w:val="9"/>
              </w:numPr>
              <w:rPr>
                <w:color w:val="auto"/>
              </w:rPr>
            </w:pPr>
            <w:r w:rsidRPr="00F762B1">
              <w:rPr>
                <w:color w:val="auto"/>
              </w:rPr>
              <w:t>Any identified disbenefits of the Fund including any potential negative impacts on the community or environment</w:t>
            </w:r>
          </w:p>
          <w:p w14:paraId="05F1C35E" w14:textId="77777777" w:rsidR="00F762B1" w:rsidRPr="00F762B1" w:rsidRDefault="00F762B1" w:rsidP="00F762B1">
            <w:pPr>
              <w:pStyle w:val="Tableformat"/>
              <w:numPr>
                <w:ilvl w:val="0"/>
                <w:numId w:val="9"/>
              </w:numPr>
              <w:rPr>
                <w:color w:val="auto"/>
              </w:rPr>
            </w:pPr>
            <w:r w:rsidRPr="00F762B1">
              <w:rPr>
                <w:color w:val="auto"/>
              </w:rPr>
              <w:t xml:space="preserve">Details of proposed further engagement with the public and stakeholders, including media activities </w:t>
            </w:r>
          </w:p>
          <w:p w14:paraId="11858E73" w14:textId="77777777" w:rsidR="00F762B1" w:rsidRDefault="00F762B1" w:rsidP="00F762B1">
            <w:pPr>
              <w:pStyle w:val="Tableformat"/>
              <w:rPr>
                <w:b/>
                <w:color w:val="auto"/>
              </w:rPr>
            </w:pPr>
            <w:r w:rsidRPr="00357B3B">
              <w:rPr>
                <w:b/>
                <w:color w:val="auto"/>
              </w:rPr>
              <w:t>Fund closure</w:t>
            </w:r>
            <w:r>
              <w:rPr>
                <w:b/>
                <w:color w:val="auto"/>
              </w:rPr>
              <w:t xml:space="preserve"> </w:t>
            </w:r>
          </w:p>
          <w:p w14:paraId="715A9B5F" w14:textId="575259F6" w:rsidR="00F762B1" w:rsidRPr="00F762B1" w:rsidRDefault="00F762B1" w:rsidP="00F762B1">
            <w:pPr>
              <w:pStyle w:val="Tableformat"/>
              <w:rPr>
                <w:color w:val="auto"/>
              </w:rPr>
            </w:pPr>
            <w:r w:rsidRPr="00F762B1">
              <w:rPr>
                <w:color w:val="auto"/>
              </w:rPr>
              <w:t>If, at any time, including after the expiry or termination of this Schedule, the Fund is closed, the Commonwealth</w:t>
            </w:r>
            <w:r w:rsidR="00123B92">
              <w:rPr>
                <w:color w:val="auto"/>
              </w:rPr>
              <w:t xml:space="preserve"> should</w:t>
            </w:r>
            <w:r w:rsidRPr="00F762B1">
              <w:rPr>
                <w:color w:val="auto"/>
              </w:rPr>
              <w:t xml:space="preserve"> be given prior notification and </w:t>
            </w:r>
            <w:r w:rsidR="00123B92">
              <w:rPr>
                <w:color w:val="auto"/>
              </w:rPr>
              <w:t xml:space="preserve">reserves the right to recover any </w:t>
            </w:r>
            <w:r w:rsidRPr="00F762B1">
              <w:rPr>
                <w:color w:val="auto"/>
              </w:rPr>
              <w:t>unused funding.</w:t>
            </w:r>
          </w:p>
          <w:p w14:paraId="0716D211" w14:textId="36D0B9A9" w:rsidR="00F762B1" w:rsidRDefault="00F762B1" w:rsidP="00F762B1">
            <w:pPr>
              <w:pStyle w:val="Tableformat"/>
              <w:rPr>
                <w:color w:val="auto"/>
              </w:rPr>
            </w:pPr>
            <w:r w:rsidRPr="00F762B1">
              <w:rPr>
                <w:color w:val="auto"/>
              </w:rPr>
              <w:t>The Commonwealth may also request closure of the Fund and the return of unused funding for the following reasons:</w:t>
            </w:r>
          </w:p>
          <w:p w14:paraId="48C58FC0" w14:textId="77777777" w:rsidR="00F762B1" w:rsidRPr="00F762B1" w:rsidRDefault="00F762B1" w:rsidP="00F762B1">
            <w:pPr>
              <w:pStyle w:val="Tableformat"/>
              <w:numPr>
                <w:ilvl w:val="0"/>
                <w:numId w:val="9"/>
              </w:numPr>
              <w:rPr>
                <w:color w:val="auto"/>
              </w:rPr>
            </w:pPr>
            <w:r w:rsidRPr="00F762B1">
              <w:rPr>
                <w:color w:val="auto"/>
              </w:rPr>
              <w:t xml:space="preserve">The Fund has achieved the agreed purpose (see </w:t>
            </w:r>
            <w:r w:rsidRPr="00F762B1">
              <w:rPr>
                <w:b/>
                <w:color w:val="auto"/>
              </w:rPr>
              <w:t>Purpose</w:t>
            </w:r>
            <w:r w:rsidRPr="00F762B1">
              <w:rPr>
                <w:color w:val="auto"/>
              </w:rPr>
              <w:t>) and is exhausted or no longer required</w:t>
            </w:r>
          </w:p>
          <w:p w14:paraId="5E288A59" w14:textId="77777777" w:rsidR="00F762B1" w:rsidRPr="00F762B1" w:rsidRDefault="00F762B1" w:rsidP="00F762B1">
            <w:pPr>
              <w:pStyle w:val="Tableformat"/>
              <w:numPr>
                <w:ilvl w:val="0"/>
                <w:numId w:val="9"/>
              </w:numPr>
              <w:rPr>
                <w:color w:val="auto"/>
              </w:rPr>
            </w:pPr>
            <w:r w:rsidRPr="00F762B1">
              <w:rPr>
                <w:color w:val="auto"/>
              </w:rPr>
              <w:t xml:space="preserve">The Fund is not achieving the agreed purpose (see </w:t>
            </w:r>
            <w:r w:rsidRPr="00F762B1">
              <w:rPr>
                <w:b/>
                <w:color w:val="auto"/>
              </w:rPr>
              <w:t>Purpose</w:t>
            </w:r>
            <w:r w:rsidRPr="00F762B1">
              <w:rPr>
                <w:color w:val="auto"/>
              </w:rPr>
              <w:t>)</w:t>
            </w:r>
          </w:p>
          <w:p w14:paraId="54505637" w14:textId="338A74B0" w:rsidR="00F762B1" w:rsidRDefault="00F762B1" w:rsidP="00F762B1">
            <w:pPr>
              <w:pStyle w:val="Tableformat"/>
              <w:numPr>
                <w:ilvl w:val="0"/>
                <w:numId w:val="9"/>
              </w:numPr>
              <w:rPr>
                <w:color w:val="auto"/>
              </w:rPr>
            </w:pPr>
            <w:r w:rsidRPr="00F762B1">
              <w:rPr>
                <w:color w:val="auto"/>
              </w:rPr>
              <w:t>The Commonwealth contributions are used in a way that is not in accordance with this Schedule, specifically:</w:t>
            </w:r>
          </w:p>
          <w:p w14:paraId="7A839225" w14:textId="11D1CE20" w:rsidR="00F762B1" w:rsidRPr="00F762B1" w:rsidRDefault="00F762B1" w:rsidP="00F762B1">
            <w:pPr>
              <w:pStyle w:val="Tableformat"/>
              <w:numPr>
                <w:ilvl w:val="1"/>
                <w:numId w:val="9"/>
              </w:numPr>
              <w:rPr>
                <w:color w:val="auto"/>
              </w:rPr>
            </w:pPr>
            <w:r w:rsidRPr="00F762B1">
              <w:rPr>
                <w:color w:val="auto"/>
              </w:rPr>
              <w:t>Funding or interest</w:t>
            </w:r>
            <w:r w:rsidR="00815021">
              <w:rPr>
                <w:color w:val="auto"/>
              </w:rPr>
              <w:t xml:space="preserve"> revenue</w:t>
            </w:r>
            <w:r w:rsidRPr="00F762B1">
              <w:rPr>
                <w:color w:val="auto"/>
              </w:rPr>
              <w:t xml:space="preserve"> is used for other purposes not agreed in this Schedule or otherwise agreed by the Parties</w:t>
            </w:r>
          </w:p>
          <w:p w14:paraId="61AB56E2" w14:textId="14C6C7D9" w:rsidR="00F762B1" w:rsidRPr="00F762B1" w:rsidRDefault="00F762B1" w:rsidP="00F762B1">
            <w:pPr>
              <w:pStyle w:val="Tableformat"/>
              <w:numPr>
                <w:ilvl w:val="1"/>
                <w:numId w:val="9"/>
              </w:numPr>
              <w:rPr>
                <w:color w:val="auto"/>
              </w:rPr>
            </w:pPr>
            <w:r w:rsidRPr="00F762B1">
              <w:rPr>
                <w:color w:val="auto"/>
              </w:rPr>
              <w:t>Failure to meet the requirements outlined in this Schedule</w:t>
            </w:r>
          </w:p>
          <w:p w14:paraId="31975581" w14:textId="77777777" w:rsidR="00A8064A" w:rsidRDefault="00A8064A" w:rsidP="00F762B1">
            <w:pPr>
              <w:pStyle w:val="Tableformat"/>
              <w:rPr>
                <w:b/>
                <w:bCs/>
                <w:color w:val="auto"/>
              </w:rPr>
            </w:pPr>
          </w:p>
          <w:p w14:paraId="5D36CEC2" w14:textId="613B0E10" w:rsidR="00F762B1" w:rsidRPr="00DB3F5B" w:rsidRDefault="00A50C3B" w:rsidP="00F762B1">
            <w:pPr>
              <w:pStyle w:val="Tableformat"/>
              <w:rPr>
                <w:b/>
                <w:bCs/>
                <w:color w:val="auto"/>
              </w:rPr>
            </w:pPr>
            <w:r>
              <w:rPr>
                <w:b/>
                <w:bCs/>
                <w:color w:val="auto"/>
              </w:rPr>
              <w:lastRenderedPageBreak/>
              <w:t>Repayment amounts to the Commonwealth</w:t>
            </w:r>
          </w:p>
          <w:p w14:paraId="3F9443CD" w14:textId="00620563" w:rsidR="00F762B1" w:rsidRPr="00F762B1" w:rsidRDefault="00F762B1" w:rsidP="00F762B1">
            <w:pPr>
              <w:pStyle w:val="Tableformat"/>
              <w:rPr>
                <w:color w:val="auto"/>
              </w:rPr>
            </w:pPr>
            <w:r w:rsidRPr="00F762B1">
              <w:rPr>
                <w:color w:val="auto"/>
              </w:rPr>
              <w:t>The</w:t>
            </w:r>
            <w:r w:rsidR="00A50C3B">
              <w:rPr>
                <w:color w:val="auto"/>
              </w:rPr>
              <w:t xml:space="preserve"> </w:t>
            </w:r>
            <w:r w:rsidR="00FD1EA1">
              <w:rPr>
                <w:color w:val="auto"/>
              </w:rPr>
              <w:t xml:space="preserve">total </w:t>
            </w:r>
            <w:r w:rsidRPr="00F762B1">
              <w:rPr>
                <w:color w:val="auto"/>
              </w:rPr>
              <w:t>amount</w:t>
            </w:r>
            <w:r w:rsidR="00FD1EA1">
              <w:rPr>
                <w:color w:val="auto"/>
              </w:rPr>
              <w:t xml:space="preserve"> repaid to</w:t>
            </w:r>
            <w:r w:rsidR="00A50C3B">
              <w:rPr>
                <w:color w:val="auto"/>
              </w:rPr>
              <w:t xml:space="preserve"> the Commonwealth</w:t>
            </w:r>
            <w:r w:rsidRPr="00F762B1">
              <w:rPr>
                <w:color w:val="auto"/>
              </w:rPr>
              <w:t xml:space="preserve"> shall notionally be the balance of the Fund at closure</w:t>
            </w:r>
            <w:r w:rsidR="00FD1EA1">
              <w:rPr>
                <w:color w:val="auto"/>
              </w:rPr>
              <w:t xml:space="preserve"> and will be agreed between the Parties. In determining the timing and amounts</w:t>
            </w:r>
            <w:r w:rsidRPr="00F762B1">
              <w:rPr>
                <w:color w:val="auto"/>
              </w:rPr>
              <w:t xml:space="preserve"> of repayments, the Parties</w:t>
            </w:r>
            <w:r w:rsidR="00FD1EA1">
              <w:rPr>
                <w:color w:val="auto"/>
              </w:rPr>
              <w:t xml:space="preserve"> will</w:t>
            </w:r>
            <w:r w:rsidRPr="00F762B1">
              <w:rPr>
                <w:color w:val="auto"/>
              </w:rPr>
              <w:t xml:space="preserve"> </w:t>
            </w:r>
            <w:proofErr w:type="gramStart"/>
            <w:r w:rsidRPr="00F762B1">
              <w:rPr>
                <w:color w:val="auto"/>
              </w:rPr>
              <w:t>mak</w:t>
            </w:r>
            <w:r w:rsidR="00FD1EA1">
              <w:rPr>
                <w:color w:val="auto"/>
              </w:rPr>
              <w:t>e</w:t>
            </w:r>
            <w:r w:rsidRPr="00F762B1">
              <w:rPr>
                <w:color w:val="auto"/>
              </w:rPr>
              <w:t xml:space="preserve"> due</w:t>
            </w:r>
            <w:proofErr w:type="gramEnd"/>
            <w:r w:rsidRPr="00F762B1">
              <w:rPr>
                <w:color w:val="auto"/>
              </w:rPr>
              <w:t xml:space="preserve"> provision for any contractual obligations, or outstanding financial commitments arising from executed funding deeds under the Fund.</w:t>
            </w:r>
          </w:p>
          <w:p w14:paraId="35F9E797" w14:textId="77777777" w:rsidR="00F762B1" w:rsidRPr="00F762B1" w:rsidRDefault="00F762B1" w:rsidP="00F762B1">
            <w:pPr>
              <w:pStyle w:val="Tableformat"/>
              <w:rPr>
                <w:color w:val="auto"/>
              </w:rPr>
            </w:pPr>
            <w:r w:rsidRPr="00F762B1">
              <w:rPr>
                <w:color w:val="auto"/>
              </w:rPr>
              <w:t>The Parties may agree to alternate uses of the remaining funding with agreement and approval from the Commonwealth.</w:t>
            </w:r>
          </w:p>
          <w:p w14:paraId="20D79E33" w14:textId="77777777" w:rsidR="00F762B1" w:rsidRDefault="00F762B1" w:rsidP="00412653">
            <w:pPr>
              <w:pStyle w:val="Tableformat"/>
              <w:rPr>
                <w:b/>
                <w:color w:val="auto"/>
              </w:rPr>
            </w:pPr>
            <w:r w:rsidRPr="00F762B1">
              <w:rPr>
                <w:b/>
                <w:color w:val="auto"/>
              </w:rPr>
              <w:t xml:space="preserve">Termination or expiry of this Schedule and acquittal of funds </w:t>
            </w:r>
          </w:p>
          <w:p w14:paraId="2B71061D" w14:textId="77777777" w:rsidR="00F762B1" w:rsidRPr="00F762B1" w:rsidRDefault="00F762B1" w:rsidP="00F762B1">
            <w:pPr>
              <w:pStyle w:val="Tableformat"/>
              <w:rPr>
                <w:color w:val="auto"/>
              </w:rPr>
            </w:pPr>
            <w:r w:rsidRPr="00F762B1">
              <w:rPr>
                <w:color w:val="auto"/>
              </w:rPr>
              <w:t>The following scenarios may result in termination or expiry of this Schedule:</w:t>
            </w:r>
          </w:p>
          <w:p w14:paraId="6427C85A" w14:textId="77777777" w:rsidR="00F762B1" w:rsidRPr="0088055C" w:rsidRDefault="00F762B1" w:rsidP="0088055C">
            <w:pPr>
              <w:pStyle w:val="Tableformat"/>
              <w:numPr>
                <w:ilvl w:val="0"/>
                <w:numId w:val="16"/>
              </w:numPr>
              <w:rPr>
                <w:color w:val="auto"/>
              </w:rPr>
            </w:pPr>
            <w:r w:rsidRPr="0088055C">
              <w:rPr>
                <w:color w:val="auto"/>
              </w:rPr>
              <w:t>The Fund is closed</w:t>
            </w:r>
          </w:p>
          <w:p w14:paraId="653E0294" w14:textId="77777777" w:rsidR="00F762B1" w:rsidRPr="0088055C" w:rsidRDefault="00F762B1" w:rsidP="0088055C">
            <w:pPr>
              <w:pStyle w:val="Tableformat"/>
              <w:numPr>
                <w:ilvl w:val="0"/>
                <w:numId w:val="16"/>
              </w:numPr>
              <w:rPr>
                <w:color w:val="auto"/>
              </w:rPr>
            </w:pPr>
            <w:r w:rsidRPr="0088055C">
              <w:rPr>
                <w:color w:val="auto"/>
              </w:rPr>
              <w:t>The Fund is not closed, but the Parties agree that continued oversight of the Fund is no longer required</w:t>
            </w:r>
          </w:p>
          <w:p w14:paraId="16F5D876" w14:textId="3C4A0C72" w:rsidR="00F762B1" w:rsidRPr="0088055C" w:rsidRDefault="00235ABD" w:rsidP="0088055C">
            <w:pPr>
              <w:pStyle w:val="Tableformat"/>
              <w:numPr>
                <w:ilvl w:val="0"/>
                <w:numId w:val="16"/>
              </w:numPr>
              <w:rPr>
                <w:color w:val="auto"/>
              </w:rPr>
            </w:pPr>
            <w:r>
              <w:rPr>
                <w:color w:val="auto"/>
              </w:rPr>
              <w:t>W</w:t>
            </w:r>
            <w:r w:rsidRPr="00235ABD">
              <w:rPr>
                <w:color w:val="auto"/>
              </w:rPr>
              <w:t xml:space="preserve">hen all project deliverables outlined in this Schedule have been completed </w:t>
            </w:r>
            <w:r>
              <w:rPr>
                <w:color w:val="auto"/>
              </w:rPr>
              <w:t>(anticipated to occur around</w:t>
            </w:r>
            <w:r w:rsidRPr="00235ABD">
              <w:rPr>
                <w:color w:val="auto"/>
              </w:rPr>
              <w:t xml:space="preserve"> </w:t>
            </w:r>
            <w:r w:rsidR="00F762B1" w:rsidRPr="0088055C">
              <w:rPr>
                <w:color w:val="auto"/>
              </w:rPr>
              <w:t>10 years from execution</w:t>
            </w:r>
            <w:r>
              <w:rPr>
                <w:color w:val="auto"/>
              </w:rPr>
              <w:t>) and</w:t>
            </w:r>
            <w:r w:rsidR="00F762B1" w:rsidRPr="0088055C">
              <w:rPr>
                <w:color w:val="auto"/>
              </w:rPr>
              <w:t xml:space="preserve"> this Schedule is replaced by a new Schedule, to be negotiated and agreed between the Parties</w:t>
            </w:r>
          </w:p>
          <w:p w14:paraId="01C3CD22" w14:textId="77777777" w:rsidR="0088055C" w:rsidRPr="0088055C" w:rsidRDefault="0088055C" w:rsidP="0088055C">
            <w:pPr>
              <w:pStyle w:val="Tableformat"/>
              <w:rPr>
                <w:color w:val="auto"/>
              </w:rPr>
            </w:pPr>
            <w:r w:rsidRPr="0088055C">
              <w:rPr>
                <w:color w:val="auto"/>
              </w:rPr>
              <w:t>If the Parties propose to terminate the Schedule or allow it to expire, they will notify the Council in writing.</w:t>
            </w:r>
          </w:p>
          <w:p w14:paraId="4FA15443" w14:textId="77777777" w:rsidR="0088055C" w:rsidRPr="0088055C" w:rsidRDefault="0088055C" w:rsidP="0088055C">
            <w:pPr>
              <w:pStyle w:val="Tableformat"/>
              <w:rPr>
                <w:color w:val="auto"/>
              </w:rPr>
            </w:pPr>
            <w:r w:rsidRPr="0088055C">
              <w:rPr>
                <w:color w:val="auto"/>
              </w:rPr>
              <w:t>In scenarios a) and b), termination or expiry will not be considered final until a Post-Completion Report is submitted to, and accepted by, the Commonwealth.</w:t>
            </w:r>
          </w:p>
          <w:p w14:paraId="7B2A700C" w14:textId="77777777" w:rsidR="0088055C" w:rsidRPr="0088055C" w:rsidRDefault="0088055C" w:rsidP="0088055C">
            <w:pPr>
              <w:pStyle w:val="Tableformat"/>
              <w:rPr>
                <w:color w:val="auto"/>
              </w:rPr>
            </w:pPr>
            <w:r w:rsidRPr="0088055C">
              <w:rPr>
                <w:color w:val="auto"/>
              </w:rPr>
              <w:t>The Post-Completion Report will be a short factual report acquitting final details of the use of Commonwealth funds under this Schedule. The Post-Completion Report will include, at a minimum:</w:t>
            </w:r>
          </w:p>
          <w:p w14:paraId="70F78A07" w14:textId="77777777" w:rsidR="0088055C" w:rsidRPr="0088055C" w:rsidRDefault="0088055C" w:rsidP="0088055C">
            <w:pPr>
              <w:pStyle w:val="Tableformat"/>
              <w:numPr>
                <w:ilvl w:val="0"/>
                <w:numId w:val="9"/>
              </w:numPr>
              <w:rPr>
                <w:color w:val="auto"/>
              </w:rPr>
            </w:pPr>
            <w:r w:rsidRPr="0088055C">
              <w:rPr>
                <w:color w:val="auto"/>
              </w:rPr>
              <w:t>Summary of the use of Commonwealth funding</w:t>
            </w:r>
          </w:p>
          <w:p w14:paraId="63772634" w14:textId="77777777" w:rsidR="0088055C" w:rsidRPr="0088055C" w:rsidRDefault="0088055C" w:rsidP="0088055C">
            <w:pPr>
              <w:pStyle w:val="Tableformat"/>
              <w:numPr>
                <w:ilvl w:val="0"/>
                <w:numId w:val="9"/>
              </w:numPr>
              <w:rPr>
                <w:color w:val="auto"/>
              </w:rPr>
            </w:pPr>
            <w:r w:rsidRPr="0088055C">
              <w:rPr>
                <w:color w:val="auto"/>
              </w:rPr>
              <w:t>Summary of key costs and expenditure in the establishment and operation of the Fund</w:t>
            </w:r>
          </w:p>
          <w:p w14:paraId="6D0175E0" w14:textId="77777777" w:rsidR="0088055C" w:rsidRPr="0088055C" w:rsidRDefault="0088055C" w:rsidP="0088055C">
            <w:pPr>
              <w:pStyle w:val="Tableformat"/>
              <w:numPr>
                <w:ilvl w:val="0"/>
                <w:numId w:val="9"/>
              </w:numPr>
              <w:rPr>
                <w:color w:val="auto"/>
              </w:rPr>
            </w:pPr>
            <w:r w:rsidRPr="0088055C">
              <w:rPr>
                <w:color w:val="auto"/>
              </w:rPr>
              <w:t>Details of any approved changes to the purpose and use of the funding (note changes must have obtained prior approval)</w:t>
            </w:r>
          </w:p>
          <w:p w14:paraId="6C13FC2C" w14:textId="77777777" w:rsidR="0088055C" w:rsidRPr="0088055C" w:rsidRDefault="0088055C" w:rsidP="0088055C">
            <w:pPr>
              <w:pStyle w:val="Tableformat"/>
              <w:numPr>
                <w:ilvl w:val="0"/>
                <w:numId w:val="9"/>
              </w:numPr>
              <w:rPr>
                <w:color w:val="auto"/>
              </w:rPr>
            </w:pPr>
            <w:r w:rsidRPr="0088055C">
              <w:rPr>
                <w:color w:val="auto"/>
              </w:rPr>
              <w:t>Details of key activities undertaken (including dates) in establishment and operation of the Fund</w:t>
            </w:r>
          </w:p>
          <w:p w14:paraId="55BE101B" w14:textId="77777777" w:rsidR="0088055C" w:rsidRDefault="0088055C" w:rsidP="0088055C">
            <w:pPr>
              <w:pStyle w:val="Tableformat"/>
              <w:numPr>
                <w:ilvl w:val="0"/>
                <w:numId w:val="9"/>
              </w:numPr>
              <w:rPr>
                <w:color w:val="auto"/>
                <w:sz w:val="24"/>
                <w:szCs w:val="24"/>
              </w:rPr>
            </w:pPr>
            <w:r w:rsidRPr="0088055C">
              <w:rPr>
                <w:color w:val="auto"/>
              </w:rPr>
              <w:t>Details of performance, outcomes and benefits achieved, including linkages to Commonwealth priorities and policies where applicable</w:t>
            </w:r>
          </w:p>
          <w:p w14:paraId="679D8AD4" w14:textId="339C3E70" w:rsidR="00F0467F" w:rsidRPr="0088055C" w:rsidRDefault="0088055C" w:rsidP="00412653">
            <w:pPr>
              <w:pStyle w:val="Tableformat"/>
              <w:rPr>
                <w:color w:val="auto"/>
                <w:sz w:val="24"/>
                <w:szCs w:val="24"/>
              </w:rPr>
            </w:pPr>
            <w:r w:rsidRPr="0088055C">
              <w:rPr>
                <w:color w:val="auto"/>
              </w:rPr>
              <w:t>In scenario c), a Post-Completion Report is not required, noting future reporting requirements may be negotiated and agreed in a new Schedule.</w:t>
            </w:r>
          </w:p>
        </w:tc>
      </w:tr>
    </w:tbl>
    <w:p w14:paraId="3CA07E3E" w14:textId="77777777" w:rsidR="00C91B5F" w:rsidRPr="001756EC" w:rsidRDefault="00C91B5F" w:rsidP="00C91B5F"/>
    <w:p w14:paraId="7417F48D" w14:textId="082A2A75" w:rsidR="00F25A89" w:rsidRPr="001756EC" w:rsidRDefault="00F25A89" w:rsidP="00C91B5F">
      <w:pPr>
        <w:sectPr w:rsidR="00F25A89" w:rsidRPr="001756EC" w:rsidSect="00FD7C46">
          <w:headerReference w:type="even" r:id="rId14"/>
          <w:footerReference w:type="even" r:id="rId15"/>
          <w:headerReference w:type="first" r:id="rId16"/>
          <w:footerReference w:type="first" r:id="rId17"/>
          <w:pgSz w:w="11906" w:h="16838" w:code="9"/>
          <w:pgMar w:top="1134" w:right="1134" w:bottom="1134" w:left="1134" w:header="709" w:footer="709" w:gutter="0"/>
          <w:pgNumType w:chapStyle="9"/>
          <w:cols w:space="708"/>
          <w:titlePg/>
          <w:docGrid w:linePitch="360"/>
        </w:sect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9453"/>
        <w:gridCol w:w="2383"/>
        <w:gridCol w:w="2102"/>
      </w:tblGrid>
      <w:tr w:rsidR="004C520C" w:rsidRPr="00357B3B" w14:paraId="3F69B3EE" w14:textId="77777777" w:rsidTr="004C520C">
        <w:trPr>
          <w:cantSplit/>
        </w:trPr>
        <w:tc>
          <w:tcPr>
            <w:tcW w:w="5000" w:type="pct"/>
            <w:gridSpan w:val="3"/>
            <w:shd w:val="clear" w:color="auto" w:fill="DEEAF6" w:themeFill="accent1" w:themeFillTint="33"/>
          </w:tcPr>
          <w:p w14:paraId="7C3CB146" w14:textId="77777777" w:rsidR="004C520C" w:rsidRPr="00357B3B" w:rsidRDefault="004C520C" w:rsidP="00AB3689">
            <w:pPr>
              <w:pStyle w:val="Tableformat"/>
              <w:rPr>
                <w:b/>
                <w:color w:val="auto"/>
              </w:rPr>
            </w:pPr>
            <w:r w:rsidRPr="00357B3B">
              <w:rPr>
                <w:b/>
                <w:color w:val="auto"/>
              </w:rPr>
              <w:lastRenderedPageBreak/>
              <w:t>Table 2: Performance requirements, reporting and payment summary</w:t>
            </w:r>
          </w:p>
        </w:tc>
      </w:tr>
      <w:tr w:rsidR="004C520C" w:rsidRPr="00357B3B" w14:paraId="731B0226" w14:textId="77777777" w:rsidTr="004C520C">
        <w:trPr>
          <w:cantSplit/>
          <w:tblHeader/>
        </w:trPr>
        <w:tc>
          <w:tcPr>
            <w:tcW w:w="3391" w:type="pct"/>
            <w:shd w:val="clear" w:color="auto" w:fill="F2F2F2" w:themeFill="background1" w:themeFillShade="F2"/>
          </w:tcPr>
          <w:p w14:paraId="552881B5" w14:textId="77777777" w:rsidR="004C520C" w:rsidRPr="00357B3B" w:rsidRDefault="004C520C" w:rsidP="00AB3689">
            <w:pPr>
              <w:pStyle w:val="Tableformat"/>
              <w:rPr>
                <w:b/>
                <w:color w:val="auto"/>
              </w:rPr>
            </w:pPr>
            <w:r w:rsidRPr="00357B3B">
              <w:rPr>
                <w:b/>
                <w:color w:val="auto"/>
              </w:rPr>
              <w:t>Performance milestones</w:t>
            </w:r>
          </w:p>
        </w:tc>
        <w:tc>
          <w:tcPr>
            <w:tcW w:w="855" w:type="pct"/>
            <w:shd w:val="clear" w:color="auto" w:fill="F2F2F2" w:themeFill="background1" w:themeFillShade="F2"/>
          </w:tcPr>
          <w:p w14:paraId="0E04EB34" w14:textId="77777777" w:rsidR="004C520C" w:rsidRPr="00357B3B" w:rsidRDefault="004C520C" w:rsidP="00AB3689">
            <w:pPr>
              <w:pStyle w:val="Tableformat"/>
              <w:rPr>
                <w:b/>
                <w:color w:val="auto"/>
              </w:rPr>
            </w:pPr>
            <w:r w:rsidRPr="00357B3B">
              <w:rPr>
                <w:b/>
                <w:color w:val="auto"/>
              </w:rPr>
              <w:t>Report due</w:t>
            </w:r>
          </w:p>
        </w:tc>
        <w:tc>
          <w:tcPr>
            <w:tcW w:w="754" w:type="pct"/>
            <w:shd w:val="clear" w:color="auto" w:fill="F2F2F2" w:themeFill="background1" w:themeFillShade="F2"/>
          </w:tcPr>
          <w:p w14:paraId="6DBFD353" w14:textId="77777777" w:rsidR="004C520C" w:rsidRPr="00357B3B" w:rsidRDefault="004C520C" w:rsidP="00AB3689">
            <w:pPr>
              <w:pStyle w:val="Tableformat"/>
              <w:rPr>
                <w:b/>
                <w:color w:val="auto"/>
              </w:rPr>
            </w:pPr>
            <w:r w:rsidRPr="00357B3B">
              <w:rPr>
                <w:b/>
                <w:color w:val="auto"/>
              </w:rPr>
              <w:t>Payment</w:t>
            </w:r>
          </w:p>
        </w:tc>
      </w:tr>
      <w:tr w:rsidR="004C520C" w:rsidRPr="00357B3B" w14:paraId="556B6D00"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6E2E5454" w14:textId="1BFF207E" w:rsidR="004C520C" w:rsidRPr="00357B3B" w:rsidRDefault="004C520C" w:rsidP="00AB3689">
            <w:pPr>
              <w:pStyle w:val="Milestonetable"/>
              <w:rPr>
                <w:b/>
                <w:color w:val="auto"/>
              </w:rPr>
            </w:pPr>
            <w:r w:rsidRPr="00357B3B">
              <w:rPr>
                <w:b/>
                <w:color w:val="auto"/>
              </w:rPr>
              <w:t xml:space="preserve">Milestone 1 – Readiness to commence </w:t>
            </w:r>
            <w:r w:rsidR="00815021">
              <w:rPr>
                <w:b/>
                <w:color w:val="auto"/>
              </w:rPr>
              <w:t>F</w:t>
            </w:r>
            <w:r w:rsidRPr="00357B3B">
              <w:rPr>
                <w:b/>
                <w:color w:val="auto"/>
              </w:rPr>
              <w:t>und operation</w:t>
            </w:r>
          </w:p>
          <w:p w14:paraId="02660358" w14:textId="0CEB2BB7" w:rsidR="004C520C" w:rsidRPr="00357B3B" w:rsidRDefault="004C520C" w:rsidP="00AB3689">
            <w:pPr>
              <w:pStyle w:val="Milestonetable"/>
              <w:rPr>
                <w:color w:val="auto"/>
              </w:rPr>
            </w:pPr>
            <w:r w:rsidRPr="00357B3B">
              <w:rPr>
                <w:color w:val="auto"/>
              </w:rPr>
              <w:t>Confirmation of readiness to commence operation of the Fund, demonstrated by:</w:t>
            </w:r>
          </w:p>
          <w:p w14:paraId="1E9AFEF1" w14:textId="645CD7A0" w:rsidR="004C520C" w:rsidRPr="00357B3B" w:rsidRDefault="004C520C" w:rsidP="004C520C">
            <w:pPr>
              <w:pStyle w:val="Milestonetable"/>
              <w:numPr>
                <w:ilvl w:val="0"/>
                <w:numId w:val="4"/>
              </w:numPr>
              <w:rPr>
                <w:color w:val="auto"/>
              </w:rPr>
            </w:pPr>
            <w:r w:rsidRPr="00357B3B">
              <w:rPr>
                <w:color w:val="auto"/>
              </w:rPr>
              <w:t xml:space="preserve">Submission of </w:t>
            </w:r>
            <w:r w:rsidR="007A1803">
              <w:rPr>
                <w:color w:val="auto"/>
              </w:rPr>
              <w:t xml:space="preserve">the Council’s </w:t>
            </w:r>
            <w:r w:rsidRPr="00357B3B">
              <w:rPr>
                <w:color w:val="auto"/>
              </w:rPr>
              <w:t>final authorised internal procedure for the Fund</w:t>
            </w:r>
          </w:p>
          <w:p w14:paraId="3B333154" w14:textId="258E5339" w:rsidR="004C520C" w:rsidRPr="004B6BD2" w:rsidRDefault="004C520C" w:rsidP="004C520C">
            <w:pPr>
              <w:pStyle w:val="Milestonetable"/>
              <w:numPr>
                <w:ilvl w:val="0"/>
                <w:numId w:val="4"/>
              </w:numPr>
              <w:rPr>
                <w:color w:val="auto"/>
              </w:rPr>
            </w:pPr>
            <w:r w:rsidRPr="004B6BD2">
              <w:rPr>
                <w:color w:val="auto"/>
              </w:rPr>
              <w:t>Submission of</w:t>
            </w:r>
            <w:r>
              <w:rPr>
                <w:color w:val="auto"/>
              </w:rPr>
              <w:t xml:space="preserve"> request for quote documentation for the external service provider, including planned open and close dates</w:t>
            </w:r>
          </w:p>
          <w:p w14:paraId="35F842D3" w14:textId="77777777" w:rsidR="004C520C" w:rsidRPr="007A1803" w:rsidRDefault="004C520C" w:rsidP="004C520C">
            <w:pPr>
              <w:pStyle w:val="Milestonetable"/>
              <w:numPr>
                <w:ilvl w:val="0"/>
                <w:numId w:val="4"/>
              </w:numPr>
              <w:rPr>
                <w:rFonts w:cs="Segoe UI"/>
                <w:color w:val="auto"/>
              </w:rPr>
            </w:pPr>
            <w:r w:rsidRPr="007A1803">
              <w:rPr>
                <w:rFonts w:cs="Segoe UI"/>
                <w:color w:val="auto"/>
              </w:rPr>
              <w:t>Submission of final Fund Guideline and final versions of other relevant Fund documentation including application form and contribution deed template</w:t>
            </w:r>
          </w:p>
          <w:p w14:paraId="1028744B" w14:textId="77777777" w:rsidR="004C520C" w:rsidRPr="00357B3B" w:rsidRDefault="004C520C" w:rsidP="004C520C">
            <w:pPr>
              <w:pStyle w:val="Milestonetable"/>
              <w:numPr>
                <w:ilvl w:val="0"/>
                <w:numId w:val="4"/>
              </w:numPr>
              <w:rPr>
                <w:rFonts w:cs="Segoe UI"/>
              </w:rPr>
            </w:pPr>
            <w:bookmarkStart w:id="4" w:name="_Hlk216873369"/>
            <w:r w:rsidRPr="007A1803">
              <w:rPr>
                <w:color w:val="auto"/>
              </w:rPr>
              <w:t xml:space="preserve">Submission of a draft media release for the launch of the Fund and details of associated announcements such as online updates </w:t>
            </w:r>
            <w:bookmarkEnd w:id="4"/>
          </w:p>
        </w:tc>
        <w:tc>
          <w:tcPr>
            <w:tcW w:w="855" w:type="pct"/>
            <w:tcBorders>
              <w:top w:val="single" w:sz="8" w:space="0" w:color="4F81BD"/>
              <w:left w:val="single" w:sz="8" w:space="0" w:color="4F81BD"/>
              <w:bottom w:val="single" w:sz="8" w:space="0" w:color="4F81BD"/>
              <w:right w:val="single" w:sz="8" w:space="0" w:color="4F81BD"/>
            </w:tcBorders>
          </w:tcPr>
          <w:p w14:paraId="7B021A57" w14:textId="368B96F5" w:rsidR="004C520C" w:rsidRPr="00357B3B" w:rsidRDefault="004C520C" w:rsidP="00AB3689">
            <w:pPr>
              <w:pStyle w:val="Milestonetable"/>
              <w:rPr>
                <w:rFonts w:cs="Segoe UI"/>
                <w:color w:val="auto"/>
              </w:rPr>
            </w:pPr>
            <w:r w:rsidRPr="00357B3B">
              <w:rPr>
                <w:color w:val="auto"/>
              </w:rPr>
              <w:t>3</w:t>
            </w:r>
            <w:r w:rsidR="00B33CFF">
              <w:rPr>
                <w:color w:val="auto"/>
              </w:rPr>
              <w:t>0</w:t>
            </w:r>
            <w:r w:rsidRPr="00357B3B">
              <w:rPr>
                <w:color w:val="auto"/>
              </w:rPr>
              <w:t xml:space="preserve"> </w:t>
            </w:r>
            <w:r w:rsidR="00B33CFF">
              <w:rPr>
                <w:color w:val="auto"/>
              </w:rPr>
              <w:t>April</w:t>
            </w:r>
            <w:r w:rsidRPr="00357B3B">
              <w:rPr>
                <w:color w:val="auto"/>
              </w:rPr>
              <w:t xml:space="preserve"> 2026</w:t>
            </w:r>
          </w:p>
        </w:tc>
        <w:tc>
          <w:tcPr>
            <w:tcW w:w="754" w:type="pct"/>
            <w:tcBorders>
              <w:top w:val="single" w:sz="8" w:space="0" w:color="4F81BD"/>
              <w:left w:val="single" w:sz="8" w:space="0" w:color="4F81BD"/>
              <w:bottom w:val="single" w:sz="8" w:space="0" w:color="4F81BD"/>
              <w:right w:val="single" w:sz="8" w:space="0" w:color="4F81BD"/>
            </w:tcBorders>
          </w:tcPr>
          <w:p w14:paraId="1AB9652F" w14:textId="77777777" w:rsidR="004C520C" w:rsidRPr="00357B3B" w:rsidRDefault="004C520C" w:rsidP="00AB3689">
            <w:pPr>
              <w:pStyle w:val="Milestonetable"/>
              <w:jc w:val="right"/>
              <w:rPr>
                <w:rFonts w:cs="Segoe UI"/>
                <w:color w:val="auto"/>
              </w:rPr>
            </w:pPr>
            <w:r w:rsidRPr="00357B3B">
              <w:rPr>
                <w:color w:val="auto"/>
              </w:rPr>
              <w:t>$9,861,000</w:t>
            </w:r>
          </w:p>
        </w:tc>
      </w:tr>
      <w:tr w:rsidR="004C520C" w:rsidRPr="00357B3B" w14:paraId="58FEE3B8"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15418A4B" w14:textId="77777777" w:rsidR="004C520C" w:rsidRPr="0048722B" w:rsidRDefault="004C520C" w:rsidP="00AB3689">
            <w:pPr>
              <w:pStyle w:val="Milestonetable"/>
              <w:rPr>
                <w:b/>
                <w:color w:val="auto"/>
              </w:rPr>
            </w:pPr>
            <w:r w:rsidRPr="0048722B">
              <w:rPr>
                <w:b/>
                <w:color w:val="auto"/>
              </w:rPr>
              <w:t xml:space="preserve">Milestone 2 – Annual Fund Report accepted by the </w:t>
            </w:r>
            <w:r>
              <w:rPr>
                <w:b/>
                <w:color w:val="auto"/>
              </w:rPr>
              <w:t>Commonwealth</w:t>
            </w:r>
            <w:r w:rsidRPr="0048722B">
              <w:rPr>
                <w:b/>
                <w:color w:val="auto"/>
              </w:rPr>
              <w:t xml:space="preserve"> – Year 1</w:t>
            </w:r>
          </w:p>
          <w:p w14:paraId="0E632B4D" w14:textId="0D0203CE" w:rsidR="004C520C" w:rsidRPr="0048722B" w:rsidRDefault="004C520C" w:rsidP="00AB3689">
            <w:pPr>
              <w:rPr>
                <w:rFonts w:ascii="Corbel" w:hAnsi="Corbel" w:cs="Segoe UI"/>
                <w:sz w:val="20"/>
                <w:szCs w:val="20"/>
                <w:lang w:eastAsia="en-AU"/>
              </w:rPr>
            </w:pPr>
            <w:r w:rsidRPr="0048722B">
              <w:rPr>
                <w:rFonts w:ascii="Corbel" w:hAnsi="Corbel" w:cs="Segoe UI"/>
                <w:sz w:val="20"/>
                <w:szCs w:val="20"/>
              </w:rPr>
              <w:t xml:space="preserve">Acceptance by the </w:t>
            </w:r>
            <w:r>
              <w:rPr>
                <w:rFonts w:ascii="Corbel" w:hAnsi="Corbel" w:cs="Segoe UI"/>
                <w:sz w:val="20"/>
                <w:szCs w:val="20"/>
              </w:rPr>
              <w:t>Commonwealth</w:t>
            </w:r>
            <w:r w:rsidRPr="0048722B">
              <w:rPr>
                <w:rFonts w:ascii="Corbel" w:hAnsi="Corbel" w:cs="Segoe UI"/>
                <w:sz w:val="20"/>
                <w:szCs w:val="20"/>
              </w:rPr>
              <w:t xml:space="preserve"> of an Annual Fund Report on the Fund, including, at a minimum, the information outlined under ‘Additional </w:t>
            </w:r>
            <w:r w:rsidR="00F065EC">
              <w:rPr>
                <w:rFonts w:ascii="Corbel" w:hAnsi="Corbel" w:cs="Segoe UI"/>
                <w:sz w:val="20"/>
                <w:szCs w:val="20"/>
              </w:rPr>
              <w:t>t</w:t>
            </w:r>
            <w:r w:rsidRPr="0048722B">
              <w:rPr>
                <w:rFonts w:ascii="Corbel" w:hAnsi="Corbel" w:cs="Segoe UI"/>
                <w:sz w:val="20"/>
                <w:szCs w:val="20"/>
              </w:rPr>
              <w:t>erms’.</w:t>
            </w:r>
          </w:p>
        </w:tc>
        <w:tc>
          <w:tcPr>
            <w:tcW w:w="855" w:type="pct"/>
            <w:tcBorders>
              <w:top w:val="single" w:sz="8" w:space="0" w:color="4F81BD"/>
              <w:left w:val="single" w:sz="8" w:space="0" w:color="4F81BD"/>
              <w:bottom w:val="single" w:sz="8" w:space="0" w:color="4F81BD"/>
              <w:right w:val="single" w:sz="8" w:space="0" w:color="4F81BD"/>
            </w:tcBorders>
          </w:tcPr>
          <w:p w14:paraId="0D80EA77" w14:textId="2266CBD5" w:rsidR="004C520C" w:rsidRPr="00357B3B" w:rsidRDefault="004C520C" w:rsidP="00AB3689">
            <w:pPr>
              <w:pStyle w:val="Milestonetable"/>
              <w:rPr>
                <w:color w:val="auto"/>
              </w:rPr>
            </w:pPr>
            <w:r w:rsidRPr="00357B3B">
              <w:rPr>
                <w:color w:val="auto"/>
              </w:rPr>
              <w:t>3</w:t>
            </w:r>
            <w:r w:rsidR="00752377">
              <w:rPr>
                <w:color w:val="auto"/>
              </w:rPr>
              <w:t>1</w:t>
            </w:r>
            <w:r w:rsidRPr="00357B3B">
              <w:rPr>
                <w:color w:val="auto"/>
              </w:rPr>
              <w:t xml:space="preserve"> </w:t>
            </w:r>
            <w:r w:rsidR="00752377">
              <w:rPr>
                <w:color w:val="auto"/>
              </w:rPr>
              <w:t>August</w:t>
            </w:r>
            <w:r w:rsidRPr="00357B3B">
              <w:rPr>
                <w:color w:val="auto"/>
              </w:rPr>
              <w:t xml:space="preserve"> 2027</w:t>
            </w:r>
          </w:p>
        </w:tc>
        <w:tc>
          <w:tcPr>
            <w:tcW w:w="754" w:type="pct"/>
            <w:tcBorders>
              <w:top w:val="single" w:sz="8" w:space="0" w:color="4F81BD"/>
              <w:left w:val="single" w:sz="8" w:space="0" w:color="4F81BD"/>
              <w:bottom w:val="single" w:sz="8" w:space="0" w:color="4F81BD"/>
              <w:right w:val="single" w:sz="8" w:space="0" w:color="4F81BD"/>
            </w:tcBorders>
          </w:tcPr>
          <w:p w14:paraId="25AF8144" w14:textId="77777777" w:rsidR="004C520C" w:rsidRPr="00357B3B" w:rsidRDefault="004C520C" w:rsidP="00AB3689">
            <w:pPr>
              <w:pStyle w:val="Milestonetable"/>
              <w:jc w:val="right"/>
              <w:rPr>
                <w:color w:val="auto"/>
              </w:rPr>
            </w:pPr>
            <w:r w:rsidRPr="00357B3B">
              <w:rPr>
                <w:color w:val="auto"/>
              </w:rPr>
              <w:t>Nil</w:t>
            </w:r>
          </w:p>
        </w:tc>
      </w:tr>
      <w:tr w:rsidR="004C520C" w:rsidRPr="00357B3B" w14:paraId="327D1076"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4572F7C3" w14:textId="77777777" w:rsidR="004C520C" w:rsidRPr="0048722B" w:rsidRDefault="004C520C" w:rsidP="00AB3689">
            <w:pPr>
              <w:pStyle w:val="Milestonetable"/>
              <w:rPr>
                <w:b/>
                <w:color w:val="auto"/>
              </w:rPr>
            </w:pPr>
            <w:r w:rsidRPr="0048722B">
              <w:rPr>
                <w:b/>
                <w:color w:val="auto"/>
              </w:rPr>
              <w:t xml:space="preserve">Milestone 3 – Annual Fund Report accepted by the </w:t>
            </w:r>
            <w:r>
              <w:rPr>
                <w:b/>
                <w:color w:val="auto"/>
              </w:rPr>
              <w:t>Commonwealth</w:t>
            </w:r>
            <w:r w:rsidRPr="0048722B">
              <w:rPr>
                <w:b/>
                <w:color w:val="auto"/>
              </w:rPr>
              <w:t xml:space="preserve"> – Year 2</w:t>
            </w:r>
          </w:p>
          <w:p w14:paraId="6697DF96" w14:textId="34FFB573" w:rsidR="004C520C" w:rsidRPr="0048722B" w:rsidRDefault="00F065EC" w:rsidP="00AB3689">
            <w:pPr>
              <w:rPr>
                <w:rFonts w:ascii="Corbel" w:eastAsia="Times New Roman" w:hAnsi="Corbel" w:cs="Segoe UI"/>
                <w:sz w:val="20"/>
                <w:szCs w:val="20"/>
                <w:lang w:eastAsia="en-AU"/>
              </w:rPr>
            </w:pPr>
            <w:r w:rsidRPr="0048722B">
              <w:rPr>
                <w:rFonts w:ascii="Corbel" w:hAnsi="Corbel" w:cs="Segoe UI"/>
                <w:sz w:val="20"/>
                <w:szCs w:val="20"/>
              </w:rPr>
              <w:t xml:space="preserve">Acceptance by the </w:t>
            </w:r>
            <w:r>
              <w:rPr>
                <w:rFonts w:ascii="Corbel" w:hAnsi="Corbel" w:cs="Segoe UI"/>
                <w:sz w:val="20"/>
                <w:szCs w:val="20"/>
              </w:rPr>
              <w:t>Commonwealth</w:t>
            </w:r>
            <w:r w:rsidRPr="0048722B">
              <w:rPr>
                <w:rFonts w:ascii="Corbel" w:hAnsi="Corbel" w:cs="Segoe UI"/>
                <w:sz w:val="20"/>
                <w:szCs w:val="20"/>
              </w:rPr>
              <w:t xml:space="preserve"> of an Annual Fund Report on the Fund, including, at a minimum, the information outlined under ‘Additional </w:t>
            </w:r>
            <w:r>
              <w:rPr>
                <w:rFonts w:ascii="Corbel" w:hAnsi="Corbel" w:cs="Segoe UI"/>
                <w:sz w:val="20"/>
                <w:szCs w:val="20"/>
              </w:rPr>
              <w:t>t</w:t>
            </w:r>
            <w:r w:rsidRPr="0048722B">
              <w:rPr>
                <w:rFonts w:ascii="Corbel" w:hAnsi="Corbel" w:cs="Segoe UI"/>
                <w:sz w:val="20"/>
                <w:szCs w:val="20"/>
              </w:rPr>
              <w:t>erms’.</w:t>
            </w:r>
          </w:p>
        </w:tc>
        <w:tc>
          <w:tcPr>
            <w:tcW w:w="855" w:type="pct"/>
            <w:tcBorders>
              <w:top w:val="single" w:sz="8" w:space="0" w:color="4F81BD"/>
              <w:left w:val="single" w:sz="8" w:space="0" w:color="4F81BD"/>
              <w:bottom w:val="single" w:sz="8" w:space="0" w:color="4F81BD"/>
              <w:right w:val="single" w:sz="8" w:space="0" w:color="4F81BD"/>
            </w:tcBorders>
          </w:tcPr>
          <w:p w14:paraId="6B695EF9" w14:textId="5DCF50CE" w:rsidR="004C520C" w:rsidRPr="00357B3B" w:rsidRDefault="004C520C" w:rsidP="00AB3689">
            <w:pPr>
              <w:pStyle w:val="Milestonetable"/>
              <w:rPr>
                <w:color w:val="auto"/>
              </w:rPr>
            </w:pPr>
            <w:r w:rsidRPr="00357B3B">
              <w:rPr>
                <w:color w:val="auto"/>
              </w:rPr>
              <w:t>3</w:t>
            </w:r>
            <w:r w:rsidR="00752377">
              <w:rPr>
                <w:color w:val="auto"/>
              </w:rPr>
              <w:t>1</w:t>
            </w:r>
            <w:r w:rsidRPr="00357B3B">
              <w:rPr>
                <w:color w:val="auto"/>
              </w:rPr>
              <w:t xml:space="preserve"> </w:t>
            </w:r>
            <w:r w:rsidR="00752377">
              <w:rPr>
                <w:color w:val="auto"/>
              </w:rPr>
              <w:t>August</w:t>
            </w:r>
            <w:r w:rsidRPr="00357B3B">
              <w:rPr>
                <w:color w:val="auto"/>
              </w:rPr>
              <w:t xml:space="preserve"> 2028</w:t>
            </w:r>
          </w:p>
        </w:tc>
        <w:tc>
          <w:tcPr>
            <w:tcW w:w="754" w:type="pct"/>
            <w:tcBorders>
              <w:top w:val="single" w:sz="8" w:space="0" w:color="4F81BD"/>
              <w:left w:val="single" w:sz="8" w:space="0" w:color="4F81BD"/>
              <w:bottom w:val="single" w:sz="8" w:space="0" w:color="4F81BD"/>
              <w:right w:val="single" w:sz="8" w:space="0" w:color="4F81BD"/>
            </w:tcBorders>
          </w:tcPr>
          <w:p w14:paraId="446D5C5C" w14:textId="77777777" w:rsidR="004C520C" w:rsidRPr="00357B3B" w:rsidRDefault="004C520C" w:rsidP="00AB3689">
            <w:pPr>
              <w:pStyle w:val="Milestonetable"/>
              <w:jc w:val="right"/>
              <w:rPr>
                <w:color w:val="auto"/>
              </w:rPr>
            </w:pPr>
            <w:r w:rsidRPr="00357B3B">
              <w:rPr>
                <w:color w:val="auto"/>
              </w:rPr>
              <w:t>Nil</w:t>
            </w:r>
          </w:p>
        </w:tc>
      </w:tr>
      <w:tr w:rsidR="004C520C" w:rsidRPr="00357B3B" w14:paraId="5EB8F0FB"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02ED4CF2" w14:textId="77777777" w:rsidR="004C520C" w:rsidRPr="0048722B" w:rsidRDefault="004C520C" w:rsidP="00AB3689">
            <w:pPr>
              <w:pStyle w:val="Milestonetable"/>
              <w:rPr>
                <w:b/>
                <w:color w:val="auto"/>
              </w:rPr>
            </w:pPr>
            <w:r w:rsidRPr="0048722B">
              <w:rPr>
                <w:b/>
                <w:color w:val="auto"/>
              </w:rPr>
              <w:t xml:space="preserve">Milestone 4 – Annual Fund Report accepted by the </w:t>
            </w:r>
            <w:r>
              <w:rPr>
                <w:b/>
                <w:color w:val="auto"/>
              </w:rPr>
              <w:t>Commonwealth</w:t>
            </w:r>
            <w:r w:rsidRPr="0048722B">
              <w:rPr>
                <w:b/>
                <w:color w:val="auto"/>
              </w:rPr>
              <w:t xml:space="preserve"> – Year 3</w:t>
            </w:r>
          </w:p>
          <w:p w14:paraId="64AD9DBA" w14:textId="59042632" w:rsidR="004C520C" w:rsidRPr="0048722B" w:rsidRDefault="00F065EC" w:rsidP="00AB3689">
            <w:pPr>
              <w:spacing w:after="120"/>
              <w:rPr>
                <w:rFonts w:ascii="Corbel" w:hAnsi="Corbel"/>
                <w:sz w:val="20"/>
                <w:szCs w:val="20"/>
              </w:rPr>
            </w:pPr>
            <w:r w:rsidRPr="0048722B">
              <w:rPr>
                <w:rFonts w:ascii="Corbel" w:hAnsi="Corbel" w:cs="Segoe UI"/>
                <w:sz w:val="20"/>
                <w:szCs w:val="20"/>
              </w:rPr>
              <w:t xml:space="preserve">Acceptance by the </w:t>
            </w:r>
            <w:r>
              <w:rPr>
                <w:rFonts w:ascii="Corbel" w:hAnsi="Corbel" w:cs="Segoe UI"/>
                <w:sz w:val="20"/>
                <w:szCs w:val="20"/>
              </w:rPr>
              <w:t>Commonwealth</w:t>
            </w:r>
            <w:r w:rsidRPr="0048722B">
              <w:rPr>
                <w:rFonts w:ascii="Corbel" w:hAnsi="Corbel" w:cs="Segoe UI"/>
                <w:sz w:val="20"/>
                <w:szCs w:val="20"/>
              </w:rPr>
              <w:t xml:space="preserve"> of an Annual Fund Report on the Fund, including, at a minimum, the information outlined under ‘Additional </w:t>
            </w:r>
            <w:r>
              <w:rPr>
                <w:rFonts w:ascii="Corbel" w:hAnsi="Corbel" w:cs="Segoe UI"/>
                <w:sz w:val="20"/>
                <w:szCs w:val="20"/>
              </w:rPr>
              <w:t>t</w:t>
            </w:r>
            <w:r w:rsidRPr="0048722B">
              <w:rPr>
                <w:rFonts w:ascii="Corbel" w:hAnsi="Corbel" w:cs="Segoe UI"/>
                <w:sz w:val="20"/>
                <w:szCs w:val="20"/>
              </w:rPr>
              <w:t>erms’.</w:t>
            </w:r>
          </w:p>
        </w:tc>
        <w:tc>
          <w:tcPr>
            <w:tcW w:w="855" w:type="pct"/>
            <w:tcBorders>
              <w:top w:val="single" w:sz="8" w:space="0" w:color="4F81BD"/>
              <w:left w:val="single" w:sz="8" w:space="0" w:color="4F81BD"/>
              <w:bottom w:val="single" w:sz="8" w:space="0" w:color="4F81BD"/>
              <w:right w:val="single" w:sz="8" w:space="0" w:color="4F81BD"/>
            </w:tcBorders>
          </w:tcPr>
          <w:p w14:paraId="7388E327" w14:textId="5EC0D46A" w:rsidR="004C520C" w:rsidRPr="00357B3B" w:rsidRDefault="004C520C" w:rsidP="00AB3689">
            <w:pPr>
              <w:pStyle w:val="Milestonetable"/>
              <w:rPr>
                <w:color w:val="auto"/>
              </w:rPr>
            </w:pPr>
            <w:r w:rsidRPr="00357B3B">
              <w:rPr>
                <w:color w:val="auto"/>
              </w:rPr>
              <w:t>3</w:t>
            </w:r>
            <w:r w:rsidR="00752377">
              <w:rPr>
                <w:color w:val="auto"/>
              </w:rPr>
              <w:t>1 August</w:t>
            </w:r>
            <w:r w:rsidRPr="00357B3B">
              <w:rPr>
                <w:color w:val="auto"/>
              </w:rPr>
              <w:t xml:space="preserve"> 2029</w:t>
            </w:r>
          </w:p>
        </w:tc>
        <w:tc>
          <w:tcPr>
            <w:tcW w:w="754" w:type="pct"/>
            <w:tcBorders>
              <w:top w:val="single" w:sz="8" w:space="0" w:color="4F81BD"/>
              <w:left w:val="single" w:sz="8" w:space="0" w:color="4F81BD"/>
              <w:bottom w:val="single" w:sz="8" w:space="0" w:color="4F81BD"/>
              <w:right w:val="single" w:sz="8" w:space="0" w:color="4F81BD"/>
            </w:tcBorders>
          </w:tcPr>
          <w:p w14:paraId="657F464D" w14:textId="77777777" w:rsidR="004C520C" w:rsidRPr="00357B3B" w:rsidRDefault="004C520C" w:rsidP="00AB3689">
            <w:pPr>
              <w:pStyle w:val="Milestonetable"/>
              <w:jc w:val="right"/>
              <w:rPr>
                <w:color w:val="auto"/>
              </w:rPr>
            </w:pPr>
            <w:r w:rsidRPr="00357B3B">
              <w:rPr>
                <w:color w:val="auto"/>
              </w:rPr>
              <w:t>Nil</w:t>
            </w:r>
          </w:p>
        </w:tc>
      </w:tr>
      <w:tr w:rsidR="004C520C" w:rsidRPr="00357B3B" w14:paraId="4860F568"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7801B46F" w14:textId="77777777" w:rsidR="004C520C" w:rsidRPr="0048722B" w:rsidRDefault="004C520C" w:rsidP="00AB3689">
            <w:pPr>
              <w:pStyle w:val="Milestonetable"/>
              <w:rPr>
                <w:b/>
                <w:color w:val="auto"/>
              </w:rPr>
            </w:pPr>
            <w:bookmarkStart w:id="5" w:name="_Hlk221098724"/>
            <w:r w:rsidRPr="0048722B">
              <w:rPr>
                <w:b/>
                <w:color w:val="auto"/>
              </w:rPr>
              <w:t xml:space="preserve">Milestone 5 – Annual Fund Report accepted by the </w:t>
            </w:r>
            <w:r>
              <w:rPr>
                <w:b/>
                <w:color w:val="auto"/>
              </w:rPr>
              <w:t>Commonwealth</w:t>
            </w:r>
            <w:r w:rsidRPr="0048722B">
              <w:rPr>
                <w:b/>
                <w:color w:val="auto"/>
              </w:rPr>
              <w:t xml:space="preserve"> – Year 4</w:t>
            </w:r>
          </w:p>
          <w:p w14:paraId="7473EBB3" w14:textId="45AB3C35" w:rsidR="004C520C" w:rsidRPr="0048722B" w:rsidRDefault="00F065EC" w:rsidP="00AB3689">
            <w:pPr>
              <w:pStyle w:val="Milestonetable"/>
              <w:rPr>
                <w:b/>
                <w:color w:val="auto"/>
              </w:rPr>
            </w:pPr>
            <w:r w:rsidRPr="00F065EC">
              <w:rPr>
                <w:rFonts w:cs="Segoe UI"/>
                <w:color w:val="auto"/>
              </w:rPr>
              <w:t>Acceptance by the Commonwealth of an Annual Fund Report on the Fund, including, at a minimum, the information outlined under ‘Additional terms’.</w:t>
            </w:r>
          </w:p>
        </w:tc>
        <w:tc>
          <w:tcPr>
            <w:tcW w:w="855" w:type="pct"/>
            <w:tcBorders>
              <w:top w:val="single" w:sz="8" w:space="0" w:color="4F81BD"/>
              <w:left w:val="single" w:sz="8" w:space="0" w:color="4F81BD"/>
              <w:bottom w:val="single" w:sz="8" w:space="0" w:color="4F81BD"/>
              <w:right w:val="single" w:sz="8" w:space="0" w:color="4F81BD"/>
            </w:tcBorders>
          </w:tcPr>
          <w:p w14:paraId="1E262917" w14:textId="2617EB1C" w:rsidR="004C520C" w:rsidRPr="00357B3B" w:rsidRDefault="004C520C" w:rsidP="00AB3689">
            <w:pPr>
              <w:pStyle w:val="Milestonetable"/>
              <w:rPr>
                <w:color w:val="auto"/>
              </w:rPr>
            </w:pPr>
            <w:r w:rsidRPr="00357B3B">
              <w:rPr>
                <w:color w:val="auto"/>
              </w:rPr>
              <w:t>3</w:t>
            </w:r>
            <w:r w:rsidR="00752377">
              <w:rPr>
                <w:color w:val="auto"/>
              </w:rPr>
              <w:t>1 August</w:t>
            </w:r>
            <w:r w:rsidRPr="00357B3B">
              <w:rPr>
                <w:color w:val="auto"/>
              </w:rPr>
              <w:t xml:space="preserve"> 2030</w:t>
            </w:r>
          </w:p>
        </w:tc>
        <w:tc>
          <w:tcPr>
            <w:tcW w:w="754" w:type="pct"/>
            <w:tcBorders>
              <w:top w:val="single" w:sz="8" w:space="0" w:color="4F81BD"/>
              <w:left w:val="single" w:sz="8" w:space="0" w:color="4F81BD"/>
              <w:bottom w:val="single" w:sz="8" w:space="0" w:color="4F81BD"/>
              <w:right w:val="single" w:sz="8" w:space="0" w:color="4F81BD"/>
            </w:tcBorders>
          </w:tcPr>
          <w:p w14:paraId="390322F5" w14:textId="77777777" w:rsidR="004C520C" w:rsidRPr="00357B3B" w:rsidRDefault="004C520C" w:rsidP="00AB3689">
            <w:pPr>
              <w:pStyle w:val="Milestonetable"/>
              <w:jc w:val="right"/>
              <w:rPr>
                <w:color w:val="auto"/>
              </w:rPr>
            </w:pPr>
            <w:r w:rsidRPr="00357B3B">
              <w:rPr>
                <w:color w:val="auto"/>
              </w:rPr>
              <w:t>Nil</w:t>
            </w:r>
          </w:p>
        </w:tc>
      </w:tr>
      <w:tr w:rsidR="004C520C" w:rsidRPr="00357B3B" w14:paraId="0DFE5749"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4AB37FE8" w14:textId="77777777" w:rsidR="004C520C" w:rsidRPr="0048722B" w:rsidRDefault="004C520C" w:rsidP="00AB3689">
            <w:pPr>
              <w:pStyle w:val="Milestonetable"/>
              <w:rPr>
                <w:b/>
                <w:color w:val="auto"/>
              </w:rPr>
            </w:pPr>
            <w:r w:rsidRPr="0048722B">
              <w:rPr>
                <w:b/>
                <w:color w:val="auto"/>
              </w:rPr>
              <w:lastRenderedPageBreak/>
              <w:t xml:space="preserve">Milestone 6 – Annual Fund Report and Fund Review Report accepted by the </w:t>
            </w:r>
            <w:r>
              <w:rPr>
                <w:b/>
                <w:color w:val="auto"/>
              </w:rPr>
              <w:t>Commonwealth</w:t>
            </w:r>
            <w:r w:rsidRPr="0048722B">
              <w:rPr>
                <w:b/>
                <w:color w:val="auto"/>
              </w:rPr>
              <w:t xml:space="preserve"> – Year 5</w:t>
            </w:r>
          </w:p>
          <w:p w14:paraId="633EBB0D" w14:textId="77777777" w:rsidR="004C520C" w:rsidRPr="0048722B" w:rsidRDefault="004C520C" w:rsidP="00AB3689">
            <w:pPr>
              <w:pStyle w:val="Milestonetable"/>
              <w:rPr>
                <w:color w:val="auto"/>
              </w:rPr>
            </w:pPr>
            <w:r w:rsidRPr="0048722B">
              <w:rPr>
                <w:color w:val="auto"/>
              </w:rPr>
              <w:t xml:space="preserve">Acceptance by the </w:t>
            </w:r>
            <w:r>
              <w:rPr>
                <w:color w:val="auto"/>
              </w:rPr>
              <w:t>Commonwealth</w:t>
            </w:r>
            <w:r w:rsidRPr="0048722B">
              <w:rPr>
                <w:color w:val="auto"/>
              </w:rPr>
              <w:t xml:space="preserve"> of:</w:t>
            </w:r>
          </w:p>
          <w:p w14:paraId="789ABE68" w14:textId="1A735C03" w:rsidR="004C520C" w:rsidRPr="0048722B" w:rsidRDefault="004C520C" w:rsidP="004C520C">
            <w:pPr>
              <w:pStyle w:val="Milestonetable"/>
              <w:numPr>
                <w:ilvl w:val="0"/>
                <w:numId w:val="4"/>
              </w:numPr>
              <w:rPr>
                <w:color w:val="auto"/>
              </w:rPr>
            </w:pPr>
            <w:r w:rsidRPr="0048722B">
              <w:rPr>
                <w:color w:val="auto"/>
              </w:rPr>
              <w:t xml:space="preserve">An Annual Fund Report on the Fund, including, at a minimum, the information outlined under ‘Additional </w:t>
            </w:r>
            <w:proofErr w:type="gramStart"/>
            <w:r w:rsidR="00F065EC">
              <w:rPr>
                <w:color w:val="auto"/>
              </w:rPr>
              <w:t>t</w:t>
            </w:r>
            <w:r w:rsidRPr="0048722B">
              <w:rPr>
                <w:color w:val="auto"/>
              </w:rPr>
              <w:t>erms’</w:t>
            </w:r>
            <w:proofErr w:type="gramEnd"/>
            <w:r w:rsidRPr="0048722B">
              <w:rPr>
                <w:color w:val="auto"/>
              </w:rPr>
              <w:t>.</w:t>
            </w:r>
          </w:p>
          <w:p w14:paraId="63879011" w14:textId="37BFCD39" w:rsidR="004C520C" w:rsidRPr="0048722B" w:rsidRDefault="004C520C" w:rsidP="004C520C">
            <w:pPr>
              <w:pStyle w:val="Milestonetable"/>
              <w:numPr>
                <w:ilvl w:val="0"/>
                <w:numId w:val="4"/>
              </w:numPr>
              <w:rPr>
                <w:color w:val="auto"/>
              </w:rPr>
            </w:pPr>
            <w:r w:rsidRPr="0048722B">
              <w:rPr>
                <w:color w:val="auto"/>
              </w:rPr>
              <w:t xml:space="preserve">A Fund Review Report on the Fund, including, at a minimum, the information outlined under ‘Additional </w:t>
            </w:r>
            <w:r w:rsidR="00F065EC">
              <w:rPr>
                <w:color w:val="auto"/>
              </w:rPr>
              <w:t>t</w:t>
            </w:r>
            <w:r w:rsidRPr="0048722B">
              <w:rPr>
                <w:color w:val="auto"/>
              </w:rPr>
              <w:t>erms’.</w:t>
            </w:r>
          </w:p>
        </w:tc>
        <w:tc>
          <w:tcPr>
            <w:tcW w:w="855" w:type="pct"/>
            <w:tcBorders>
              <w:top w:val="single" w:sz="8" w:space="0" w:color="4F81BD"/>
              <w:left w:val="single" w:sz="8" w:space="0" w:color="4F81BD"/>
              <w:bottom w:val="single" w:sz="8" w:space="0" w:color="4F81BD"/>
              <w:right w:val="single" w:sz="8" w:space="0" w:color="4F81BD"/>
            </w:tcBorders>
          </w:tcPr>
          <w:p w14:paraId="62AED8C8" w14:textId="5BCF0078" w:rsidR="004C520C" w:rsidRPr="00357B3B" w:rsidRDefault="004C520C" w:rsidP="00AB3689">
            <w:pPr>
              <w:pStyle w:val="Milestonetable"/>
              <w:rPr>
                <w:color w:val="auto"/>
              </w:rPr>
            </w:pPr>
            <w:r w:rsidRPr="00357B3B">
              <w:rPr>
                <w:color w:val="auto"/>
              </w:rPr>
              <w:t>3</w:t>
            </w:r>
            <w:r w:rsidR="00752377">
              <w:rPr>
                <w:color w:val="auto"/>
              </w:rPr>
              <w:t>1</w:t>
            </w:r>
            <w:r w:rsidRPr="00357B3B">
              <w:rPr>
                <w:color w:val="auto"/>
              </w:rPr>
              <w:t xml:space="preserve"> </w:t>
            </w:r>
            <w:r w:rsidR="00752377">
              <w:rPr>
                <w:color w:val="auto"/>
              </w:rPr>
              <w:t>August</w:t>
            </w:r>
            <w:r w:rsidRPr="00357B3B">
              <w:rPr>
                <w:color w:val="auto"/>
              </w:rPr>
              <w:t xml:space="preserve"> 203</w:t>
            </w:r>
            <w:r>
              <w:rPr>
                <w:color w:val="auto"/>
              </w:rPr>
              <w:t>1</w:t>
            </w:r>
          </w:p>
        </w:tc>
        <w:tc>
          <w:tcPr>
            <w:tcW w:w="754" w:type="pct"/>
            <w:tcBorders>
              <w:top w:val="single" w:sz="8" w:space="0" w:color="4F81BD"/>
              <w:left w:val="single" w:sz="8" w:space="0" w:color="4F81BD"/>
              <w:bottom w:val="single" w:sz="8" w:space="0" w:color="4F81BD"/>
              <w:right w:val="single" w:sz="8" w:space="0" w:color="4F81BD"/>
            </w:tcBorders>
          </w:tcPr>
          <w:p w14:paraId="68BF4D1E" w14:textId="77777777" w:rsidR="004C520C" w:rsidRPr="00357B3B" w:rsidRDefault="004C520C" w:rsidP="00AB3689">
            <w:pPr>
              <w:pStyle w:val="Milestonetable"/>
              <w:jc w:val="right"/>
              <w:rPr>
                <w:color w:val="auto"/>
              </w:rPr>
            </w:pPr>
            <w:r w:rsidRPr="00357B3B">
              <w:rPr>
                <w:color w:val="auto"/>
              </w:rPr>
              <w:t>Nil</w:t>
            </w:r>
          </w:p>
        </w:tc>
      </w:tr>
      <w:tr w:rsidR="004C520C" w:rsidRPr="00357B3B" w14:paraId="7D202E17"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716747C2" w14:textId="77777777" w:rsidR="004C520C" w:rsidRPr="0048722B" w:rsidRDefault="004C520C" w:rsidP="00AB3689">
            <w:pPr>
              <w:pStyle w:val="Milestonetable"/>
              <w:rPr>
                <w:b/>
                <w:color w:val="auto"/>
              </w:rPr>
            </w:pPr>
            <w:r w:rsidRPr="0048722B">
              <w:rPr>
                <w:b/>
                <w:color w:val="auto"/>
              </w:rPr>
              <w:t xml:space="preserve">Milestone 7 – Annual Fund Report accepted by the </w:t>
            </w:r>
            <w:r>
              <w:rPr>
                <w:b/>
                <w:color w:val="auto"/>
              </w:rPr>
              <w:t>Commonwealth</w:t>
            </w:r>
            <w:r w:rsidRPr="0048722B">
              <w:rPr>
                <w:b/>
                <w:color w:val="auto"/>
              </w:rPr>
              <w:t xml:space="preserve"> – Year 6</w:t>
            </w:r>
          </w:p>
          <w:p w14:paraId="2238DF2E" w14:textId="27631810" w:rsidR="004C520C" w:rsidRPr="0048722B" w:rsidRDefault="004C520C" w:rsidP="00AB3689">
            <w:pPr>
              <w:pStyle w:val="Milestonetable"/>
              <w:rPr>
                <w:b/>
                <w:color w:val="auto"/>
              </w:rPr>
            </w:pPr>
            <w:r w:rsidRPr="00302F26">
              <w:rPr>
                <w:rFonts w:cs="Segoe UI"/>
                <w:color w:val="auto"/>
              </w:rPr>
              <w:t xml:space="preserve">Acceptance by the </w:t>
            </w:r>
            <w:r>
              <w:rPr>
                <w:rFonts w:cs="Segoe UI"/>
                <w:color w:val="auto"/>
              </w:rPr>
              <w:t>Commonwealth</w:t>
            </w:r>
            <w:r w:rsidRPr="00302F26">
              <w:rPr>
                <w:rFonts w:cs="Segoe UI"/>
                <w:color w:val="auto"/>
              </w:rPr>
              <w:t xml:space="preserve"> of an Annual Fund Report on the Fund, including, at a minimum, the information outlined under ‘Additional </w:t>
            </w:r>
            <w:r w:rsidR="00F065EC">
              <w:rPr>
                <w:rFonts w:cs="Segoe UI"/>
                <w:color w:val="auto"/>
              </w:rPr>
              <w:t>t</w:t>
            </w:r>
            <w:r w:rsidRPr="00302F26">
              <w:rPr>
                <w:rFonts w:cs="Segoe UI"/>
                <w:color w:val="auto"/>
              </w:rPr>
              <w:t>erms’.</w:t>
            </w:r>
          </w:p>
        </w:tc>
        <w:tc>
          <w:tcPr>
            <w:tcW w:w="855" w:type="pct"/>
            <w:tcBorders>
              <w:top w:val="single" w:sz="8" w:space="0" w:color="4F81BD"/>
              <w:left w:val="single" w:sz="8" w:space="0" w:color="4F81BD"/>
              <w:bottom w:val="single" w:sz="8" w:space="0" w:color="4F81BD"/>
              <w:right w:val="single" w:sz="8" w:space="0" w:color="4F81BD"/>
            </w:tcBorders>
          </w:tcPr>
          <w:p w14:paraId="7AD6AB5E" w14:textId="76441DA4" w:rsidR="004C520C" w:rsidRPr="00357B3B" w:rsidRDefault="004C520C" w:rsidP="00AB3689">
            <w:pPr>
              <w:pStyle w:val="Milestonetable"/>
              <w:rPr>
                <w:color w:val="auto"/>
              </w:rPr>
            </w:pPr>
            <w:r w:rsidRPr="00357B3B">
              <w:rPr>
                <w:color w:val="auto"/>
              </w:rPr>
              <w:t>3</w:t>
            </w:r>
            <w:r w:rsidR="00752377">
              <w:rPr>
                <w:color w:val="auto"/>
              </w:rPr>
              <w:t>1</w:t>
            </w:r>
            <w:r w:rsidRPr="00357B3B">
              <w:rPr>
                <w:color w:val="auto"/>
              </w:rPr>
              <w:t xml:space="preserve"> </w:t>
            </w:r>
            <w:r w:rsidR="00752377">
              <w:rPr>
                <w:color w:val="auto"/>
              </w:rPr>
              <w:t>August</w:t>
            </w:r>
            <w:r w:rsidRPr="00357B3B">
              <w:rPr>
                <w:color w:val="auto"/>
              </w:rPr>
              <w:t xml:space="preserve"> 203</w:t>
            </w:r>
            <w:r>
              <w:rPr>
                <w:color w:val="auto"/>
              </w:rPr>
              <w:t>2</w:t>
            </w:r>
          </w:p>
        </w:tc>
        <w:tc>
          <w:tcPr>
            <w:tcW w:w="754" w:type="pct"/>
            <w:tcBorders>
              <w:top w:val="single" w:sz="8" w:space="0" w:color="4F81BD"/>
              <w:left w:val="single" w:sz="8" w:space="0" w:color="4F81BD"/>
              <w:bottom w:val="single" w:sz="8" w:space="0" w:color="4F81BD"/>
              <w:right w:val="single" w:sz="8" w:space="0" w:color="4F81BD"/>
            </w:tcBorders>
          </w:tcPr>
          <w:p w14:paraId="1879362D" w14:textId="77777777" w:rsidR="004C520C" w:rsidRPr="00357B3B" w:rsidRDefault="004C520C" w:rsidP="00AB3689">
            <w:pPr>
              <w:pStyle w:val="Milestonetable"/>
              <w:jc w:val="right"/>
              <w:rPr>
                <w:color w:val="auto"/>
              </w:rPr>
            </w:pPr>
            <w:r w:rsidRPr="00357B3B">
              <w:rPr>
                <w:color w:val="auto"/>
              </w:rPr>
              <w:t>Nil</w:t>
            </w:r>
          </w:p>
        </w:tc>
      </w:tr>
      <w:tr w:rsidR="004C520C" w:rsidRPr="00357B3B" w14:paraId="5C0DC607"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56952F13" w14:textId="77777777" w:rsidR="004C520C" w:rsidRPr="0048722B" w:rsidRDefault="004C520C" w:rsidP="00AB3689">
            <w:pPr>
              <w:pStyle w:val="Milestonetable"/>
              <w:rPr>
                <w:b/>
                <w:color w:val="auto"/>
              </w:rPr>
            </w:pPr>
            <w:r w:rsidRPr="0048722B">
              <w:rPr>
                <w:b/>
                <w:color w:val="auto"/>
              </w:rPr>
              <w:t xml:space="preserve">Milestone 8 – Annual Fund Report accepted by the </w:t>
            </w:r>
            <w:r>
              <w:rPr>
                <w:b/>
                <w:color w:val="auto"/>
              </w:rPr>
              <w:t>Commonwealth</w:t>
            </w:r>
            <w:r w:rsidRPr="0048722B">
              <w:rPr>
                <w:b/>
                <w:color w:val="auto"/>
              </w:rPr>
              <w:t xml:space="preserve"> – Year 7</w:t>
            </w:r>
          </w:p>
          <w:p w14:paraId="343BDC85" w14:textId="0AEC8279" w:rsidR="004C520C" w:rsidRPr="0048722B" w:rsidRDefault="00F065EC" w:rsidP="00AB3689">
            <w:pPr>
              <w:pStyle w:val="Milestonetable"/>
              <w:rPr>
                <w:b/>
                <w:color w:val="auto"/>
              </w:rPr>
            </w:pPr>
            <w:r w:rsidRPr="00302F26">
              <w:rPr>
                <w:rFonts w:cs="Segoe UI"/>
                <w:color w:val="auto"/>
              </w:rPr>
              <w:t xml:space="preserve">Acceptance by the </w:t>
            </w:r>
            <w:r>
              <w:rPr>
                <w:rFonts w:cs="Segoe UI"/>
                <w:color w:val="auto"/>
              </w:rPr>
              <w:t>Commonwealth</w:t>
            </w:r>
            <w:r w:rsidRPr="00302F26">
              <w:rPr>
                <w:rFonts w:cs="Segoe UI"/>
                <w:color w:val="auto"/>
              </w:rPr>
              <w:t xml:space="preserve"> of an Annual Fund Report on the Fund, including, at a minimum, the information outlined under ‘Additional </w:t>
            </w:r>
            <w:r>
              <w:rPr>
                <w:rFonts w:cs="Segoe UI"/>
                <w:color w:val="auto"/>
              </w:rPr>
              <w:t>t</w:t>
            </w:r>
            <w:r w:rsidRPr="00302F26">
              <w:rPr>
                <w:rFonts w:cs="Segoe UI"/>
                <w:color w:val="auto"/>
              </w:rPr>
              <w:t>erms’.</w:t>
            </w:r>
          </w:p>
        </w:tc>
        <w:tc>
          <w:tcPr>
            <w:tcW w:w="855" w:type="pct"/>
            <w:tcBorders>
              <w:top w:val="single" w:sz="8" w:space="0" w:color="4F81BD"/>
              <w:left w:val="single" w:sz="8" w:space="0" w:color="4F81BD"/>
              <w:bottom w:val="single" w:sz="8" w:space="0" w:color="4F81BD"/>
              <w:right w:val="single" w:sz="8" w:space="0" w:color="4F81BD"/>
            </w:tcBorders>
          </w:tcPr>
          <w:p w14:paraId="7787B461" w14:textId="539835A0" w:rsidR="004C520C" w:rsidRPr="00357B3B" w:rsidRDefault="004C520C" w:rsidP="00AB3689">
            <w:pPr>
              <w:pStyle w:val="Milestonetable"/>
              <w:rPr>
                <w:color w:val="auto"/>
              </w:rPr>
            </w:pPr>
            <w:r w:rsidRPr="00357B3B">
              <w:rPr>
                <w:color w:val="auto"/>
              </w:rPr>
              <w:t>3</w:t>
            </w:r>
            <w:r w:rsidR="00752377">
              <w:rPr>
                <w:color w:val="auto"/>
              </w:rPr>
              <w:t>1 August</w:t>
            </w:r>
            <w:r w:rsidRPr="00357B3B">
              <w:rPr>
                <w:color w:val="auto"/>
              </w:rPr>
              <w:t xml:space="preserve"> 203</w:t>
            </w:r>
            <w:r>
              <w:rPr>
                <w:color w:val="auto"/>
              </w:rPr>
              <w:t>3</w:t>
            </w:r>
          </w:p>
        </w:tc>
        <w:tc>
          <w:tcPr>
            <w:tcW w:w="754" w:type="pct"/>
            <w:tcBorders>
              <w:top w:val="single" w:sz="8" w:space="0" w:color="4F81BD"/>
              <w:left w:val="single" w:sz="8" w:space="0" w:color="4F81BD"/>
              <w:bottom w:val="single" w:sz="8" w:space="0" w:color="4F81BD"/>
              <w:right w:val="single" w:sz="8" w:space="0" w:color="4F81BD"/>
            </w:tcBorders>
          </w:tcPr>
          <w:p w14:paraId="2C1FD3D1" w14:textId="77777777" w:rsidR="004C520C" w:rsidRPr="00357B3B" w:rsidRDefault="004C520C" w:rsidP="00AB3689">
            <w:pPr>
              <w:pStyle w:val="Milestonetable"/>
              <w:jc w:val="right"/>
              <w:rPr>
                <w:color w:val="auto"/>
              </w:rPr>
            </w:pPr>
            <w:r w:rsidRPr="00357B3B">
              <w:rPr>
                <w:color w:val="auto"/>
              </w:rPr>
              <w:t>Nil</w:t>
            </w:r>
          </w:p>
        </w:tc>
      </w:tr>
      <w:tr w:rsidR="004C520C" w:rsidRPr="00357B3B" w14:paraId="2E3F965D"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1772D0DD" w14:textId="77777777" w:rsidR="004C520C" w:rsidRPr="0048722B" w:rsidRDefault="004C520C" w:rsidP="00AB3689">
            <w:pPr>
              <w:pStyle w:val="Milestonetable"/>
              <w:rPr>
                <w:b/>
                <w:color w:val="auto"/>
              </w:rPr>
            </w:pPr>
            <w:r w:rsidRPr="0048722B">
              <w:rPr>
                <w:b/>
                <w:color w:val="auto"/>
              </w:rPr>
              <w:t xml:space="preserve">Milestone 8 – Annual Fund Report accepted by the </w:t>
            </w:r>
            <w:r>
              <w:rPr>
                <w:b/>
                <w:color w:val="auto"/>
              </w:rPr>
              <w:t>Commonwealth</w:t>
            </w:r>
            <w:r w:rsidRPr="0048722B">
              <w:rPr>
                <w:b/>
                <w:color w:val="auto"/>
              </w:rPr>
              <w:t xml:space="preserve"> – Year 8</w:t>
            </w:r>
          </w:p>
          <w:p w14:paraId="2AC36B5A" w14:textId="37BD39EF" w:rsidR="004C520C" w:rsidRPr="0048722B" w:rsidRDefault="00F065EC" w:rsidP="00AB3689">
            <w:pPr>
              <w:pStyle w:val="Milestonetable"/>
              <w:rPr>
                <w:b/>
                <w:color w:val="auto"/>
              </w:rPr>
            </w:pPr>
            <w:r w:rsidRPr="00302F26">
              <w:rPr>
                <w:rFonts w:cs="Segoe UI"/>
                <w:color w:val="auto"/>
              </w:rPr>
              <w:t xml:space="preserve">Acceptance by the </w:t>
            </w:r>
            <w:r>
              <w:rPr>
                <w:rFonts w:cs="Segoe UI"/>
                <w:color w:val="auto"/>
              </w:rPr>
              <w:t>Commonwealth</w:t>
            </w:r>
            <w:r w:rsidRPr="00302F26">
              <w:rPr>
                <w:rFonts w:cs="Segoe UI"/>
                <w:color w:val="auto"/>
              </w:rPr>
              <w:t xml:space="preserve"> of an Annual Fund Report on the Fund, including, at a minimum, the information outlined under ‘Additional </w:t>
            </w:r>
            <w:r>
              <w:rPr>
                <w:rFonts w:cs="Segoe UI"/>
                <w:color w:val="auto"/>
              </w:rPr>
              <w:t>t</w:t>
            </w:r>
            <w:r w:rsidRPr="00302F26">
              <w:rPr>
                <w:rFonts w:cs="Segoe UI"/>
                <w:color w:val="auto"/>
              </w:rPr>
              <w:t>erms’.</w:t>
            </w:r>
          </w:p>
        </w:tc>
        <w:tc>
          <w:tcPr>
            <w:tcW w:w="855" w:type="pct"/>
            <w:tcBorders>
              <w:top w:val="single" w:sz="8" w:space="0" w:color="4F81BD"/>
              <w:left w:val="single" w:sz="8" w:space="0" w:color="4F81BD"/>
              <w:bottom w:val="single" w:sz="8" w:space="0" w:color="4F81BD"/>
              <w:right w:val="single" w:sz="8" w:space="0" w:color="4F81BD"/>
            </w:tcBorders>
          </w:tcPr>
          <w:p w14:paraId="25FA36F6" w14:textId="7E8C569C" w:rsidR="004C520C" w:rsidRPr="00357B3B" w:rsidRDefault="004C520C" w:rsidP="00AB3689">
            <w:pPr>
              <w:pStyle w:val="Milestonetable"/>
              <w:rPr>
                <w:color w:val="auto"/>
              </w:rPr>
            </w:pPr>
            <w:r w:rsidRPr="00357B3B">
              <w:rPr>
                <w:color w:val="auto"/>
              </w:rPr>
              <w:t>3</w:t>
            </w:r>
            <w:r w:rsidR="00752377">
              <w:rPr>
                <w:color w:val="auto"/>
              </w:rPr>
              <w:t>1</w:t>
            </w:r>
            <w:r w:rsidRPr="00357B3B">
              <w:rPr>
                <w:color w:val="auto"/>
              </w:rPr>
              <w:t xml:space="preserve"> </w:t>
            </w:r>
            <w:r w:rsidR="00752377">
              <w:rPr>
                <w:color w:val="auto"/>
              </w:rPr>
              <w:t>August</w:t>
            </w:r>
            <w:r w:rsidRPr="00357B3B">
              <w:rPr>
                <w:color w:val="auto"/>
              </w:rPr>
              <w:t xml:space="preserve"> 203</w:t>
            </w:r>
            <w:r>
              <w:rPr>
                <w:color w:val="auto"/>
              </w:rPr>
              <w:t>4</w:t>
            </w:r>
          </w:p>
        </w:tc>
        <w:tc>
          <w:tcPr>
            <w:tcW w:w="754" w:type="pct"/>
            <w:tcBorders>
              <w:top w:val="single" w:sz="8" w:space="0" w:color="4F81BD"/>
              <w:left w:val="single" w:sz="8" w:space="0" w:color="4F81BD"/>
              <w:bottom w:val="single" w:sz="8" w:space="0" w:color="4F81BD"/>
              <w:right w:val="single" w:sz="8" w:space="0" w:color="4F81BD"/>
            </w:tcBorders>
          </w:tcPr>
          <w:p w14:paraId="0B1B37FD" w14:textId="77777777" w:rsidR="004C520C" w:rsidRPr="00357B3B" w:rsidRDefault="004C520C" w:rsidP="00AB3689">
            <w:pPr>
              <w:pStyle w:val="Milestonetable"/>
              <w:jc w:val="right"/>
              <w:rPr>
                <w:color w:val="auto"/>
              </w:rPr>
            </w:pPr>
            <w:r w:rsidRPr="00357B3B">
              <w:rPr>
                <w:color w:val="auto"/>
              </w:rPr>
              <w:t>Nil</w:t>
            </w:r>
          </w:p>
        </w:tc>
      </w:tr>
      <w:tr w:rsidR="004C520C" w:rsidRPr="00357B3B" w14:paraId="6706FDC0"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58784321" w14:textId="77777777" w:rsidR="004C520C" w:rsidRPr="0048722B" w:rsidRDefault="004C520C" w:rsidP="00AB3689">
            <w:pPr>
              <w:pStyle w:val="Milestonetable"/>
              <w:rPr>
                <w:b/>
                <w:color w:val="auto"/>
              </w:rPr>
            </w:pPr>
            <w:r w:rsidRPr="0048722B">
              <w:rPr>
                <w:b/>
                <w:color w:val="auto"/>
              </w:rPr>
              <w:t xml:space="preserve">Milestone 10 – Annual Fund Report and Fund Review Report accepted by the </w:t>
            </w:r>
            <w:r>
              <w:rPr>
                <w:b/>
                <w:color w:val="auto"/>
              </w:rPr>
              <w:t>Commonwealth</w:t>
            </w:r>
            <w:r w:rsidRPr="0048722B">
              <w:rPr>
                <w:b/>
                <w:color w:val="auto"/>
              </w:rPr>
              <w:t xml:space="preserve"> – Year 9</w:t>
            </w:r>
          </w:p>
          <w:p w14:paraId="18B41E8F" w14:textId="77777777" w:rsidR="004C520C" w:rsidRPr="0048722B" w:rsidRDefault="004C520C" w:rsidP="00AB3689">
            <w:pPr>
              <w:pStyle w:val="Milestonetable"/>
              <w:rPr>
                <w:color w:val="auto"/>
              </w:rPr>
            </w:pPr>
            <w:r w:rsidRPr="0048722B">
              <w:rPr>
                <w:color w:val="auto"/>
              </w:rPr>
              <w:t xml:space="preserve">Acceptance by the </w:t>
            </w:r>
            <w:r>
              <w:rPr>
                <w:color w:val="auto"/>
              </w:rPr>
              <w:t>Commonwealth</w:t>
            </w:r>
            <w:r w:rsidRPr="0048722B">
              <w:rPr>
                <w:color w:val="auto"/>
              </w:rPr>
              <w:t xml:space="preserve"> of:</w:t>
            </w:r>
          </w:p>
          <w:p w14:paraId="5105180F" w14:textId="54BE3BF2" w:rsidR="004C520C" w:rsidRPr="0048722B" w:rsidRDefault="004C520C" w:rsidP="004C520C">
            <w:pPr>
              <w:pStyle w:val="Milestonetable"/>
              <w:numPr>
                <w:ilvl w:val="0"/>
                <w:numId w:val="4"/>
              </w:numPr>
              <w:rPr>
                <w:color w:val="auto"/>
              </w:rPr>
            </w:pPr>
            <w:r w:rsidRPr="0048722B">
              <w:rPr>
                <w:color w:val="auto"/>
              </w:rPr>
              <w:t>An Annual Fund Report on the Fund, including, at a minimum, the information outlined under ‘Additional</w:t>
            </w:r>
            <w:r w:rsidR="00F065EC">
              <w:rPr>
                <w:color w:val="auto"/>
              </w:rPr>
              <w:t xml:space="preserve"> </w:t>
            </w:r>
            <w:proofErr w:type="gramStart"/>
            <w:r w:rsidR="00F065EC">
              <w:rPr>
                <w:color w:val="auto"/>
              </w:rPr>
              <w:t>t</w:t>
            </w:r>
            <w:r w:rsidRPr="0048722B">
              <w:rPr>
                <w:color w:val="auto"/>
              </w:rPr>
              <w:t>erms’</w:t>
            </w:r>
            <w:proofErr w:type="gramEnd"/>
            <w:r w:rsidRPr="0048722B">
              <w:rPr>
                <w:color w:val="auto"/>
              </w:rPr>
              <w:t>.</w:t>
            </w:r>
          </w:p>
          <w:p w14:paraId="4B78D58F" w14:textId="4970B4CC" w:rsidR="004C520C" w:rsidRPr="0048722B" w:rsidRDefault="004C520C" w:rsidP="004C520C">
            <w:pPr>
              <w:pStyle w:val="Milestonetable"/>
              <w:numPr>
                <w:ilvl w:val="0"/>
                <w:numId w:val="4"/>
              </w:numPr>
              <w:rPr>
                <w:color w:val="auto"/>
              </w:rPr>
            </w:pPr>
            <w:r w:rsidRPr="0048722B">
              <w:rPr>
                <w:color w:val="auto"/>
              </w:rPr>
              <w:t xml:space="preserve">A Fund Review Report on the Fund, including, at a minimum, the information outlined under ‘Additional </w:t>
            </w:r>
            <w:r w:rsidR="00F065EC">
              <w:rPr>
                <w:color w:val="auto"/>
              </w:rPr>
              <w:t>t</w:t>
            </w:r>
            <w:r w:rsidRPr="0048722B">
              <w:rPr>
                <w:color w:val="auto"/>
              </w:rPr>
              <w:t>erms’.</w:t>
            </w:r>
          </w:p>
        </w:tc>
        <w:tc>
          <w:tcPr>
            <w:tcW w:w="855" w:type="pct"/>
            <w:tcBorders>
              <w:top w:val="single" w:sz="8" w:space="0" w:color="4F81BD"/>
              <w:left w:val="single" w:sz="8" w:space="0" w:color="4F81BD"/>
              <w:bottom w:val="single" w:sz="8" w:space="0" w:color="4F81BD"/>
              <w:right w:val="single" w:sz="8" w:space="0" w:color="4F81BD"/>
            </w:tcBorders>
          </w:tcPr>
          <w:p w14:paraId="75A5AE2E" w14:textId="7FD9E31D" w:rsidR="004C520C" w:rsidRPr="00357B3B" w:rsidRDefault="004C520C" w:rsidP="00AB3689">
            <w:pPr>
              <w:pStyle w:val="Milestonetable"/>
              <w:rPr>
                <w:color w:val="auto"/>
              </w:rPr>
            </w:pPr>
            <w:r w:rsidRPr="00357B3B">
              <w:rPr>
                <w:color w:val="auto"/>
              </w:rPr>
              <w:t>3</w:t>
            </w:r>
            <w:r w:rsidR="00752377">
              <w:rPr>
                <w:color w:val="auto"/>
              </w:rPr>
              <w:t>1</w:t>
            </w:r>
            <w:r w:rsidRPr="00357B3B">
              <w:rPr>
                <w:color w:val="auto"/>
              </w:rPr>
              <w:t xml:space="preserve"> </w:t>
            </w:r>
            <w:r w:rsidR="00752377">
              <w:rPr>
                <w:color w:val="auto"/>
              </w:rPr>
              <w:t>August</w:t>
            </w:r>
            <w:r w:rsidRPr="00357B3B">
              <w:rPr>
                <w:color w:val="auto"/>
              </w:rPr>
              <w:t xml:space="preserve"> 203</w:t>
            </w:r>
            <w:r>
              <w:rPr>
                <w:color w:val="auto"/>
              </w:rPr>
              <w:t>5</w:t>
            </w:r>
          </w:p>
        </w:tc>
        <w:tc>
          <w:tcPr>
            <w:tcW w:w="754" w:type="pct"/>
            <w:tcBorders>
              <w:top w:val="single" w:sz="8" w:space="0" w:color="4F81BD"/>
              <w:left w:val="single" w:sz="8" w:space="0" w:color="4F81BD"/>
              <w:bottom w:val="single" w:sz="8" w:space="0" w:color="4F81BD"/>
              <w:right w:val="single" w:sz="8" w:space="0" w:color="4F81BD"/>
            </w:tcBorders>
          </w:tcPr>
          <w:p w14:paraId="701815BE" w14:textId="77777777" w:rsidR="004C520C" w:rsidRPr="00357B3B" w:rsidRDefault="004C520C" w:rsidP="00AB3689">
            <w:pPr>
              <w:pStyle w:val="Milestonetable"/>
              <w:jc w:val="right"/>
              <w:rPr>
                <w:color w:val="auto"/>
              </w:rPr>
            </w:pPr>
            <w:r w:rsidRPr="00357B3B">
              <w:rPr>
                <w:color w:val="auto"/>
              </w:rPr>
              <w:t>Nil</w:t>
            </w:r>
          </w:p>
        </w:tc>
      </w:tr>
      <w:tr w:rsidR="004C520C" w:rsidRPr="00357B3B" w14:paraId="12763B7F" w14:textId="77777777" w:rsidTr="004C520C">
        <w:trPr>
          <w:cantSplit/>
        </w:trPr>
        <w:tc>
          <w:tcPr>
            <w:tcW w:w="3391" w:type="pct"/>
            <w:tcBorders>
              <w:top w:val="single" w:sz="8" w:space="0" w:color="4F81BD"/>
              <w:left w:val="single" w:sz="8" w:space="0" w:color="4F81BD"/>
              <w:bottom w:val="single" w:sz="8" w:space="0" w:color="4F81BD"/>
              <w:right w:val="single" w:sz="8" w:space="0" w:color="4F81BD"/>
            </w:tcBorders>
          </w:tcPr>
          <w:p w14:paraId="1241A5F7" w14:textId="77777777" w:rsidR="004C520C" w:rsidRPr="0048722B" w:rsidRDefault="004C520C" w:rsidP="00AB3689">
            <w:pPr>
              <w:pStyle w:val="Milestonetable"/>
              <w:rPr>
                <w:b/>
                <w:color w:val="auto"/>
              </w:rPr>
            </w:pPr>
            <w:r w:rsidRPr="0048722B">
              <w:rPr>
                <w:b/>
                <w:color w:val="auto"/>
              </w:rPr>
              <w:t xml:space="preserve">Milestone 11 – Annual Fund Report accepted by the </w:t>
            </w:r>
            <w:r>
              <w:rPr>
                <w:b/>
                <w:color w:val="auto"/>
              </w:rPr>
              <w:t>Commonwealth</w:t>
            </w:r>
            <w:r w:rsidRPr="0048722B">
              <w:rPr>
                <w:b/>
                <w:color w:val="auto"/>
              </w:rPr>
              <w:t xml:space="preserve"> – Year 10</w:t>
            </w:r>
          </w:p>
          <w:p w14:paraId="7B88A7D4" w14:textId="70277ACB" w:rsidR="004C520C" w:rsidRPr="0048722B" w:rsidRDefault="004C520C" w:rsidP="00AB3689">
            <w:pPr>
              <w:pStyle w:val="Milestonetable"/>
              <w:rPr>
                <w:b/>
                <w:color w:val="auto"/>
              </w:rPr>
            </w:pPr>
            <w:r w:rsidRPr="00302F26">
              <w:rPr>
                <w:rFonts w:cs="Segoe UI"/>
                <w:color w:val="auto"/>
              </w:rPr>
              <w:t xml:space="preserve">Acceptance by the </w:t>
            </w:r>
            <w:r>
              <w:rPr>
                <w:rFonts w:cs="Segoe UI"/>
                <w:color w:val="auto"/>
              </w:rPr>
              <w:t>Commonwealth</w:t>
            </w:r>
            <w:r w:rsidRPr="00302F26">
              <w:rPr>
                <w:rFonts w:cs="Segoe UI"/>
                <w:color w:val="auto"/>
              </w:rPr>
              <w:t xml:space="preserve"> of an Annual Fund Report on the Fund, including, at a minimum, the information outlined under ‘Additional </w:t>
            </w:r>
            <w:r w:rsidR="00F065EC">
              <w:rPr>
                <w:rFonts w:cs="Segoe UI"/>
                <w:color w:val="auto"/>
              </w:rPr>
              <w:t>t</w:t>
            </w:r>
            <w:r w:rsidRPr="00302F26">
              <w:rPr>
                <w:rFonts w:cs="Segoe UI"/>
                <w:color w:val="auto"/>
              </w:rPr>
              <w:t>erms’.</w:t>
            </w:r>
          </w:p>
        </w:tc>
        <w:tc>
          <w:tcPr>
            <w:tcW w:w="855" w:type="pct"/>
            <w:tcBorders>
              <w:top w:val="single" w:sz="8" w:space="0" w:color="4F81BD"/>
              <w:left w:val="single" w:sz="8" w:space="0" w:color="4F81BD"/>
              <w:bottom w:val="single" w:sz="8" w:space="0" w:color="4F81BD"/>
              <w:right w:val="single" w:sz="8" w:space="0" w:color="4F81BD"/>
            </w:tcBorders>
          </w:tcPr>
          <w:p w14:paraId="449B6B93" w14:textId="20EDE370" w:rsidR="004C520C" w:rsidRPr="00357B3B" w:rsidRDefault="004C520C" w:rsidP="00AB3689">
            <w:pPr>
              <w:pStyle w:val="Milestonetable"/>
              <w:rPr>
                <w:color w:val="auto"/>
              </w:rPr>
            </w:pPr>
            <w:r w:rsidRPr="00357B3B">
              <w:rPr>
                <w:color w:val="auto"/>
              </w:rPr>
              <w:t>3</w:t>
            </w:r>
            <w:r w:rsidR="00752377">
              <w:rPr>
                <w:color w:val="auto"/>
              </w:rPr>
              <w:t>1 August</w:t>
            </w:r>
            <w:r w:rsidRPr="00357B3B">
              <w:rPr>
                <w:color w:val="auto"/>
              </w:rPr>
              <w:t xml:space="preserve"> 203</w:t>
            </w:r>
            <w:r>
              <w:rPr>
                <w:color w:val="auto"/>
              </w:rPr>
              <w:t>6</w:t>
            </w:r>
          </w:p>
        </w:tc>
        <w:tc>
          <w:tcPr>
            <w:tcW w:w="754" w:type="pct"/>
            <w:tcBorders>
              <w:top w:val="single" w:sz="8" w:space="0" w:color="4F81BD"/>
              <w:left w:val="single" w:sz="8" w:space="0" w:color="4F81BD"/>
              <w:bottom w:val="single" w:sz="8" w:space="0" w:color="4F81BD"/>
              <w:right w:val="single" w:sz="8" w:space="0" w:color="4F81BD"/>
            </w:tcBorders>
          </w:tcPr>
          <w:p w14:paraId="197AAE1D" w14:textId="77777777" w:rsidR="004C520C" w:rsidRPr="00357B3B" w:rsidRDefault="004C520C" w:rsidP="00AB3689">
            <w:pPr>
              <w:pStyle w:val="Milestonetable"/>
              <w:jc w:val="right"/>
              <w:rPr>
                <w:color w:val="auto"/>
              </w:rPr>
            </w:pPr>
            <w:r w:rsidRPr="00357B3B">
              <w:rPr>
                <w:color w:val="auto"/>
              </w:rPr>
              <w:t>Nil</w:t>
            </w:r>
          </w:p>
        </w:tc>
      </w:tr>
      <w:bookmarkEnd w:id="5"/>
    </w:tbl>
    <w:p w14:paraId="0AB842D8" w14:textId="597B108B" w:rsidR="004C520C" w:rsidRDefault="004C520C" w:rsidP="00C91B5F"/>
    <w:p w14:paraId="61368F44" w14:textId="77777777" w:rsidR="004C520C" w:rsidRDefault="004C520C">
      <w:pPr>
        <w:widowControl/>
        <w:spacing w:after="160" w:line="259" w:lineRule="auto"/>
      </w:pPr>
      <w:r>
        <w:br w:type="page"/>
      </w:r>
    </w:p>
    <w:p w14:paraId="7245F9C3" w14:textId="1B22958B" w:rsidR="00C91B5F" w:rsidRDefault="00C91B5F" w:rsidP="00C91B5F">
      <w:r w:rsidRPr="001D6AB0">
        <w:lastRenderedPageBreak/>
        <w:t>The Parties have confirmed</w:t>
      </w:r>
      <w:r w:rsidRPr="001756EC">
        <w:t xml:space="preserve"> their commitment to this schedule as follows:</w:t>
      </w:r>
    </w:p>
    <w:p w14:paraId="5B53B576" w14:textId="77777777" w:rsidR="00B92709" w:rsidRPr="001756EC" w:rsidRDefault="00B92709" w:rsidP="00C91B5F"/>
    <w:p w14:paraId="018BB34B" w14:textId="77777777" w:rsidR="00C91B5F" w:rsidRPr="001756EC" w:rsidRDefault="00C91B5F" w:rsidP="00C91B5F"/>
    <w:tbl>
      <w:tblPr>
        <w:tblW w:w="0" w:type="auto"/>
        <w:jc w:val="center"/>
        <w:tblLayout w:type="fixed"/>
        <w:tblLook w:val="01E0" w:firstRow="1" w:lastRow="1" w:firstColumn="1" w:lastColumn="1" w:noHBand="0" w:noVBand="0"/>
      </w:tblPr>
      <w:tblGrid>
        <w:gridCol w:w="4536"/>
        <w:gridCol w:w="1701"/>
        <w:gridCol w:w="4536"/>
      </w:tblGrid>
      <w:tr w:rsidR="00C91B5F" w:rsidRPr="001756EC" w14:paraId="6EDBD23D" w14:textId="77777777" w:rsidTr="005D3905">
        <w:trPr>
          <w:cantSplit/>
          <w:jc w:val="center"/>
        </w:trPr>
        <w:tc>
          <w:tcPr>
            <w:tcW w:w="4536" w:type="dxa"/>
          </w:tcPr>
          <w:p w14:paraId="6769E4B0" w14:textId="77777777" w:rsidR="00C91B5F" w:rsidRPr="001756EC" w:rsidRDefault="00C91B5F" w:rsidP="005D3905">
            <w:pPr>
              <w:pStyle w:val="Signed"/>
            </w:pPr>
            <w:r w:rsidRPr="001756EC">
              <w:rPr>
                <w:rStyle w:val="SignedBold"/>
              </w:rPr>
              <w:t>Signed</w:t>
            </w:r>
            <w:r w:rsidRPr="001756EC">
              <w:t xml:space="preserve"> for and on behalf of the Commonwealth of </w:t>
            </w:r>
            <w:smartTag w:uri="urn:schemas-microsoft-com:office:smarttags" w:element="country-region">
              <w:smartTag w:uri="urn:schemas-microsoft-com:office:smarttags" w:element="place">
                <w:r w:rsidRPr="001756EC">
                  <w:t>Australia</w:t>
                </w:r>
              </w:smartTag>
            </w:smartTag>
            <w:r w:rsidRPr="001756EC">
              <w:t xml:space="preserve"> by</w:t>
            </w:r>
          </w:p>
          <w:p w14:paraId="647726BA" w14:textId="77777777" w:rsidR="00C91B5F" w:rsidRPr="001756EC" w:rsidRDefault="00C91B5F" w:rsidP="005D3905">
            <w:pPr>
              <w:pStyle w:val="LineForSignature"/>
              <w:rPr>
                <w:lang w:val="en-AU"/>
              </w:rPr>
            </w:pPr>
            <w:r w:rsidRPr="001756EC">
              <w:rPr>
                <w:lang w:val="en-AU"/>
              </w:rPr>
              <w:br/>
            </w:r>
            <w:r w:rsidRPr="001756EC">
              <w:rPr>
                <w:lang w:val="en-AU"/>
              </w:rPr>
              <w:tab/>
            </w:r>
          </w:p>
          <w:p w14:paraId="4A159D5D" w14:textId="60B4CE3C" w:rsidR="00C91B5F" w:rsidRPr="001756EC" w:rsidRDefault="00C91B5F" w:rsidP="005D3905">
            <w:pPr>
              <w:pStyle w:val="SingleParagraph"/>
              <w:rPr>
                <w:rStyle w:val="Bold"/>
              </w:rPr>
            </w:pPr>
            <w:r w:rsidRPr="001756EC">
              <w:rPr>
                <w:rStyle w:val="Bold"/>
              </w:rPr>
              <w:t xml:space="preserve">The Honourable </w:t>
            </w:r>
            <w:r w:rsidR="00614731" w:rsidRPr="001756EC">
              <w:rPr>
                <w:rStyle w:val="Bold"/>
              </w:rPr>
              <w:t>Catherine King</w:t>
            </w:r>
            <w:r w:rsidRPr="001756EC">
              <w:rPr>
                <w:rStyle w:val="Bold"/>
              </w:rPr>
              <w:t xml:space="preserve"> MP</w:t>
            </w:r>
          </w:p>
          <w:p w14:paraId="3A42D2ED" w14:textId="7D47A8C1" w:rsidR="00C91B5F" w:rsidRPr="001756EC" w:rsidRDefault="00C91B5F" w:rsidP="005D3905">
            <w:pPr>
              <w:pStyle w:val="Position"/>
            </w:pPr>
            <w:r w:rsidRPr="001756EC">
              <w:t>Minister for</w:t>
            </w:r>
            <w:r w:rsidR="00614731" w:rsidRPr="001756EC">
              <w:t xml:space="preserve"> Infrastructure, Transport, Regional Development and Local Government</w:t>
            </w:r>
            <w:r w:rsidRPr="001756EC">
              <w:t xml:space="preserve"> </w:t>
            </w:r>
          </w:p>
          <w:p w14:paraId="30A29548" w14:textId="7FA30DA7" w:rsidR="00C91B5F" w:rsidRPr="001756EC" w:rsidRDefault="004007F8" w:rsidP="005D3905">
            <w:pPr>
              <w:pStyle w:val="SingleParagraph"/>
              <w:tabs>
                <w:tab w:val="num" w:pos="1134"/>
              </w:tabs>
              <w:spacing w:after="240"/>
              <w:rPr>
                <w:b/>
              </w:rPr>
            </w:pPr>
            <w:r>
              <w:t>……/……/</w:t>
            </w:r>
            <w:r w:rsidR="00412653">
              <w:t>2026</w:t>
            </w:r>
          </w:p>
        </w:tc>
        <w:tc>
          <w:tcPr>
            <w:tcW w:w="1701" w:type="dxa"/>
            <w:tcMar>
              <w:left w:w="0" w:type="dxa"/>
              <w:right w:w="0" w:type="dxa"/>
            </w:tcMar>
          </w:tcPr>
          <w:p w14:paraId="6845B40F" w14:textId="77777777" w:rsidR="00C91B5F" w:rsidRPr="001756EC" w:rsidRDefault="00C91B5F" w:rsidP="005D3905">
            <w:pPr>
              <w:rPr>
                <w:rFonts w:ascii="Book Antiqua" w:hAnsi="Book Antiqua"/>
              </w:rPr>
            </w:pPr>
          </w:p>
        </w:tc>
        <w:tc>
          <w:tcPr>
            <w:tcW w:w="4536" w:type="dxa"/>
          </w:tcPr>
          <w:p w14:paraId="55199989" w14:textId="47524625" w:rsidR="00C91B5F" w:rsidRPr="001756EC" w:rsidRDefault="00C91B5F" w:rsidP="005D3905">
            <w:pPr>
              <w:pStyle w:val="Signed"/>
            </w:pPr>
            <w:r w:rsidRPr="001756EC">
              <w:rPr>
                <w:rStyle w:val="SignedBold"/>
              </w:rPr>
              <w:t>Signed</w:t>
            </w:r>
            <w:r w:rsidRPr="001756EC">
              <w:t xml:space="preserve"> for and on behalf of the </w:t>
            </w:r>
            <w:r w:rsidRPr="001756EC">
              <w:br/>
              <w:t xml:space="preserve">State of </w:t>
            </w:r>
            <w:r w:rsidR="00614731" w:rsidRPr="001756EC">
              <w:t xml:space="preserve">New South Wales </w:t>
            </w:r>
            <w:r w:rsidRPr="001756EC">
              <w:t>by</w:t>
            </w:r>
          </w:p>
          <w:p w14:paraId="522400CC" w14:textId="77777777" w:rsidR="00C91B5F" w:rsidRPr="001756EC" w:rsidRDefault="00C91B5F" w:rsidP="005D3905">
            <w:pPr>
              <w:pStyle w:val="LineForSignature"/>
              <w:rPr>
                <w:lang w:val="en-AU"/>
              </w:rPr>
            </w:pPr>
            <w:r w:rsidRPr="001756EC">
              <w:rPr>
                <w:lang w:val="en-AU"/>
              </w:rPr>
              <w:br/>
            </w:r>
            <w:r w:rsidRPr="001756EC">
              <w:rPr>
                <w:lang w:val="en-AU"/>
              </w:rPr>
              <w:tab/>
            </w:r>
          </w:p>
          <w:p w14:paraId="4A3F7EC1" w14:textId="3185D82B" w:rsidR="00C91B5F" w:rsidRPr="001756EC" w:rsidRDefault="00C91B5F" w:rsidP="005D3905">
            <w:pPr>
              <w:pStyle w:val="SingleParagraph"/>
              <w:rPr>
                <w:rStyle w:val="Bold"/>
              </w:rPr>
            </w:pPr>
            <w:r w:rsidRPr="001756EC">
              <w:rPr>
                <w:rStyle w:val="Bold"/>
              </w:rPr>
              <w:t xml:space="preserve">The Honourable </w:t>
            </w:r>
            <w:r w:rsidR="00D72257">
              <w:rPr>
                <w:rStyle w:val="Bold"/>
              </w:rPr>
              <w:t>Paul Scully</w:t>
            </w:r>
            <w:r w:rsidRPr="001756EC">
              <w:rPr>
                <w:rStyle w:val="Bold"/>
              </w:rPr>
              <w:t xml:space="preserve"> MP</w:t>
            </w:r>
          </w:p>
          <w:p w14:paraId="00EE9A7E" w14:textId="0BD2CFE8" w:rsidR="00C91B5F" w:rsidRPr="001756EC" w:rsidRDefault="00C91B5F" w:rsidP="005D3905">
            <w:pPr>
              <w:pStyle w:val="Position"/>
            </w:pPr>
            <w:r w:rsidRPr="001756EC">
              <w:t xml:space="preserve">Minister for </w:t>
            </w:r>
            <w:r w:rsidR="00D72257">
              <w:t>Planning and Public Spaces</w:t>
            </w:r>
            <w:r w:rsidRPr="001756EC">
              <w:t xml:space="preserve"> </w:t>
            </w:r>
          </w:p>
          <w:p w14:paraId="5CA98839" w14:textId="281C8931" w:rsidR="00C91B5F" w:rsidRPr="001756EC" w:rsidRDefault="004007F8" w:rsidP="004007F8">
            <w:pPr>
              <w:pStyle w:val="SingleParagraph"/>
              <w:tabs>
                <w:tab w:val="num" w:pos="1134"/>
              </w:tabs>
              <w:spacing w:after="240"/>
              <w:rPr>
                <w:rFonts w:ascii="Book Antiqua" w:hAnsi="Book Antiqua"/>
              </w:rPr>
            </w:pPr>
            <w:r>
              <w:t>……/……/2026</w:t>
            </w:r>
          </w:p>
        </w:tc>
      </w:tr>
    </w:tbl>
    <w:p w14:paraId="673500F4" w14:textId="77777777" w:rsidR="00C91B5F" w:rsidRPr="001756EC" w:rsidRDefault="00C91B5F" w:rsidP="00614731"/>
    <w:sectPr w:rsidR="00C91B5F" w:rsidRPr="001756EC" w:rsidSect="00614731">
      <w:headerReference w:type="even" r:id="rId18"/>
      <w:headerReference w:type="default" r:id="rId19"/>
      <w:head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3184" w14:textId="77777777" w:rsidR="00C71B79" w:rsidRDefault="00C71B79">
      <w:r>
        <w:separator/>
      </w:r>
    </w:p>
  </w:endnote>
  <w:endnote w:type="continuationSeparator" w:id="0">
    <w:p w14:paraId="563E90B3" w14:textId="77777777" w:rsidR="00C71B79" w:rsidRDefault="00C7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6331" w14:textId="5285095D" w:rsidR="00CB262E" w:rsidRDefault="005C3017">
    <w:pPr>
      <w:pStyle w:val="FooterEven"/>
    </w:pPr>
    <w:r>
      <w:rPr>
        <w:noProof/>
      </w:rPr>
      <mc:AlternateContent>
        <mc:Choice Requires="wps">
          <w:drawing>
            <wp:anchor distT="0" distB="0" distL="0" distR="0" simplePos="0" relativeHeight="251658752" behindDoc="0" locked="0" layoutInCell="1" allowOverlap="1" wp14:anchorId="54C52939" wp14:editId="202D6F03">
              <wp:simplePos x="635" y="635"/>
              <wp:positionH relativeFrom="page">
                <wp:align>center</wp:align>
              </wp:positionH>
              <wp:positionV relativeFrom="page">
                <wp:align>bottom</wp:align>
              </wp:positionV>
              <wp:extent cx="643255" cy="407670"/>
              <wp:effectExtent l="0" t="0" r="4445" b="0"/>
              <wp:wrapNone/>
              <wp:docPr id="179401934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226BCB6" w14:textId="73224750"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52939" id="_x0000_t202" coordsize="21600,21600" o:spt="202" path="m,l,21600r21600,l21600,xe">
              <v:stroke joinstyle="miter"/>
              <v:path gradientshapeok="t" o:connecttype="rect"/>
            </v:shapetype>
            <v:shape id="Text Box 8" o:spid="_x0000_s1028" type="#_x0000_t202" alt="OFFICIAL" style="position:absolute;margin-left:0;margin-top:0;width:50.65pt;height:32.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1226BCB6" w14:textId="73224750"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v:textbox>
              <w10:wrap anchorx="page" anchory="page"/>
            </v:shape>
          </w:pict>
        </mc:Fallback>
      </mc:AlternateContent>
    </w:r>
    <w:r w:rsidR="006B6E73">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F7E4" w14:textId="30DEC42B" w:rsidR="00CB262E" w:rsidRPr="00CA24B0" w:rsidRDefault="00CB262E" w:rsidP="007E44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E0AC" w14:textId="77777777" w:rsidR="00C71B79" w:rsidRDefault="00C71B79">
      <w:r>
        <w:separator/>
      </w:r>
    </w:p>
  </w:footnote>
  <w:footnote w:type="continuationSeparator" w:id="0">
    <w:p w14:paraId="0FD442CE" w14:textId="77777777" w:rsidR="00C71B79" w:rsidRDefault="00C7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AC52" w14:textId="7982D8FE" w:rsidR="00723E5F" w:rsidRDefault="005C3017">
    <w:pPr>
      <w:pStyle w:val="Header"/>
    </w:pPr>
    <w:r>
      <w:rPr>
        <w:noProof/>
      </w:rPr>
      <mc:AlternateContent>
        <mc:Choice Requires="wps">
          <w:drawing>
            <wp:anchor distT="0" distB="0" distL="0" distR="0" simplePos="0" relativeHeight="251655680" behindDoc="0" locked="0" layoutInCell="1" allowOverlap="1" wp14:anchorId="2BCB8FBF" wp14:editId="1D1604ED">
              <wp:simplePos x="635" y="635"/>
              <wp:positionH relativeFrom="page">
                <wp:align>center</wp:align>
              </wp:positionH>
              <wp:positionV relativeFrom="page">
                <wp:align>top</wp:align>
              </wp:positionV>
              <wp:extent cx="643255" cy="407670"/>
              <wp:effectExtent l="0" t="0" r="4445" b="11430"/>
              <wp:wrapNone/>
              <wp:docPr id="9353161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83E99A7" w14:textId="04996B2C"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B8FBF" id="_x0000_t202" coordsize="21600,21600" o:spt="202" path="m,l,21600r21600,l21600,xe">
              <v:stroke joinstyle="miter"/>
              <v:path gradientshapeok="t" o:connecttype="rect"/>
            </v:shapetype>
            <v:shape id="_x0000_s1027" type="#_x0000_t202" alt="OFFICIAL" style="position:absolute;margin-left:0;margin-top:0;width:50.65pt;height:32.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283E99A7" w14:textId="04996B2C"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292C" w14:textId="77777777" w:rsidR="00CB262E" w:rsidRDefault="00CB2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B65" w14:textId="28EBFDEE" w:rsidR="00884E8F" w:rsidRDefault="005C3017">
    <w:pPr>
      <w:pStyle w:val="Header"/>
    </w:pPr>
    <w:r>
      <w:rPr>
        <w:noProof/>
      </w:rPr>
      <mc:AlternateContent>
        <mc:Choice Requires="wps">
          <w:drawing>
            <wp:anchor distT="0" distB="0" distL="0" distR="0" simplePos="0" relativeHeight="251657728" behindDoc="0" locked="0" layoutInCell="1" allowOverlap="1" wp14:anchorId="0079601E" wp14:editId="3192FEFB">
              <wp:simplePos x="635" y="635"/>
              <wp:positionH relativeFrom="page">
                <wp:align>center</wp:align>
              </wp:positionH>
              <wp:positionV relativeFrom="page">
                <wp:align>top</wp:align>
              </wp:positionV>
              <wp:extent cx="643255" cy="407670"/>
              <wp:effectExtent l="0" t="0" r="4445" b="11430"/>
              <wp:wrapNone/>
              <wp:docPr id="19019763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3F06DE2" w14:textId="59B440D4"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9601E" id="_x0000_t202" coordsize="21600,21600" o:spt="202" path="m,l,21600r21600,l21600,xe">
              <v:stroke joinstyle="miter"/>
              <v:path gradientshapeok="t" o:connecttype="rect"/>
            </v:shapetype>
            <v:shape id="Text Box 5" o:spid="_x0000_s1029" type="#_x0000_t202" alt="OFFICIAL" style="position:absolute;margin-left:0;margin-top:0;width:50.65pt;height:32.1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23F06DE2" w14:textId="59B440D4"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0810" w14:textId="32BC57FE" w:rsidR="00884E8F" w:rsidRPr="00614731" w:rsidRDefault="00884E8F" w:rsidP="006147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F2C9" w14:textId="543CF910" w:rsidR="00884E8F" w:rsidRDefault="005C3017">
    <w:pPr>
      <w:pStyle w:val="Header"/>
    </w:pPr>
    <w:r>
      <w:rPr>
        <w:noProof/>
      </w:rPr>
      <mc:AlternateContent>
        <mc:Choice Requires="wps">
          <w:drawing>
            <wp:anchor distT="0" distB="0" distL="0" distR="0" simplePos="0" relativeHeight="251656704" behindDoc="0" locked="0" layoutInCell="1" allowOverlap="1" wp14:anchorId="422BB999" wp14:editId="3F8EBCEB">
              <wp:simplePos x="635" y="635"/>
              <wp:positionH relativeFrom="page">
                <wp:align>center</wp:align>
              </wp:positionH>
              <wp:positionV relativeFrom="page">
                <wp:align>top</wp:align>
              </wp:positionV>
              <wp:extent cx="643255" cy="407670"/>
              <wp:effectExtent l="0" t="0" r="4445" b="11430"/>
              <wp:wrapNone/>
              <wp:docPr id="74994782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97BE83E" w14:textId="01898265"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2BB999" id="_x0000_t202" coordsize="21600,21600" o:spt="202" path="m,l,21600r21600,l21600,xe">
              <v:stroke joinstyle="miter"/>
              <v:path gradientshapeok="t" o:connecttype="rect"/>
            </v:shapetype>
            <v:shape id="Text Box 4" o:spid="_x0000_s1030" type="#_x0000_t202" alt="OFFICIAL" style="position:absolute;margin-left:0;margin-top:0;width:50.65pt;height:32.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597BE83E" w14:textId="01898265" w:rsidR="005C3017" w:rsidRPr="005C3017" w:rsidRDefault="005C3017" w:rsidP="005C3017">
                    <w:pPr>
                      <w:rPr>
                        <w:rFonts w:ascii="Calibri" w:eastAsia="Calibri" w:hAnsi="Calibri" w:cs="Calibri"/>
                        <w:noProof/>
                        <w:color w:val="FF0000"/>
                        <w:sz w:val="28"/>
                        <w:szCs w:val="28"/>
                      </w:rPr>
                    </w:pPr>
                    <w:r w:rsidRPr="005C3017">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9F0"/>
    <w:multiLevelType w:val="hybridMultilevel"/>
    <w:tmpl w:val="0FB4DC4C"/>
    <w:lvl w:ilvl="0" w:tplc="D820C138">
      <w:start w:val="1"/>
      <w:numFmt w:val="bullet"/>
      <w:lvlText w:val=""/>
      <w:lvlJc w:val="left"/>
      <w:pPr>
        <w:ind w:left="1320" w:hanging="360"/>
      </w:pPr>
      <w:rPr>
        <w:rFonts w:ascii="Symbol" w:hAnsi="Symbol"/>
      </w:rPr>
    </w:lvl>
    <w:lvl w:ilvl="1" w:tplc="3760C600">
      <w:start w:val="1"/>
      <w:numFmt w:val="bullet"/>
      <w:lvlText w:val=""/>
      <w:lvlJc w:val="left"/>
      <w:pPr>
        <w:ind w:left="1320" w:hanging="360"/>
      </w:pPr>
      <w:rPr>
        <w:rFonts w:ascii="Symbol" w:hAnsi="Symbol"/>
      </w:rPr>
    </w:lvl>
    <w:lvl w:ilvl="2" w:tplc="88EA1C32">
      <w:start w:val="1"/>
      <w:numFmt w:val="bullet"/>
      <w:lvlText w:val=""/>
      <w:lvlJc w:val="left"/>
      <w:pPr>
        <w:ind w:left="1320" w:hanging="360"/>
      </w:pPr>
      <w:rPr>
        <w:rFonts w:ascii="Symbol" w:hAnsi="Symbol"/>
      </w:rPr>
    </w:lvl>
    <w:lvl w:ilvl="3" w:tplc="134E0848">
      <w:start w:val="1"/>
      <w:numFmt w:val="bullet"/>
      <w:lvlText w:val=""/>
      <w:lvlJc w:val="left"/>
      <w:pPr>
        <w:ind w:left="1320" w:hanging="360"/>
      </w:pPr>
      <w:rPr>
        <w:rFonts w:ascii="Symbol" w:hAnsi="Symbol"/>
      </w:rPr>
    </w:lvl>
    <w:lvl w:ilvl="4" w:tplc="2A5C9262">
      <w:start w:val="1"/>
      <w:numFmt w:val="bullet"/>
      <w:lvlText w:val=""/>
      <w:lvlJc w:val="left"/>
      <w:pPr>
        <w:ind w:left="1320" w:hanging="360"/>
      </w:pPr>
      <w:rPr>
        <w:rFonts w:ascii="Symbol" w:hAnsi="Symbol"/>
      </w:rPr>
    </w:lvl>
    <w:lvl w:ilvl="5" w:tplc="5AE8FAFC">
      <w:start w:val="1"/>
      <w:numFmt w:val="bullet"/>
      <w:lvlText w:val=""/>
      <w:lvlJc w:val="left"/>
      <w:pPr>
        <w:ind w:left="1320" w:hanging="360"/>
      </w:pPr>
      <w:rPr>
        <w:rFonts w:ascii="Symbol" w:hAnsi="Symbol"/>
      </w:rPr>
    </w:lvl>
    <w:lvl w:ilvl="6" w:tplc="50E4BDC4">
      <w:start w:val="1"/>
      <w:numFmt w:val="bullet"/>
      <w:lvlText w:val=""/>
      <w:lvlJc w:val="left"/>
      <w:pPr>
        <w:ind w:left="1320" w:hanging="360"/>
      </w:pPr>
      <w:rPr>
        <w:rFonts w:ascii="Symbol" w:hAnsi="Symbol"/>
      </w:rPr>
    </w:lvl>
    <w:lvl w:ilvl="7" w:tplc="7A7C8456">
      <w:start w:val="1"/>
      <w:numFmt w:val="bullet"/>
      <w:lvlText w:val=""/>
      <w:lvlJc w:val="left"/>
      <w:pPr>
        <w:ind w:left="1320" w:hanging="360"/>
      </w:pPr>
      <w:rPr>
        <w:rFonts w:ascii="Symbol" w:hAnsi="Symbol"/>
      </w:rPr>
    </w:lvl>
    <w:lvl w:ilvl="8" w:tplc="4C9A4574">
      <w:start w:val="1"/>
      <w:numFmt w:val="bullet"/>
      <w:lvlText w:val=""/>
      <w:lvlJc w:val="left"/>
      <w:pPr>
        <w:ind w:left="1320" w:hanging="360"/>
      </w:pPr>
      <w:rPr>
        <w:rFonts w:ascii="Symbol" w:hAnsi="Symbol"/>
      </w:rPr>
    </w:lvl>
  </w:abstractNum>
  <w:abstractNum w:abstractNumId="1" w15:restartNumberingAfterBreak="0">
    <w:nsid w:val="01C175F8"/>
    <w:multiLevelType w:val="hybridMultilevel"/>
    <w:tmpl w:val="01BE2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A4983"/>
    <w:multiLevelType w:val="hybridMultilevel"/>
    <w:tmpl w:val="B26EC2C2"/>
    <w:lvl w:ilvl="0" w:tplc="42C2874E">
      <w:start w:val="1"/>
      <w:numFmt w:val="bullet"/>
      <w:lvlText w:val=""/>
      <w:lvlJc w:val="left"/>
      <w:pPr>
        <w:ind w:left="1320" w:hanging="360"/>
      </w:pPr>
      <w:rPr>
        <w:rFonts w:ascii="Symbol" w:hAnsi="Symbol"/>
      </w:rPr>
    </w:lvl>
    <w:lvl w:ilvl="1" w:tplc="4A8C6B5E">
      <w:start w:val="1"/>
      <w:numFmt w:val="bullet"/>
      <w:lvlText w:val=""/>
      <w:lvlJc w:val="left"/>
      <w:pPr>
        <w:ind w:left="1320" w:hanging="360"/>
      </w:pPr>
      <w:rPr>
        <w:rFonts w:ascii="Symbol" w:hAnsi="Symbol"/>
      </w:rPr>
    </w:lvl>
    <w:lvl w:ilvl="2" w:tplc="851E5AA2">
      <w:start w:val="1"/>
      <w:numFmt w:val="bullet"/>
      <w:lvlText w:val=""/>
      <w:lvlJc w:val="left"/>
      <w:pPr>
        <w:ind w:left="1320" w:hanging="360"/>
      </w:pPr>
      <w:rPr>
        <w:rFonts w:ascii="Symbol" w:hAnsi="Symbol"/>
      </w:rPr>
    </w:lvl>
    <w:lvl w:ilvl="3" w:tplc="5BD2E560">
      <w:start w:val="1"/>
      <w:numFmt w:val="bullet"/>
      <w:lvlText w:val=""/>
      <w:lvlJc w:val="left"/>
      <w:pPr>
        <w:ind w:left="1320" w:hanging="360"/>
      </w:pPr>
      <w:rPr>
        <w:rFonts w:ascii="Symbol" w:hAnsi="Symbol"/>
      </w:rPr>
    </w:lvl>
    <w:lvl w:ilvl="4" w:tplc="1C3C85BE">
      <w:start w:val="1"/>
      <w:numFmt w:val="bullet"/>
      <w:lvlText w:val=""/>
      <w:lvlJc w:val="left"/>
      <w:pPr>
        <w:ind w:left="1320" w:hanging="360"/>
      </w:pPr>
      <w:rPr>
        <w:rFonts w:ascii="Symbol" w:hAnsi="Symbol"/>
      </w:rPr>
    </w:lvl>
    <w:lvl w:ilvl="5" w:tplc="6090E1CE">
      <w:start w:val="1"/>
      <w:numFmt w:val="bullet"/>
      <w:lvlText w:val=""/>
      <w:lvlJc w:val="left"/>
      <w:pPr>
        <w:ind w:left="1320" w:hanging="360"/>
      </w:pPr>
      <w:rPr>
        <w:rFonts w:ascii="Symbol" w:hAnsi="Symbol"/>
      </w:rPr>
    </w:lvl>
    <w:lvl w:ilvl="6" w:tplc="3618AA6A">
      <w:start w:val="1"/>
      <w:numFmt w:val="bullet"/>
      <w:lvlText w:val=""/>
      <w:lvlJc w:val="left"/>
      <w:pPr>
        <w:ind w:left="1320" w:hanging="360"/>
      </w:pPr>
      <w:rPr>
        <w:rFonts w:ascii="Symbol" w:hAnsi="Symbol"/>
      </w:rPr>
    </w:lvl>
    <w:lvl w:ilvl="7" w:tplc="4194515E">
      <w:start w:val="1"/>
      <w:numFmt w:val="bullet"/>
      <w:lvlText w:val=""/>
      <w:lvlJc w:val="left"/>
      <w:pPr>
        <w:ind w:left="1320" w:hanging="360"/>
      </w:pPr>
      <w:rPr>
        <w:rFonts w:ascii="Symbol" w:hAnsi="Symbol"/>
      </w:rPr>
    </w:lvl>
    <w:lvl w:ilvl="8" w:tplc="1DA49B76">
      <w:start w:val="1"/>
      <w:numFmt w:val="bullet"/>
      <w:lvlText w:val=""/>
      <w:lvlJc w:val="left"/>
      <w:pPr>
        <w:ind w:left="1320" w:hanging="360"/>
      </w:pPr>
      <w:rPr>
        <w:rFonts w:ascii="Symbol" w:hAnsi="Symbol"/>
      </w:rPr>
    </w:lvl>
  </w:abstractNum>
  <w:abstractNum w:abstractNumId="3" w15:restartNumberingAfterBreak="0">
    <w:nsid w:val="1FDE46D8"/>
    <w:multiLevelType w:val="hybridMultilevel"/>
    <w:tmpl w:val="1F882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AD53B9"/>
    <w:multiLevelType w:val="hybridMultilevel"/>
    <w:tmpl w:val="382EC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6F0866"/>
    <w:multiLevelType w:val="hybridMultilevel"/>
    <w:tmpl w:val="BB589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050A00"/>
    <w:multiLevelType w:val="hybridMultilevel"/>
    <w:tmpl w:val="507879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CE04DD"/>
    <w:multiLevelType w:val="hybridMultilevel"/>
    <w:tmpl w:val="A8288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83E87"/>
    <w:multiLevelType w:val="hybridMultilevel"/>
    <w:tmpl w:val="F9468580"/>
    <w:lvl w:ilvl="0" w:tplc="F9108414">
      <w:start w:val="1"/>
      <w:numFmt w:val="bullet"/>
      <w:lvlText w:val=""/>
      <w:lvlJc w:val="left"/>
      <w:pPr>
        <w:ind w:left="1320" w:hanging="360"/>
      </w:pPr>
      <w:rPr>
        <w:rFonts w:ascii="Symbol" w:hAnsi="Symbol"/>
      </w:rPr>
    </w:lvl>
    <w:lvl w:ilvl="1" w:tplc="8D4AED02">
      <w:start w:val="1"/>
      <w:numFmt w:val="bullet"/>
      <w:lvlText w:val=""/>
      <w:lvlJc w:val="left"/>
      <w:pPr>
        <w:ind w:left="1320" w:hanging="360"/>
      </w:pPr>
      <w:rPr>
        <w:rFonts w:ascii="Symbol" w:hAnsi="Symbol"/>
      </w:rPr>
    </w:lvl>
    <w:lvl w:ilvl="2" w:tplc="27147F72">
      <w:start w:val="1"/>
      <w:numFmt w:val="bullet"/>
      <w:lvlText w:val=""/>
      <w:lvlJc w:val="left"/>
      <w:pPr>
        <w:ind w:left="1320" w:hanging="360"/>
      </w:pPr>
      <w:rPr>
        <w:rFonts w:ascii="Symbol" w:hAnsi="Symbol"/>
      </w:rPr>
    </w:lvl>
    <w:lvl w:ilvl="3" w:tplc="96ACC378">
      <w:start w:val="1"/>
      <w:numFmt w:val="bullet"/>
      <w:lvlText w:val=""/>
      <w:lvlJc w:val="left"/>
      <w:pPr>
        <w:ind w:left="1320" w:hanging="360"/>
      </w:pPr>
      <w:rPr>
        <w:rFonts w:ascii="Symbol" w:hAnsi="Symbol"/>
      </w:rPr>
    </w:lvl>
    <w:lvl w:ilvl="4" w:tplc="673CD2BC">
      <w:start w:val="1"/>
      <w:numFmt w:val="bullet"/>
      <w:lvlText w:val=""/>
      <w:lvlJc w:val="left"/>
      <w:pPr>
        <w:ind w:left="1320" w:hanging="360"/>
      </w:pPr>
      <w:rPr>
        <w:rFonts w:ascii="Symbol" w:hAnsi="Symbol"/>
      </w:rPr>
    </w:lvl>
    <w:lvl w:ilvl="5" w:tplc="36ACAF8E">
      <w:start w:val="1"/>
      <w:numFmt w:val="bullet"/>
      <w:lvlText w:val=""/>
      <w:lvlJc w:val="left"/>
      <w:pPr>
        <w:ind w:left="1320" w:hanging="360"/>
      </w:pPr>
      <w:rPr>
        <w:rFonts w:ascii="Symbol" w:hAnsi="Symbol"/>
      </w:rPr>
    </w:lvl>
    <w:lvl w:ilvl="6" w:tplc="66FE8266">
      <w:start w:val="1"/>
      <w:numFmt w:val="bullet"/>
      <w:lvlText w:val=""/>
      <w:lvlJc w:val="left"/>
      <w:pPr>
        <w:ind w:left="1320" w:hanging="360"/>
      </w:pPr>
      <w:rPr>
        <w:rFonts w:ascii="Symbol" w:hAnsi="Symbol"/>
      </w:rPr>
    </w:lvl>
    <w:lvl w:ilvl="7" w:tplc="E9A84FBC">
      <w:start w:val="1"/>
      <w:numFmt w:val="bullet"/>
      <w:lvlText w:val=""/>
      <w:lvlJc w:val="left"/>
      <w:pPr>
        <w:ind w:left="1320" w:hanging="360"/>
      </w:pPr>
      <w:rPr>
        <w:rFonts w:ascii="Symbol" w:hAnsi="Symbol"/>
      </w:rPr>
    </w:lvl>
    <w:lvl w:ilvl="8" w:tplc="5A4CB0AC">
      <w:start w:val="1"/>
      <w:numFmt w:val="bullet"/>
      <w:lvlText w:val=""/>
      <w:lvlJc w:val="left"/>
      <w:pPr>
        <w:ind w:left="1320" w:hanging="360"/>
      </w:pPr>
      <w:rPr>
        <w:rFonts w:ascii="Symbol" w:hAnsi="Symbol"/>
      </w:rPr>
    </w:lvl>
  </w:abstractNum>
  <w:abstractNum w:abstractNumId="9" w15:restartNumberingAfterBreak="0">
    <w:nsid w:val="480A7B42"/>
    <w:multiLevelType w:val="hybridMultilevel"/>
    <w:tmpl w:val="CD34C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2F4566"/>
    <w:multiLevelType w:val="hybridMultilevel"/>
    <w:tmpl w:val="1DCEDA50"/>
    <w:lvl w:ilvl="0" w:tplc="AE80151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6E6D67"/>
    <w:multiLevelType w:val="hybridMultilevel"/>
    <w:tmpl w:val="1A023F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0845CC"/>
    <w:multiLevelType w:val="hybridMultilevel"/>
    <w:tmpl w:val="B4104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14" w15:restartNumberingAfterBreak="0">
    <w:nsid w:val="759D6559"/>
    <w:multiLevelType w:val="hybridMultilevel"/>
    <w:tmpl w:val="A8C87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7BD31DDE"/>
    <w:multiLevelType w:val="hybridMultilevel"/>
    <w:tmpl w:val="1FEC1D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4736463">
    <w:abstractNumId w:val="15"/>
  </w:num>
  <w:num w:numId="2" w16cid:durableId="753208790">
    <w:abstractNumId w:val="13"/>
  </w:num>
  <w:num w:numId="3" w16cid:durableId="1780224822">
    <w:abstractNumId w:val="6"/>
  </w:num>
  <w:num w:numId="4" w16cid:durableId="1618486042">
    <w:abstractNumId w:val="10"/>
  </w:num>
  <w:num w:numId="5" w16cid:durableId="566691999">
    <w:abstractNumId w:val="4"/>
  </w:num>
  <w:num w:numId="6" w16cid:durableId="965430583">
    <w:abstractNumId w:val="1"/>
  </w:num>
  <w:num w:numId="7" w16cid:durableId="794326637">
    <w:abstractNumId w:val="9"/>
  </w:num>
  <w:num w:numId="8" w16cid:durableId="1135179921">
    <w:abstractNumId w:val="3"/>
  </w:num>
  <w:num w:numId="9" w16cid:durableId="1131746164">
    <w:abstractNumId w:val="5"/>
  </w:num>
  <w:num w:numId="10" w16cid:durableId="204606798">
    <w:abstractNumId w:val="12"/>
  </w:num>
  <w:num w:numId="11" w16cid:durableId="1746412465">
    <w:abstractNumId w:val="2"/>
  </w:num>
  <w:num w:numId="12" w16cid:durableId="6832553">
    <w:abstractNumId w:val="8"/>
  </w:num>
  <w:num w:numId="13" w16cid:durableId="2066876059">
    <w:abstractNumId w:val="0"/>
  </w:num>
  <w:num w:numId="14" w16cid:durableId="1272513214">
    <w:abstractNumId w:val="14"/>
  </w:num>
  <w:num w:numId="15" w16cid:durableId="738478109">
    <w:abstractNumId w:val="11"/>
  </w:num>
  <w:num w:numId="16" w16cid:durableId="1496187343">
    <w:abstractNumId w:val="16"/>
  </w:num>
  <w:num w:numId="17" w16cid:durableId="687484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1F62"/>
    <w:rsid w:val="000164EC"/>
    <w:rsid w:val="00017628"/>
    <w:rsid w:val="00062CA7"/>
    <w:rsid w:val="00066348"/>
    <w:rsid w:val="00096606"/>
    <w:rsid w:val="000B521B"/>
    <w:rsid w:val="000F7E14"/>
    <w:rsid w:val="00101F13"/>
    <w:rsid w:val="00107EF2"/>
    <w:rsid w:val="0011173D"/>
    <w:rsid w:val="00115F37"/>
    <w:rsid w:val="00123B92"/>
    <w:rsid w:val="00126D63"/>
    <w:rsid w:val="001358EB"/>
    <w:rsid w:val="00152DDA"/>
    <w:rsid w:val="00163FE7"/>
    <w:rsid w:val="00164A1E"/>
    <w:rsid w:val="001756EC"/>
    <w:rsid w:val="0018564F"/>
    <w:rsid w:val="00196BF0"/>
    <w:rsid w:val="001B1502"/>
    <w:rsid w:val="001C6523"/>
    <w:rsid w:val="001D3BE1"/>
    <w:rsid w:val="001D6AB0"/>
    <w:rsid w:val="001E0803"/>
    <w:rsid w:val="001F6540"/>
    <w:rsid w:val="002164FF"/>
    <w:rsid w:val="0022460F"/>
    <w:rsid w:val="00235ABD"/>
    <w:rsid w:val="0028101D"/>
    <w:rsid w:val="00285B07"/>
    <w:rsid w:val="002A43A2"/>
    <w:rsid w:val="002D143D"/>
    <w:rsid w:val="002F7B4F"/>
    <w:rsid w:val="00303D5A"/>
    <w:rsid w:val="00316DFD"/>
    <w:rsid w:val="00317FB3"/>
    <w:rsid w:val="003C05AD"/>
    <w:rsid w:val="003C7BF9"/>
    <w:rsid w:val="003D2C33"/>
    <w:rsid w:val="003E0057"/>
    <w:rsid w:val="003E3844"/>
    <w:rsid w:val="004007F8"/>
    <w:rsid w:val="00412653"/>
    <w:rsid w:val="00433E84"/>
    <w:rsid w:val="00434E98"/>
    <w:rsid w:val="004420F0"/>
    <w:rsid w:val="0045191C"/>
    <w:rsid w:val="00471DB3"/>
    <w:rsid w:val="00474C5E"/>
    <w:rsid w:val="004A2477"/>
    <w:rsid w:val="004A6472"/>
    <w:rsid w:val="004C520C"/>
    <w:rsid w:val="004E08BB"/>
    <w:rsid w:val="004E3619"/>
    <w:rsid w:val="005415ED"/>
    <w:rsid w:val="00553EFC"/>
    <w:rsid w:val="005567E5"/>
    <w:rsid w:val="00575992"/>
    <w:rsid w:val="00595D1C"/>
    <w:rsid w:val="005B6256"/>
    <w:rsid w:val="005C3017"/>
    <w:rsid w:val="005C6A88"/>
    <w:rsid w:val="00614731"/>
    <w:rsid w:val="0062195F"/>
    <w:rsid w:val="00622B8F"/>
    <w:rsid w:val="0063053F"/>
    <w:rsid w:val="0063727E"/>
    <w:rsid w:val="0064121C"/>
    <w:rsid w:val="006A0572"/>
    <w:rsid w:val="006B5CAA"/>
    <w:rsid w:val="006B6E73"/>
    <w:rsid w:val="006B7012"/>
    <w:rsid w:val="006D4A09"/>
    <w:rsid w:val="0070426D"/>
    <w:rsid w:val="00715217"/>
    <w:rsid w:val="00723E5F"/>
    <w:rsid w:val="00747FB8"/>
    <w:rsid w:val="00752377"/>
    <w:rsid w:val="00756E54"/>
    <w:rsid w:val="00774041"/>
    <w:rsid w:val="007A1803"/>
    <w:rsid w:val="007B1BC3"/>
    <w:rsid w:val="007C2823"/>
    <w:rsid w:val="007D42A7"/>
    <w:rsid w:val="007E46D7"/>
    <w:rsid w:val="007E5110"/>
    <w:rsid w:val="007F3C88"/>
    <w:rsid w:val="007F7C29"/>
    <w:rsid w:val="00811702"/>
    <w:rsid w:val="00815021"/>
    <w:rsid w:val="008258E3"/>
    <w:rsid w:val="0083743B"/>
    <w:rsid w:val="00840530"/>
    <w:rsid w:val="00846459"/>
    <w:rsid w:val="00857D3A"/>
    <w:rsid w:val="00867FD9"/>
    <w:rsid w:val="0088055C"/>
    <w:rsid w:val="00880C37"/>
    <w:rsid w:val="00884E8F"/>
    <w:rsid w:val="008A209C"/>
    <w:rsid w:val="008A4AF7"/>
    <w:rsid w:val="008C5D76"/>
    <w:rsid w:val="008D32B3"/>
    <w:rsid w:val="008E2526"/>
    <w:rsid w:val="008E62E2"/>
    <w:rsid w:val="0092576E"/>
    <w:rsid w:val="009424C5"/>
    <w:rsid w:val="0097694B"/>
    <w:rsid w:val="009C3443"/>
    <w:rsid w:val="009D5106"/>
    <w:rsid w:val="009D5BA6"/>
    <w:rsid w:val="00A020B2"/>
    <w:rsid w:val="00A30A89"/>
    <w:rsid w:val="00A50C3B"/>
    <w:rsid w:val="00A65C44"/>
    <w:rsid w:val="00A7101C"/>
    <w:rsid w:val="00A8064A"/>
    <w:rsid w:val="00AA2C43"/>
    <w:rsid w:val="00AB3A83"/>
    <w:rsid w:val="00AC38F2"/>
    <w:rsid w:val="00AC6423"/>
    <w:rsid w:val="00AD10B0"/>
    <w:rsid w:val="00AD5C15"/>
    <w:rsid w:val="00AE1C23"/>
    <w:rsid w:val="00AF15A3"/>
    <w:rsid w:val="00B11E1A"/>
    <w:rsid w:val="00B33CFF"/>
    <w:rsid w:val="00B50CD4"/>
    <w:rsid w:val="00B53D7B"/>
    <w:rsid w:val="00B56BD1"/>
    <w:rsid w:val="00B63981"/>
    <w:rsid w:val="00B92709"/>
    <w:rsid w:val="00BB0778"/>
    <w:rsid w:val="00BD6E01"/>
    <w:rsid w:val="00C02A8A"/>
    <w:rsid w:val="00C154E2"/>
    <w:rsid w:val="00C329C3"/>
    <w:rsid w:val="00C42E0B"/>
    <w:rsid w:val="00C557B1"/>
    <w:rsid w:val="00C677EC"/>
    <w:rsid w:val="00C704D2"/>
    <w:rsid w:val="00C71B79"/>
    <w:rsid w:val="00C8746E"/>
    <w:rsid w:val="00C91B5F"/>
    <w:rsid w:val="00C925C4"/>
    <w:rsid w:val="00C93CEB"/>
    <w:rsid w:val="00CA54E0"/>
    <w:rsid w:val="00CA7776"/>
    <w:rsid w:val="00CB262E"/>
    <w:rsid w:val="00CB2ED7"/>
    <w:rsid w:val="00CB56EB"/>
    <w:rsid w:val="00CF0B25"/>
    <w:rsid w:val="00D03A44"/>
    <w:rsid w:val="00D10B2C"/>
    <w:rsid w:val="00D14D61"/>
    <w:rsid w:val="00D300C1"/>
    <w:rsid w:val="00D30F8C"/>
    <w:rsid w:val="00D45988"/>
    <w:rsid w:val="00D54783"/>
    <w:rsid w:val="00D72257"/>
    <w:rsid w:val="00D72A49"/>
    <w:rsid w:val="00D76897"/>
    <w:rsid w:val="00D81E36"/>
    <w:rsid w:val="00D91F05"/>
    <w:rsid w:val="00DC0EFD"/>
    <w:rsid w:val="00DE0037"/>
    <w:rsid w:val="00DE617C"/>
    <w:rsid w:val="00E05ECE"/>
    <w:rsid w:val="00E35762"/>
    <w:rsid w:val="00E4434D"/>
    <w:rsid w:val="00E54AF6"/>
    <w:rsid w:val="00E577A7"/>
    <w:rsid w:val="00E71485"/>
    <w:rsid w:val="00E95A7F"/>
    <w:rsid w:val="00EA5AD7"/>
    <w:rsid w:val="00EB7C0E"/>
    <w:rsid w:val="00EC092F"/>
    <w:rsid w:val="00ED6E24"/>
    <w:rsid w:val="00ED73C8"/>
    <w:rsid w:val="00EF15CB"/>
    <w:rsid w:val="00EF4A64"/>
    <w:rsid w:val="00EF7840"/>
    <w:rsid w:val="00F0467F"/>
    <w:rsid w:val="00F065EC"/>
    <w:rsid w:val="00F14BB4"/>
    <w:rsid w:val="00F25A89"/>
    <w:rsid w:val="00F762B1"/>
    <w:rsid w:val="00F77B20"/>
    <w:rsid w:val="00F85657"/>
    <w:rsid w:val="00FA2654"/>
    <w:rsid w:val="00FA3B8E"/>
    <w:rsid w:val="00FB7668"/>
    <w:rsid w:val="00FD1EA1"/>
    <w:rsid w:val="00FF3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0156ED"/>
  <w15:chartTrackingRefBased/>
  <w15:docId w15:val="{9DFF7502-E5FE-4E11-B99E-E62EBCA1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B5F"/>
    <w:pPr>
      <w:widowControl w:val="0"/>
      <w:spacing w:after="0" w:line="240" w:lineRule="auto"/>
    </w:pPr>
  </w:style>
  <w:style w:type="paragraph" w:styleId="Heading2">
    <w:name w:val="heading 2"/>
    <w:basedOn w:val="Normal"/>
    <w:next w:val="Normal"/>
    <w:link w:val="Heading2Char"/>
    <w:uiPriority w:val="9"/>
    <w:semiHidden/>
    <w:unhideWhenUsed/>
    <w:qFormat/>
    <w:rsid w:val="00C91B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1"/>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C91B5F"/>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D768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897"/>
    <w:rPr>
      <w:rFonts w:ascii="Segoe UI" w:hAnsi="Segoe UI" w:cs="Segoe UI"/>
      <w:sz w:val="18"/>
      <w:szCs w:val="18"/>
    </w:rPr>
  </w:style>
  <w:style w:type="character" w:styleId="CommentReference">
    <w:name w:val="annotation reference"/>
    <w:basedOn w:val="DefaultParagraphFont"/>
    <w:uiPriority w:val="99"/>
    <w:semiHidden/>
    <w:unhideWhenUsed/>
    <w:rsid w:val="002A43A2"/>
    <w:rPr>
      <w:sz w:val="16"/>
      <w:szCs w:val="16"/>
    </w:rPr>
  </w:style>
  <w:style w:type="paragraph" w:styleId="CommentText">
    <w:name w:val="annotation text"/>
    <w:basedOn w:val="Normal"/>
    <w:link w:val="CommentTextChar"/>
    <w:uiPriority w:val="99"/>
    <w:unhideWhenUsed/>
    <w:rsid w:val="002A43A2"/>
    <w:rPr>
      <w:sz w:val="20"/>
      <w:szCs w:val="20"/>
    </w:rPr>
  </w:style>
  <w:style w:type="character" w:customStyle="1" w:styleId="CommentTextChar">
    <w:name w:val="Comment Text Char"/>
    <w:basedOn w:val="DefaultParagraphFont"/>
    <w:link w:val="CommentText"/>
    <w:uiPriority w:val="99"/>
    <w:rsid w:val="002A43A2"/>
    <w:rPr>
      <w:sz w:val="20"/>
      <w:szCs w:val="20"/>
    </w:rPr>
  </w:style>
  <w:style w:type="paragraph" w:styleId="CommentSubject">
    <w:name w:val="annotation subject"/>
    <w:basedOn w:val="CommentText"/>
    <w:next w:val="CommentText"/>
    <w:link w:val="CommentSubjectChar"/>
    <w:uiPriority w:val="99"/>
    <w:semiHidden/>
    <w:unhideWhenUsed/>
    <w:rsid w:val="002A43A2"/>
    <w:rPr>
      <w:b/>
      <w:bCs/>
    </w:rPr>
  </w:style>
  <w:style w:type="character" w:customStyle="1" w:styleId="CommentSubjectChar">
    <w:name w:val="Comment Subject Char"/>
    <w:basedOn w:val="CommentTextChar"/>
    <w:link w:val="CommentSubject"/>
    <w:uiPriority w:val="99"/>
    <w:semiHidden/>
    <w:rsid w:val="002A43A2"/>
    <w:rPr>
      <w:b/>
      <w:bCs/>
      <w:sz w:val="20"/>
      <w:szCs w:val="20"/>
    </w:rPr>
  </w:style>
  <w:style w:type="paragraph" w:styleId="Revision">
    <w:name w:val="Revision"/>
    <w:hidden/>
    <w:uiPriority w:val="99"/>
    <w:semiHidden/>
    <w:rsid w:val="00C02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CDF45B49E80F24CAD80DFC012154DA9" ma:contentTypeVersion="30158" ma:contentTypeDescription=" " ma:contentTypeScope="" ma:versionID="107f1c7b86407b95cc24d2a99491663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2de41cb074d60f016f2d6a24a4e6a081"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Value>
    </TaxCatchAll>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0f563589-9cf9-4143-b1eb-fb0534803d38">2020FG-64-81302</_dlc_DocId>
    <_dlc_DocIdUrl xmlns="0f563589-9cf9-4143-b1eb-fb0534803d38">
      <Url>http://tweb/sites/fg/csrd/_layouts/15/DocIdRedir.aspx?ID=2020FG-64-81302</Url>
      <Description>2020FG-64-81302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Props1.xml><?xml version="1.0" encoding="utf-8"?>
<ds:datastoreItem xmlns:ds="http://schemas.openxmlformats.org/officeDocument/2006/customXml" ds:itemID="{A1745730-80AE-41C5-8BB5-ED2DABDEB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7E25A-4A0F-4064-9AA3-BC512B330750}">
  <ds:schemaRefs>
    <ds:schemaRef ds:uri="office.server.policy"/>
  </ds:schemaRefs>
</ds:datastoreItem>
</file>

<file path=customXml/itemProps3.xml><?xml version="1.0" encoding="utf-8"?>
<ds:datastoreItem xmlns:ds="http://schemas.openxmlformats.org/officeDocument/2006/customXml" ds:itemID="{766DFF39-B1A0-4D6A-871F-52A68E916238}">
  <ds:schemaRefs>
    <ds:schemaRef ds:uri="http://schemas.microsoft.com/sharepoint/v3/contenttype/forms"/>
  </ds:schemaRefs>
</ds:datastoreItem>
</file>

<file path=customXml/itemProps4.xml><?xml version="1.0" encoding="utf-8"?>
<ds:datastoreItem xmlns:ds="http://schemas.openxmlformats.org/officeDocument/2006/customXml" ds:itemID="{FFD900B8-6070-407E-B433-89E316A15907}">
  <ds:schemaRefs>
    <ds:schemaRef ds:uri="http://schemas.microsoft.com/office/2006/metadata/properties"/>
    <ds:schemaRef ds:uri="http://schemas.microsoft.com/office/infopath/2007/PartnerControls"/>
    <ds:schemaRef ds:uri="0f563589-9cf9-4143-b1eb-fb0534803d38"/>
    <ds:schemaRef ds:uri="http://schemas.microsoft.com/sharepoint/v4"/>
    <ds:schemaRef ds:uri="e544e5cc-ab70-42e1-849e-1a0f8bb1f4ef"/>
  </ds:schemaRefs>
</ds:datastoreItem>
</file>

<file path=customXml/itemProps5.xml><?xml version="1.0" encoding="utf-8"?>
<ds:datastoreItem xmlns:ds="http://schemas.openxmlformats.org/officeDocument/2006/customXml" ds:itemID="{D6571649-D103-48E0-9B5F-BAA18E6DBC98}">
  <ds:schemaRefs>
    <ds:schemaRef ds:uri="http://schemas.microsoft.com/sharepoint/events"/>
  </ds:schemaRefs>
</ds:datastoreItem>
</file>

<file path=customXml/itemProps6.xml><?xml version="1.0" encoding="utf-8"?>
<ds:datastoreItem xmlns:ds="http://schemas.openxmlformats.org/officeDocument/2006/customXml" ds:itemID="{4E43929F-D018-45A2-A9F5-27FDE4D98D59}">
  <ds:schemaRefs>
    <ds:schemaRef ds:uri="http://schemas.openxmlformats.org/officeDocument/2006/bibliography"/>
  </ds:schemaRefs>
</ds:datastoreItem>
</file>

<file path=customXml/itemProps7.xml><?xml version="1.0" encoding="utf-8"?>
<ds:datastoreItem xmlns:ds="http://schemas.openxmlformats.org/officeDocument/2006/customXml" ds:itemID="{30F65ACE-AD7D-4F61-BF0B-28C2AA570E41}">
  <ds:schemaRefs>
    <ds:schemaRef ds:uri="Microsoft.SharePoint.Taxonomy.ContentTypeSync"/>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2451</Words>
  <Characters>13555</Characters>
  <Application>Microsoft Office Word</Application>
  <DocSecurity>0</DocSecurity>
  <Lines>330</Lines>
  <Paragraphs>183</Paragraphs>
  <ScaleCrop>false</ScaleCrop>
  <HeadingPairs>
    <vt:vector size="2" baseType="variant">
      <vt:variant>
        <vt:lpstr>Title</vt:lpstr>
      </vt:variant>
      <vt:variant>
        <vt:i4>1</vt:i4>
      </vt:variant>
    </vt:vector>
  </HeadingPairs>
  <TitlesOfParts>
    <vt:vector size="1" baseType="lpstr">
      <vt:lpstr>Affordable Housing, Community Services and Other - Bilateral/Simple multilateral Schedule Template</vt:lpstr>
    </vt:vector>
  </TitlesOfParts>
  <Company>Department of the Prime Minister and Cabinet</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Community Services and Other - Bilateral/Simple multilateral Schedule Template</dc:title>
  <dc:subject/>
  <dc:creator>Le, Alan</dc:creator>
  <cp:keywords/>
  <dc:description/>
  <cp:lastModifiedBy>PAINTING, James</cp:lastModifiedBy>
  <cp:revision>2</cp:revision>
  <dcterms:created xsi:type="dcterms:W3CDTF">2026-02-27T00:53:00Z</dcterms:created>
  <dcterms:modified xsi:type="dcterms:W3CDTF">2026-02-27T00:53:00Z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7ead1e8e,37bfca9e,13417ca1,2cb34bb0,b562f85,536ba551</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4244bab5,6aee900f,301e9650</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